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600" w:lineRule="exact"/>
        <w:jc w:val="center"/>
        <w:rPr>
          <w:rFonts w:hint="eastAsia" w:ascii="黑体" w:hAnsi="宋体" w:eastAsia="黑体"/>
          <w:b/>
          <w:sz w:val="44"/>
          <w:highlight w:val="none"/>
        </w:rPr>
      </w:pPr>
    </w:p>
    <w:p>
      <w:pPr>
        <w:spacing w:line="600" w:lineRule="exact"/>
        <w:jc w:val="center"/>
        <w:rPr>
          <w:rFonts w:hint="eastAsia" w:ascii="黑体" w:hAnsi="宋体" w:eastAsia="黑体"/>
          <w:b/>
          <w:sz w:val="44"/>
          <w:highlight w:val="none"/>
        </w:rPr>
      </w:pPr>
    </w:p>
    <w:p>
      <w:pPr>
        <w:spacing w:line="600" w:lineRule="exact"/>
        <w:jc w:val="center"/>
        <w:rPr>
          <w:rFonts w:ascii="宋体" w:hAnsi="宋体"/>
          <w:b/>
          <w:sz w:val="52"/>
          <w:szCs w:val="52"/>
          <w:highlight w:val="none"/>
        </w:rPr>
      </w:pPr>
      <w:r>
        <w:rPr>
          <w:rFonts w:hint="eastAsia" w:ascii="宋体" w:hAnsi="宋体"/>
          <w:b/>
          <w:sz w:val="52"/>
          <w:szCs w:val="52"/>
          <w:highlight w:val="none"/>
        </w:rPr>
        <w:t>招标文件</w:t>
      </w:r>
    </w:p>
    <w:p>
      <w:pPr>
        <w:spacing w:line="600" w:lineRule="exact"/>
        <w:jc w:val="center"/>
        <w:rPr>
          <w:rFonts w:hint="eastAsia" w:ascii="黑体" w:hAnsi="宋体" w:eastAsia="黑体"/>
          <w:b/>
          <w:sz w:val="52"/>
          <w:szCs w:val="52"/>
          <w:highlight w:val="none"/>
        </w:rPr>
      </w:pPr>
    </w:p>
    <w:p>
      <w:pPr>
        <w:jc w:val="center"/>
        <w:rPr>
          <w:rFonts w:hint="eastAsia" w:ascii="宋体" w:hAnsi="宋体"/>
          <w:sz w:val="44"/>
          <w:szCs w:val="20"/>
          <w:highlight w:val="none"/>
        </w:rPr>
      </w:pPr>
    </w:p>
    <w:p>
      <w:pPr>
        <w:spacing w:before="156" w:beforeLines="50"/>
        <w:jc w:val="center"/>
        <w:rPr>
          <w:rFonts w:ascii="宋体" w:hAnsi="宋体"/>
          <w:b/>
          <w:sz w:val="48"/>
          <w:szCs w:val="48"/>
          <w:highlight w:val="none"/>
        </w:rPr>
      </w:pPr>
    </w:p>
    <w:p>
      <w:pPr>
        <w:snapToGrid w:val="0"/>
        <w:spacing w:before="156" w:beforeLines="50" w:line="360" w:lineRule="auto"/>
        <w:rPr>
          <w:rFonts w:hint="eastAsia" w:ascii="宋体" w:hAnsi="宋体" w:eastAsia="宋体"/>
          <w:sz w:val="30"/>
          <w:szCs w:val="72"/>
          <w:highlight w:val="none"/>
          <w:lang w:eastAsia="zh-CN"/>
        </w:rPr>
      </w:pPr>
      <w:r>
        <w:rPr>
          <w:rFonts w:hint="eastAsia" w:ascii="宋体" w:hAnsi="宋体"/>
          <w:b/>
          <w:sz w:val="72"/>
          <w:szCs w:val="72"/>
          <w:highlight w:val="none"/>
        </w:rPr>
        <w:t xml:space="preserve">   </w:t>
      </w:r>
      <w:r>
        <w:rPr>
          <w:rFonts w:hint="eastAsia" w:ascii="宋体" w:hAnsi="宋体"/>
          <w:b/>
          <w:bCs/>
          <w:highlight w:val="none"/>
        </w:rPr>
        <w:t>项目编号</w:t>
      </w:r>
      <w:r>
        <w:rPr>
          <w:rFonts w:hint="eastAsia" w:ascii="宋体" w:hAnsi="宋体" w:eastAsia="宋体" w:cs="Times New Roman"/>
          <w:b/>
          <w:bCs/>
          <w:highlight w:val="none"/>
        </w:rPr>
        <w:t>：QBJ2025021</w:t>
      </w:r>
      <w:bookmarkStart w:id="4" w:name="_GoBack"/>
      <w:bookmarkEnd w:id="4"/>
    </w:p>
    <w:p>
      <w:pPr>
        <w:pStyle w:val="28"/>
        <w:tabs>
          <w:tab w:val="left" w:pos="1620"/>
        </w:tabs>
        <w:snapToGrid w:val="0"/>
        <w:ind w:left="1120" w:leftChars="400" w:firstLine="45" w:firstLineChars="16"/>
        <w:rPr>
          <w:rFonts w:hint="eastAsia" w:hAnsi="宋体" w:eastAsia="宋体"/>
          <w:b/>
          <w:bCs/>
          <w:color w:val="0D0D0D"/>
          <w:sz w:val="28"/>
          <w:highlight w:val="none"/>
          <w:lang w:eastAsia="zh-CN"/>
        </w:rPr>
      </w:pPr>
      <w:r>
        <w:rPr>
          <w:rFonts w:hAnsi="宋体"/>
          <w:b/>
          <w:bCs/>
          <w:sz w:val="28"/>
          <w:highlight w:val="none"/>
        </w:rPr>
        <w:t>项目名称：</w:t>
      </w:r>
      <w:r>
        <w:rPr>
          <w:rFonts w:hint="eastAsia" w:hAnsi="宋体"/>
          <w:b/>
          <w:bCs/>
          <w:sz w:val="28"/>
          <w:highlight w:val="none"/>
          <w:lang w:eastAsia="zh-CN"/>
        </w:rPr>
        <w:t>台州湾新区规划支路二道路工程(星空教育地块内)（石粉采购）</w:t>
      </w:r>
    </w:p>
    <w:p>
      <w:pPr>
        <w:pStyle w:val="28"/>
        <w:tabs>
          <w:tab w:val="left" w:pos="1620"/>
        </w:tabs>
        <w:snapToGrid w:val="0"/>
        <w:ind w:firstLine="1175" w:firstLineChars="418"/>
        <w:rPr>
          <w:rFonts w:hAnsi="宋体"/>
          <w:b/>
          <w:bCs/>
          <w:color w:val="0D0D0D"/>
          <w:sz w:val="28"/>
          <w:highlight w:val="none"/>
        </w:rPr>
      </w:pPr>
      <w:r>
        <w:rPr>
          <w:rFonts w:hint="eastAsia" w:hAnsi="宋体"/>
          <w:b/>
          <w:bCs/>
          <w:color w:val="0D0D0D"/>
          <w:sz w:val="28"/>
          <w:highlight w:val="none"/>
          <w:lang w:val="en-US" w:eastAsia="zh-CN"/>
        </w:rPr>
        <w:t>招 标 人</w:t>
      </w:r>
      <w:r>
        <w:rPr>
          <w:rFonts w:hAnsi="宋体"/>
          <w:b/>
          <w:bCs/>
          <w:color w:val="0D0D0D"/>
          <w:sz w:val="28"/>
          <w:highlight w:val="none"/>
        </w:rPr>
        <w:t>：</w:t>
      </w:r>
      <w:r>
        <w:rPr>
          <w:rFonts w:hint="eastAsia" w:hAnsi="宋体"/>
          <w:b/>
          <w:bCs/>
          <w:color w:val="0D0D0D"/>
          <w:sz w:val="28"/>
          <w:highlight w:val="none"/>
          <w:lang w:eastAsia="zh-CN"/>
        </w:rPr>
        <w:t>台州东发建设集团有限公司</w:t>
      </w:r>
      <w:r>
        <w:rPr>
          <w:rFonts w:hAnsi="宋体"/>
          <w:b/>
          <w:bCs/>
          <w:color w:val="0D0D0D"/>
          <w:sz w:val="28"/>
          <w:highlight w:val="none"/>
        </w:rPr>
        <w:t>（盖章）</w:t>
      </w:r>
    </w:p>
    <w:p>
      <w:pPr>
        <w:pStyle w:val="28"/>
        <w:tabs>
          <w:tab w:val="left" w:pos="1620"/>
        </w:tabs>
        <w:snapToGrid w:val="0"/>
        <w:ind w:firstLine="1175" w:firstLineChars="418"/>
        <w:rPr>
          <w:rFonts w:hint="eastAsia" w:hAnsi="宋体"/>
          <w:b/>
          <w:bCs/>
          <w:color w:val="auto"/>
          <w:sz w:val="28"/>
          <w:highlight w:val="none"/>
          <w:lang w:val="en-US" w:eastAsia="zh-CN"/>
        </w:rPr>
      </w:pPr>
      <w:r>
        <w:rPr>
          <w:rFonts w:hAnsi="宋体"/>
          <w:b/>
          <w:bCs/>
          <w:color w:val="0D0D0D"/>
          <w:sz w:val="28"/>
          <w:highlight w:val="none"/>
        </w:rPr>
        <w:t>联 系 人：</w:t>
      </w:r>
      <w:r>
        <w:rPr>
          <w:rFonts w:hint="eastAsia" w:hAnsi="宋体"/>
          <w:b/>
          <w:bCs/>
          <w:color w:val="0D0D0D"/>
          <w:sz w:val="28"/>
          <w:highlight w:val="none"/>
          <w:lang w:val="en-US" w:eastAsia="zh-CN"/>
        </w:rPr>
        <w:t>朱女士</w:t>
      </w:r>
      <w:r>
        <w:rPr>
          <w:rFonts w:hAnsi="宋体"/>
          <w:b/>
          <w:bCs/>
          <w:color w:val="0D0D0D"/>
          <w:sz w:val="28"/>
          <w:highlight w:val="none"/>
        </w:rPr>
        <w:t xml:space="preserve">        联系电话：</w:t>
      </w:r>
      <w:r>
        <w:rPr>
          <w:rFonts w:hint="eastAsia" w:hAnsi="宋体"/>
          <w:b/>
          <w:bCs/>
          <w:color w:val="auto"/>
          <w:sz w:val="28"/>
          <w:highlight w:val="none"/>
        </w:rPr>
        <w:t>0576-8890</w:t>
      </w:r>
      <w:r>
        <w:rPr>
          <w:rFonts w:hint="eastAsia" w:hAnsi="宋体"/>
          <w:b/>
          <w:bCs/>
          <w:color w:val="auto"/>
          <w:sz w:val="28"/>
          <w:highlight w:val="none"/>
          <w:lang w:val="en-US" w:eastAsia="zh-CN"/>
        </w:rPr>
        <w:t>3253</w:t>
      </w:r>
    </w:p>
    <w:p>
      <w:pPr>
        <w:pStyle w:val="28"/>
        <w:tabs>
          <w:tab w:val="left" w:pos="1620"/>
        </w:tabs>
        <w:snapToGrid w:val="0"/>
        <w:ind w:firstLine="1175" w:firstLineChars="418"/>
        <w:rPr>
          <w:rFonts w:hAnsi="宋体"/>
          <w:b/>
          <w:bCs/>
          <w:color w:val="0D0D0D"/>
          <w:sz w:val="28"/>
          <w:highlight w:val="none"/>
        </w:rPr>
      </w:pPr>
      <w:r>
        <w:rPr>
          <w:rFonts w:hAnsi="宋体"/>
          <w:b/>
          <w:bCs/>
          <w:color w:val="0D0D0D"/>
          <w:sz w:val="28"/>
          <w:highlight w:val="none"/>
        </w:rPr>
        <w:t>代理机构：台州市建设咨询有限公司（盖章）</w:t>
      </w:r>
    </w:p>
    <w:p>
      <w:pPr>
        <w:pStyle w:val="28"/>
        <w:snapToGrid w:val="0"/>
        <w:spacing w:line="360" w:lineRule="auto"/>
        <w:ind w:firstLine="1105" w:firstLineChars="393"/>
        <w:rPr>
          <w:rFonts w:hint="default" w:hAnsi="宋体" w:eastAsia="宋体"/>
          <w:b/>
          <w:bCs/>
          <w:color w:val="0D0D0D"/>
          <w:sz w:val="30"/>
          <w:szCs w:val="30"/>
          <w:highlight w:val="none"/>
          <w:lang w:val="en-US" w:eastAsia="zh-CN"/>
        </w:rPr>
      </w:pPr>
      <w:r>
        <w:rPr>
          <w:rFonts w:hAnsi="宋体"/>
          <w:b/>
          <w:bCs/>
          <w:color w:val="0D0D0D"/>
          <w:sz w:val="28"/>
          <w:highlight w:val="none"/>
        </w:rPr>
        <w:t>代理项目负责人：</w:t>
      </w:r>
      <w:r>
        <w:rPr>
          <w:rFonts w:hint="eastAsia" w:hAnsi="宋体"/>
          <w:b/>
          <w:bCs/>
          <w:color w:val="0D0D0D"/>
          <w:sz w:val="28"/>
          <w:highlight w:val="none"/>
          <w:lang w:val="en-US" w:eastAsia="zh-CN"/>
        </w:rPr>
        <w:t xml:space="preserve">章家炀  </w:t>
      </w:r>
      <w:r>
        <w:rPr>
          <w:rFonts w:hAnsi="宋体"/>
          <w:b/>
          <w:bCs/>
          <w:color w:val="0D0D0D"/>
          <w:sz w:val="28"/>
          <w:highlight w:val="none"/>
        </w:rPr>
        <w:t xml:space="preserve"> 联系电话：0576-885177</w:t>
      </w:r>
      <w:r>
        <w:rPr>
          <w:rFonts w:hint="eastAsia" w:hAnsi="宋体"/>
          <w:b/>
          <w:bCs/>
          <w:color w:val="0D0D0D"/>
          <w:sz w:val="28"/>
          <w:highlight w:val="none"/>
          <w:lang w:val="en-US" w:eastAsia="zh-CN"/>
        </w:rPr>
        <w:t>82</w:t>
      </w:r>
    </w:p>
    <w:p>
      <w:pPr>
        <w:pStyle w:val="28"/>
        <w:snapToGrid w:val="0"/>
        <w:spacing w:line="360" w:lineRule="auto"/>
        <w:rPr>
          <w:rFonts w:hAnsi="宋体"/>
          <w:b/>
          <w:bCs/>
          <w:color w:val="0D0D0D"/>
          <w:sz w:val="30"/>
          <w:szCs w:val="30"/>
          <w:highlight w:val="none"/>
        </w:rPr>
      </w:pPr>
    </w:p>
    <w:p>
      <w:pPr>
        <w:pStyle w:val="28"/>
        <w:snapToGrid w:val="0"/>
        <w:spacing w:line="360" w:lineRule="auto"/>
        <w:rPr>
          <w:rFonts w:hAnsi="宋体"/>
          <w:b/>
          <w:bCs/>
          <w:color w:val="0D0D0D"/>
          <w:sz w:val="30"/>
          <w:szCs w:val="30"/>
          <w:highlight w:val="none"/>
        </w:rPr>
      </w:pPr>
    </w:p>
    <w:p>
      <w:pPr>
        <w:pStyle w:val="28"/>
        <w:snapToGrid w:val="0"/>
        <w:spacing w:line="360" w:lineRule="auto"/>
        <w:rPr>
          <w:rFonts w:hAnsi="宋体"/>
          <w:b/>
          <w:bCs/>
          <w:color w:val="0D0D0D"/>
          <w:sz w:val="30"/>
          <w:szCs w:val="30"/>
          <w:highlight w:val="none"/>
        </w:rPr>
      </w:pPr>
    </w:p>
    <w:p>
      <w:pPr>
        <w:pStyle w:val="28"/>
        <w:snapToGrid w:val="0"/>
        <w:spacing w:line="360" w:lineRule="auto"/>
        <w:rPr>
          <w:rFonts w:hAnsi="宋体"/>
          <w:b/>
          <w:bCs/>
          <w:color w:val="0D0D0D"/>
          <w:sz w:val="30"/>
          <w:szCs w:val="30"/>
          <w:highlight w:val="none"/>
        </w:rPr>
      </w:pPr>
    </w:p>
    <w:p>
      <w:pPr>
        <w:pStyle w:val="28"/>
        <w:snapToGrid w:val="0"/>
        <w:spacing w:line="360" w:lineRule="auto"/>
        <w:rPr>
          <w:rFonts w:hAnsi="宋体"/>
          <w:b/>
          <w:bCs/>
          <w:color w:val="0D0D0D"/>
          <w:sz w:val="30"/>
          <w:szCs w:val="30"/>
          <w:highlight w:val="none"/>
        </w:rPr>
      </w:pPr>
    </w:p>
    <w:p>
      <w:pPr>
        <w:snapToGrid w:val="0"/>
        <w:spacing w:before="156" w:beforeLines="50" w:line="360" w:lineRule="auto"/>
        <w:ind w:left="384" w:leftChars="1" w:hanging="381" w:hangingChars="133"/>
        <w:jc w:val="center"/>
        <w:rPr>
          <w:rFonts w:ascii="宋体" w:hAnsi="宋体"/>
          <w:b/>
          <w:bCs/>
          <w:color w:val="0D0D0D"/>
          <w:w w:val="95"/>
          <w:sz w:val="30"/>
          <w:szCs w:val="30"/>
          <w:highlight w:val="none"/>
        </w:rPr>
        <w:sectPr>
          <w:headerReference r:id="rId4" w:type="first"/>
          <w:headerReference r:id="rId3" w:type="default"/>
          <w:footerReference r:id="rId5" w:type="default"/>
          <w:pgSz w:w="11906" w:h="16838"/>
          <w:pgMar w:top="1247" w:right="1361" w:bottom="1247" w:left="1361" w:header="851" w:footer="851" w:gutter="0"/>
          <w:cols w:space="720" w:num="1"/>
          <w:titlePg/>
          <w:docGrid w:type="lines" w:linePitch="312" w:charSpace="0"/>
        </w:sectPr>
      </w:pPr>
      <w:r>
        <w:rPr>
          <w:rFonts w:hint="eastAsia" w:ascii="宋体" w:hAnsi="宋体"/>
          <w:b/>
          <w:bCs/>
          <w:color w:val="0D0D0D"/>
          <w:w w:val="95"/>
          <w:sz w:val="30"/>
          <w:szCs w:val="30"/>
          <w:highlight w:val="none"/>
        </w:rPr>
        <w:t>二〇二</w:t>
      </w:r>
      <w:r>
        <w:rPr>
          <w:rFonts w:hint="eastAsia" w:ascii="宋体" w:hAnsi="宋体"/>
          <w:b/>
          <w:bCs/>
          <w:color w:val="0D0D0D"/>
          <w:w w:val="95"/>
          <w:sz w:val="30"/>
          <w:szCs w:val="30"/>
          <w:highlight w:val="none"/>
          <w:lang w:val="en-US" w:eastAsia="zh-CN"/>
        </w:rPr>
        <w:t>五</w:t>
      </w:r>
      <w:r>
        <w:rPr>
          <w:rFonts w:hint="eastAsia" w:ascii="宋体" w:hAnsi="宋体"/>
          <w:b/>
          <w:bCs/>
          <w:color w:val="0D0D0D"/>
          <w:w w:val="95"/>
          <w:sz w:val="30"/>
          <w:szCs w:val="30"/>
          <w:highlight w:val="none"/>
        </w:rPr>
        <w:t>年</w:t>
      </w:r>
      <w:r>
        <w:rPr>
          <w:rFonts w:hint="eastAsia" w:ascii="宋体" w:hAnsi="宋体"/>
          <w:b/>
          <w:bCs/>
          <w:color w:val="0D0D0D"/>
          <w:w w:val="95"/>
          <w:sz w:val="30"/>
          <w:szCs w:val="30"/>
          <w:highlight w:val="none"/>
          <w:lang w:val="en-US" w:eastAsia="zh-CN"/>
        </w:rPr>
        <w:t>二</w:t>
      </w:r>
      <w:r>
        <w:rPr>
          <w:rFonts w:hint="eastAsia" w:ascii="宋体" w:hAnsi="宋体"/>
          <w:b/>
          <w:bCs/>
          <w:color w:val="0D0D0D"/>
          <w:w w:val="95"/>
          <w:sz w:val="30"/>
          <w:szCs w:val="30"/>
          <w:highlight w:val="none"/>
        </w:rPr>
        <w:t xml:space="preserve">月 </w:t>
      </w:r>
    </w:p>
    <w:p>
      <w:pPr>
        <w:pStyle w:val="28"/>
        <w:spacing w:before="120" w:beforeLines="0" w:after="120" w:afterLines="0" w:line="360" w:lineRule="auto"/>
        <w:jc w:val="center"/>
        <w:rPr>
          <w:rFonts w:ascii="创艺简标宋" w:hAnsi="宋体" w:eastAsia="创艺简标宋"/>
          <w:color w:val="0D0D0D"/>
          <w:sz w:val="44"/>
          <w:szCs w:val="44"/>
          <w:highlight w:val="none"/>
        </w:rPr>
      </w:pPr>
      <w:r>
        <w:rPr>
          <w:rFonts w:ascii="创艺简标宋" w:hAnsi="宋体" w:eastAsia="创艺简标宋"/>
          <w:color w:val="0D0D0D"/>
          <w:sz w:val="44"/>
          <w:szCs w:val="44"/>
          <w:highlight w:val="none"/>
        </w:rPr>
        <w:t>目    录</w:t>
      </w:r>
    </w:p>
    <w:p>
      <w:pPr>
        <w:numPr>
          <w:ilvl w:val="0"/>
          <w:numId w:val="5"/>
        </w:numPr>
        <w:spacing w:before="120" w:beforeLines="50" w:line="480" w:lineRule="exact"/>
        <w:rPr>
          <w:rFonts w:ascii="宋体" w:hAnsi="宋体"/>
          <w:color w:val="0D0D0D"/>
          <w:sz w:val="30"/>
          <w:szCs w:val="20"/>
          <w:highlight w:val="none"/>
        </w:rPr>
      </w:pPr>
      <w:r>
        <w:rPr>
          <w:rFonts w:hint="eastAsia" w:ascii="宋体" w:hAnsi="宋体"/>
          <w:color w:val="0D0D0D"/>
          <w:sz w:val="30"/>
          <w:highlight w:val="none"/>
        </w:rPr>
        <w:t>招标采购公告</w:t>
      </w:r>
    </w:p>
    <w:p>
      <w:pPr>
        <w:numPr>
          <w:ilvl w:val="0"/>
          <w:numId w:val="5"/>
        </w:numPr>
        <w:spacing w:before="120" w:beforeLines="50" w:line="480" w:lineRule="exact"/>
        <w:rPr>
          <w:rFonts w:ascii="宋体" w:hAnsi="宋体"/>
          <w:color w:val="0D0D0D"/>
          <w:sz w:val="30"/>
          <w:szCs w:val="20"/>
          <w:highlight w:val="none"/>
        </w:rPr>
      </w:pPr>
      <w:r>
        <w:rPr>
          <w:rFonts w:hint="eastAsia" w:ascii="宋体" w:hAnsi="宋体"/>
          <w:color w:val="0D0D0D"/>
          <w:sz w:val="30"/>
          <w:highlight w:val="none"/>
        </w:rPr>
        <w:t>招标需求</w:t>
      </w:r>
    </w:p>
    <w:p>
      <w:pPr>
        <w:numPr>
          <w:ilvl w:val="0"/>
          <w:numId w:val="5"/>
        </w:numPr>
        <w:spacing w:before="120" w:beforeLines="50" w:line="480" w:lineRule="exact"/>
        <w:rPr>
          <w:rFonts w:ascii="宋体" w:hAnsi="宋体"/>
          <w:color w:val="0D0D0D"/>
          <w:sz w:val="30"/>
          <w:szCs w:val="20"/>
          <w:highlight w:val="none"/>
        </w:rPr>
      </w:pPr>
      <w:r>
        <w:rPr>
          <w:rFonts w:hint="eastAsia" w:ascii="宋体" w:hAnsi="宋体"/>
          <w:color w:val="0D0D0D"/>
          <w:sz w:val="30"/>
          <w:highlight w:val="none"/>
        </w:rPr>
        <w:t>投标人须知</w:t>
      </w:r>
    </w:p>
    <w:p>
      <w:pPr>
        <w:numPr>
          <w:ilvl w:val="0"/>
          <w:numId w:val="5"/>
        </w:numPr>
        <w:spacing w:before="120" w:beforeLines="50" w:line="480" w:lineRule="exact"/>
        <w:rPr>
          <w:rFonts w:ascii="宋体" w:hAnsi="宋体"/>
          <w:color w:val="0D0D0D"/>
          <w:sz w:val="30"/>
          <w:szCs w:val="20"/>
          <w:highlight w:val="none"/>
        </w:rPr>
      </w:pPr>
      <w:r>
        <w:rPr>
          <w:rFonts w:hint="eastAsia" w:ascii="宋体" w:hAnsi="宋体"/>
          <w:color w:val="0D0D0D"/>
          <w:sz w:val="30"/>
          <w:highlight w:val="none"/>
        </w:rPr>
        <w:t>评标办法及评分标准</w:t>
      </w:r>
    </w:p>
    <w:p>
      <w:pPr>
        <w:numPr>
          <w:ilvl w:val="0"/>
          <w:numId w:val="5"/>
        </w:numPr>
        <w:spacing w:before="120" w:beforeLines="50" w:line="480" w:lineRule="exact"/>
        <w:rPr>
          <w:rFonts w:ascii="宋体" w:hAnsi="宋体"/>
          <w:color w:val="0D0D0D"/>
          <w:sz w:val="30"/>
          <w:szCs w:val="20"/>
          <w:highlight w:val="none"/>
        </w:rPr>
      </w:pPr>
      <w:r>
        <w:rPr>
          <w:rFonts w:hint="eastAsia" w:ascii="宋体" w:hAnsi="宋体"/>
          <w:color w:val="0D0D0D"/>
          <w:sz w:val="30"/>
          <w:highlight w:val="none"/>
        </w:rPr>
        <w:t>合同主要条款</w:t>
      </w:r>
    </w:p>
    <w:p>
      <w:pPr>
        <w:numPr>
          <w:ilvl w:val="0"/>
          <w:numId w:val="5"/>
        </w:numPr>
        <w:spacing w:before="120" w:beforeLines="50" w:line="480" w:lineRule="exact"/>
        <w:rPr>
          <w:rFonts w:hint="eastAsia" w:ascii="宋体" w:hAnsi="宋体"/>
          <w:color w:val="0D0D0D"/>
          <w:sz w:val="30"/>
          <w:highlight w:val="none"/>
        </w:rPr>
      </w:pPr>
      <w:r>
        <w:rPr>
          <w:rFonts w:hint="eastAsia" w:ascii="宋体" w:hAnsi="宋体"/>
          <w:color w:val="0D0D0D"/>
          <w:sz w:val="30"/>
          <w:highlight w:val="none"/>
        </w:rPr>
        <w:t>报价文件格式</w:t>
      </w:r>
    </w:p>
    <w:p>
      <w:pPr>
        <w:pStyle w:val="28"/>
        <w:snapToGrid w:val="0"/>
        <w:spacing w:before="120" w:after="120" w:line="360" w:lineRule="auto"/>
        <w:jc w:val="center"/>
        <w:outlineLvl w:val="0"/>
        <w:rPr>
          <w:rFonts w:ascii="黑体" w:hAnsi="宋体" w:eastAsia="黑体"/>
          <w:color w:val="0D0D0D"/>
          <w:sz w:val="30"/>
          <w:szCs w:val="30"/>
          <w:highlight w:val="none"/>
        </w:rPr>
      </w:pPr>
      <w:r>
        <w:rPr>
          <w:rFonts w:hAnsi="宋体"/>
          <w:color w:val="0D0D0D"/>
          <w:highlight w:val="none"/>
        </w:rPr>
        <w:br w:type="page"/>
      </w:r>
      <w:r>
        <w:rPr>
          <w:rFonts w:ascii="黑体" w:hAnsi="宋体" w:eastAsia="黑体"/>
          <w:color w:val="0D0D0D"/>
          <w:sz w:val="30"/>
          <w:szCs w:val="30"/>
          <w:highlight w:val="none"/>
        </w:rPr>
        <w:t xml:space="preserve">第一章  </w:t>
      </w:r>
      <w:r>
        <w:rPr>
          <w:rFonts w:hint="eastAsia" w:ascii="黑体" w:hAnsi="宋体" w:eastAsia="黑体"/>
          <w:color w:val="0D0D0D"/>
          <w:sz w:val="30"/>
          <w:szCs w:val="30"/>
          <w:highlight w:val="none"/>
        </w:rPr>
        <w:t>招标采购公告</w:t>
      </w:r>
    </w:p>
    <w:p>
      <w:pPr>
        <w:pStyle w:val="122"/>
        <w:widowControl w:val="0"/>
        <w:spacing w:afterLines="0" w:line="360" w:lineRule="auto"/>
        <w:ind w:firstLine="480"/>
        <w:rPr>
          <w:rFonts w:ascii="宋体" w:hAnsi="宋体"/>
          <w:color w:val="0D0D0D"/>
          <w:szCs w:val="24"/>
          <w:highlight w:val="none"/>
        </w:rPr>
      </w:pPr>
      <w:r>
        <w:rPr>
          <w:rFonts w:hint="eastAsia" w:ascii="宋体" w:hAnsi="宋体"/>
          <w:color w:val="0D0D0D"/>
          <w:szCs w:val="24"/>
          <w:highlight w:val="none"/>
        </w:rPr>
        <w:t>台州市建设咨询有限公司受</w:t>
      </w:r>
      <w:r>
        <w:rPr>
          <w:rFonts w:hint="eastAsia" w:ascii="宋体" w:hAnsi="宋体"/>
          <w:color w:val="0D0D0D"/>
          <w:szCs w:val="24"/>
          <w:highlight w:val="none"/>
          <w:lang w:eastAsia="zh-CN"/>
        </w:rPr>
        <w:t>台州东发建设集团有限公司</w:t>
      </w:r>
      <w:r>
        <w:rPr>
          <w:rFonts w:hint="eastAsia" w:ascii="宋体" w:hAnsi="宋体"/>
          <w:color w:val="0D0D0D"/>
          <w:szCs w:val="24"/>
          <w:highlight w:val="none"/>
        </w:rPr>
        <w:t>委托，现就</w:t>
      </w:r>
      <w:r>
        <w:rPr>
          <w:rFonts w:hint="eastAsia" w:ascii="宋体" w:hAnsi="宋体"/>
          <w:b/>
          <w:bCs/>
          <w:color w:val="0D0D0D"/>
          <w:szCs w:val="24"/>
          <w:highlight w:val="none"/>
          <w:u w:val="single"/>
          <w:lang w:eastAsia="zh-CN"/>
        </w:rPr>
        <w:t>台州湾新区规划支路二道路工程(星空教育地块内)（石粉采购）</w:t>
      </w:r>
      <w:r>
        <w:rPr>
          <w:rFonts w:hint="eastAsia" w:ascii="宋体" w:hAnsi="宋体"/>
          <w:color w:val="0D0D0D"/>
          <w:szCs w:val="24"/>
          <w:highlight w:val="none"/>
          <w:u w:val="single"/>
        </w:rPr>
        <w:t>进行公开招标。凡具备本项目投标资格要求且能够及时提供本项目服务的</w:t>
      </w:r>
      <w:r>
        <w:rPr>
          <w:rFonts w:hint="eastAsia" w:ascii="宋体" w:hAnsi="宋体"/>
          <w:color w:val="0D0D0D"/>
          <w:szCs w:val="24"/>
          <w:highlight w:val="none"/>
          <w:u w:val="single"/>
          <w:lang w:val="en-US" w:eastAsia="zh-CN"/>
        </w:rPr>
        <w:t>投标人</w:t>
      </w:r>
      <w:r>
        <w:rPr>
          <w:rFonts w:hint="eastAsia" w:ascii="宋体" w:hAnsi="宋体"/>
          <w:color w:val="0D0D0D"/>
          <w:szCs w:val="24"/>
          <w:highlight w:val="none"/>
          <w:u w:val="single"/>
        </w:rPr>
        <w:t>均可参加。</w:t>
      </w:r>
    </w:p>
    <w:p>
      <w:pPr>
        <w:numPr>
          <w:ilvl w:val="0"/>
          <w:numId w:val="6"/>
        </w:numPr>
        <w:snapToGrid w:val="0"/>
        <w:spacing w:line="360" w:lineRule="auto"/>
        <w:ind w:firstLine="482" w:firstLineChars="200"/>
        <w:rPr>
          <w:rFonts w:hint="eastAsia" w:ascii="宋体" w:hAnsi="宋体" w:cs="Arial"/>
          <w:b/>
          <w:color w:val="0D0D0D"/>
          <w:sz w:val="24"/>
          <w:highlight w:val="none"/>
        </w:rPr>
      </w:pPr>
      <w:r>
        <w:rPr>
          <w:rFonts w:hint="eastAsia" w:ascii="宋体" w:hAnsi="宋体" w:cs="Arial"/>
          <w:b/>
          <w:color w:val="0D0D0D"/>
          <w:sz w:val="24"/>
          <w:highlight w:val="none"/>
        </w:rPr>
        <w:t>项目编号：QBJ2025021</w:t>
      </w:r>
    </w:p>
    <w:p>
      <w:pPr>
        <w:numPr>
          <w:ilvl w:val="0"/>
          <w:numId w:val="0"/>
        </w:numPr>
        <w:snapToGrid w:val="0"/>
        <w:spacing w:line="360" w:lineRule="auto"/>
        <w:ind w:firstLine="482" w:firstLineChars="200"/>
        <w:rPr>
          <w:rFonts w:hint="eastAsia" w:ascii="宋体" w:hAnsi="宋体" w:eastAsia="宋体" w:cs="Arial"/>
          <w:b/>
          <w:color w:val="0D0D0D"/>
          <w:sz w:val="24"/>
          <w:highlight w:val="none"/>
          <w:lang w:eastAsia="zh-CN"/>
        </w:rPr>
      </w:pPr>
      <w:r>
        <w:rPr>
          <w:rFonts w:hint="eastAsia" w:ascii="宋体" w:hAnsi="宋体" w:cs="Arial"/>
          <w:b/>
          <w:color w:val="auto"/>
          <w:sz w:val="24"/>
          <w:highlight w:val="none"/>
        </w:rPr>
        <w:t>二、采购方式：</w:t>
      </w:r>
      <w:r>
        <w:rPr>
          <w:rFonts w:hint="eastAsia" w:ascii="宋体" w:hAnsi="宋体" w:cs="Arial"/>
          <w:color w:val="auto"/>
          <w:sz w:val="24"/>
          <w:highlight w:val="none"/>
        </w:rPr>
        <w:t>公开招标</w:t>
      </w:r>
    </w:p>
    <w:p>
      <w:pPr>
        <w:snapToGrid w:val="0"/>
        <w:spacing w:line="360" w:lineRule="auto"/>
        <w:ind w:firstLine="482" w:firstLineChars="200"/>
        <w:rPr>
          <w:rFonts w:ascii="宋体" w:hAnsi="宋体" w:cs="Arial"/>
          <w:b/>
          <w:bCs/>
          <w:color w:val="0D0D0D"/>
          <w:sz w:val="24"/>
          <w:szCs w:val="20"/>
          <w:highlight w:val="none"/>
        </w:rPr>
      </w:pPr>
      <w:r>
        <w:rPr>
          <w:rFonts w:hint="eastAsia" w:ascii="宋体" w:hAnsi="宋体" w:cs="Arial"/>
          <w:b/>
          <w:color w:val="0D0D0D"/>
          <w:sz w:val="24"/>
          <w:highlight w:val="none"/>
          <w:lang w:val="en-US" w:eastAsia="zh-CN"/>
        </w:rPr>
        <w:t>三</w:t>
      </w:r>
      <w:r>
        <w:rPr>
          <w:rFonts w:hint="eastAsia" w:ascii="宋体" w:hAnsi="宋体" w:cs="Arial"/>
          <w:b/>
          <w:color w:val="0D0D0D"/>
          <w:sz w:val="24"/>
          <w:highlight w:val="none"/>
        </w:rPr>
        <w:t>、</w:t>
      </w:r>
      <w:r>
        <w:rPr>
          <w:rFonts w:hint="eastAsia" w:ascii="宋体" w:hAnsi="宋体" w:cs="Arial"/>
          <w:b/>
          <w:bCs/>
          <w:color w:val="0D0D0D"/>
          <w:sz w:val="24"/>
          <w:highlight w:val="none"/>
        </w:rPr>
        <w:t>采购内容及数量</w:t>
      </w:r>
    </w:p>
    <w:tbl>
      <w:tblPr>
        <w:tblStyle w:val="46"/>
        <w:tblW w:w="9216" w:type="dxa"/>
        <w:tblInd w:w="28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99"/>
        <w:gridCol w:w="3564"/>
        <w:gridCol w:w="1450"/>
        <w:gridCol w:w="1383"/>
        <w:gridCol w:w="1150"/>
        <w:gridCol w:w="117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7" w:hRule="atLeast"/>
        </w:trPr>
        <w:tc>
          <w:tcPr>
            <w:tcW w:w="49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360" w:lineRule="auto"/>
              <w:jc w:val="center"/>
              <w:textAlignment w:val="center"/>
              <w:rPr>
                <w:rFonts w:hint="eastAsia" w:ascii="宋体" w:hAnsi="宋体" w:cs="Arial"/>
                <w:bCs/>
                <w:color w:val="0C0C0C"/>
                <w:sz w:val="21"/>
                <w:szCs w:val="21"/>
                <w:highlight w:val="none"/>
              </w:rPr>
            </w:pPr>
            <w:r>
              <w:rPr>
                <w:rFonts w:hint="eastAsia" w:ascii="宋体" w:hAnsi="宋体" w:eastAsia="宋体" w:cs="宋体"/>
                <w:i w:val="0"/>
                <w:color w:val="000000"/>
                <w:kern w:val="0"/>
                <w:sz w:val="22"/>
                <w:szCs w:val="22"/>
                <w:highlight w:val="none"/>
                <w:u w:val="none"/>
                <w:lang w:val="en-US" w:eastAsia="zh-CN" w:bidi="ar"/>
              </w:rPr>
              <w:t>序号</w:t>
            </w:r>
          </w:p>
        </w:tc>
        <w:tc>
          <w:tcPr>
            <w:tcW w:w="35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360" w:lineRule="auto"/>
              <w:jc w:val="center"/>
              <w:textAlignment w:val="center"/>
              <w:rPr>
                <w:rFonts w:hint="default" w:ascii="宋体" w:hAnsi="宋体" w:cs="Arial"/>
                <w:bCs/>
                <w:color w:val="0C0C0C"/>
                <w:sz w:val="21"/>
                <w:szCs w:val="21"/>
                <w:highlight w:val="none"/>
                <w:lang w:val="en-US"/>
              </w:rPr>
            </w:pPr>
            <w:r>
              <w:rPr>
                <w:rFonts w:hint="eastAsia" w:ascii="宋体" w:hAnsi="宋体" w:eastAsia="宋体" w:cs="宋体"/>
                <w:i w:val="0"/>
                <w:color w:val="000000"/>
                <w:kern w:val="0"/>
                <w:sz w:val="22"/>
                <w:szCs w:val="22"/>
                <w:highlight w:val="none"/>
                <w:u w:val="none"/>
                <w:lang w:val="en-US" w:eastAsia="zh-CN" w:bidi="ar"/>
              </w:rPr>
              <w:t>材料名称</w:t>
            </w:r>
          </w:p>
        </w:tc>
        <w:tc>
          <w:tcPr>
            <w:tcW w:w="1450" w:type="dxa"/>
            <w:tcBorders>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eastAsia="宋体" w:cs="Arial"/>
                <w:bCs/>
                <w:color w:val="0C0C0C"/>
                <w:sz w:val="21"/>
                <w:szCs w:val="21"/>
                <w:highlight w:val="none"/>
                <w:lang w:val="en-US" w:eastAsia="zh-CN"/>
              </w:rPr>
            </w:pPr>
            <w:r>
              <w:rPr>
                <w:rFonts w:hint="eastAsia" w:ascii="宋体" w:hAnsi="宋体" w:cs="Arial"/>
                <w:bCs/>
                <w:color w:val="0C0C0C"/>
                <w:sz w:val="21"/>
                <w:szCs w:val="21"/>
                <w:highlight w:val="none"/>
                <w:lang w:val="en-US" w:eastAsia="zh-CN"/>
              </w:rPr>
              <w:t>规格</w:t>
            </w:r>
          </w:p>
        </w:tc>
        <w:tc>
          <w:tcPr>
            <w:tcW w:w="1383" w:type="dxa"/>
            <w:tcBorders>
              <w:left w:val="single" w:color="auto" w:sz="4" w:space="0"/>
              <w:bottom w:val="single" w:color="auto" w:sz="4" w:space="0"/>
              <w:right w:val="single" w:color="auto" w:sz="4" w:space="0"/>
            </w:tcBorders>
            <w:noWrap w:val="0"/>
            <w:vAlign w:val="center"/>
          </w:tcPr>
          <w:p>
            <w:pPr>
              <w:snapToGrid w:val="0"/>
              <w:spacing w:line="360" w:lineRule="auto"/>
              <w:jc w:val="center"/>
              <w:rPr>
                <w:rFonts w:ascii="宋体" w:hAnsi="宋体" w:cs="Arial"/>
                <w:bCs/>
                <w:color w:val="0C0C0C"/>
                <w:sz w:val="21"/>
                <w:szCs w:val="21"/>
                <w:highlight w:val="none"/>
              </w:rPr>
            </w:pPr>
            <w:r>
              <w:rPr>
                <w:rFonts w:hint="eastAsia" w:ascii="宋体" w:hAnsi="宋体" w:cs="Arial"/>
                <w:bCs/>
                <w:color w:val="0C0C0C"/>
                <w:sz w:val="21"/>
                <w:szCs w:val="21"/>
                <w:highlight w:val="none"/>
              </w:rPr>
              <w:t>工程量</w:t>
            </w:r>
          </w:p>
        </w:tc>
        <w:tc>
          <w:tcPr>
            <w:tcW w:w="1150" w:type="dxa"/>
            <w:tcBorders>
              <w:left w:val="single" w:color="auto" w:sz="4" w:space="0"/>
              <w:bottom w:val="single" w:color="auto" w:sz="4" w:space="0"/>
              <w:right w:val="single" w:color="auto" w:sz="4" w:space="0"/>
            </w:tcBorders>
            <w:noWrap w:val="0"/>
            <w:vAlign w:val="center"/>
          </w:tcPr>
          <w:p>
            <w:pPr>
              <w:widowControl/>
              <w:spacing w:line="360" w:lineRule="auto"/>
              <w:jc w:val="center"/>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cs="宋体"/>
                <w:color w:val="000000"/>
                <w:kern w:val="0"/>
                <w:sz w:val="22"/>
                <w:szCs w:val="22"/>
                <w:highlight w:val="none"/>
                <w:lang w:val="en-US" w:eastAsia="zh-CN" w:bidi="ar"/>
              </w:rPr>
              <w:t>上限价</w:t>
            </w:r>
          </w:p>
        </w:tc>
        <w:tc>
          <w:tcPr>
            <w:tcW w:w="1170" w:type="dxa"/>
            <w:tcBorders>
              <w:left w:val="single" w:color="auto" w:sz="4" w:space="0"/>
              <w:bottom w:val="single" w:color="auto" w:sz="4" w:space="0"/>
              <w:right w:val="single" w:color="auto" w:sz="4" w:space="0"/>
            </w:tcBorders>
            <w:noWrap w:val="0"/>
            <w:vAlign w:val="center"/>
          </w:tcPr>
          <w:p>
            <w:pPr>
              <w:widowControl/>
              <w:spacing w:line="360" w:lineRule="auto"/>
              <w:jc w:val="center"/>
              <w:textAlignment w:val="center"/>
              <w:rPr>
                <w:rFonts w:hint="eastAsia" w:ascii="宋体" w:hAnsi="宋体" w:cs="宋体"/>
                <w:color w:val="000000"/>
                <w:kern w:val="0"/>
                <w:sz w:val="22"/>
                <w:szCs w:val="22"/>
                <w:highlight w:val="none"/>
                <w:lang w:bidi="ar"/>
              </w:rPr>
            </w:pPr>
            <w:r>
              <w:rPr>
                <w:rFonts w:hint="eastAsia" w:ascii="宋体" w:hAnsi="宋体" w:cs="宋体"/>
                <w:color w:val="000000"/>
                <w:kern w:val="0"/>
                <w:sz w:val="22"/>
                <w:szCs w:val="22"/>
                <w:highlight w:val="none"/>
                <w:lang w:bidi="ar"/>
              </w:rPr>
              <w:t>预算</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6" w:hRule="atLeast"/>
        </w:trPr>
        <w:tc>
          <w:tcPr>
            <w:tcW w:w="49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cs="Arial"/>
                <w:bCs/>
                <w:sz w:val="21"/>
                <w:szCs w:val="21"/>
                <w:highlight w:val="none"/>
              </w:rPr>
            </w:pPr>
            <w:r>
              <w:rPr>
                <w:rFonts w:hint="eastAsia" w:ascii="宋体" w:hAnsi="宋体" w:eastAsia="宋体" w:cs="宋体"/>
                <w:i w:val="0"/>
                <w:color w:val="000000"/>
                <w:kern w:val="0"/>
                <w:sz w:val="22"/>
                <w:szCs w:val="22"/>
                <w:highlight w:val="none"/>
                <w:u w:val="none"/>
                <w:lang w:val="en-US" w:eastAsia="zh-CN" w:bidi="ar"/>
              </w:rPr>
              <w:t>1</w:t>
            </w:r>
          </w:p>
        </w:tc>
        <w:tc>
          <w:tcPr>
            <w:tcW w:w="35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cs="宋体"/>
                <w:color w:val="000000"/>
                <w:kern w:val="0"/>
                <w:sz w:val="22"/>
                <w:szCs w:val="22"/>
                <w:highlight w:val="none"/>
                <w:lang w:bidi="ar"/>
              </w:rPr>
            </w:pPr>
            <w:r>
              <w:rPr>
                <w:rFonts w:hint="eastAsia" w:ascii="宋体" w:hAnsi="宋体" w:eastAsia="宋体" w:cs="宋体"/>
                <w:i w:val="0"/>
                <w:color w:val="000000"/>
                <w:kern w:val="0"/>
                <w:sz w:val="22"/>
                <w:szCs w:val="22"/>
                <w:highlight w:val="none"/>
                <w:u w:val="none"/>
                <w:lang w:val="en-US" w:eastAsia="zh-CN" w:bidi="ar"/>
              </w:rPr>
              <w:t>石粉（水泥稳定层用料）</w:t>
            </w:r>
          </w:p>
        </w:tc>
        <w:tc>
          <w:tcPr>
            <w:tcW w:w="14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cs="宋体"/>
                <w:kern w:val="0"/>
                <w:sz w:val="22"/>
                <w:szCs w:val="22"/>
                <w:highlight w:val="none"/>
                <w:lang w:bidi="ar"/>
              </w:rPr>
            </w:pPr>
            <w:r>
              <w:rPr>
                <w:rFonts w:hint="eastAsia" w:ascii="宋体" w:hAnsi="宋体" w:eastAsia="宋体" w:cs="宋体"/>
                <w:i w:val="0"/>
                <w:color w:val="000000"/>
                <w:kern w:val="0"/>
                <w:sz w:val="22"/>
                <w:szCs w:val="22"/>
                <w:highlight w:val="none"/>
                <w:u w:val="none"/>
                <w:lang w:val="en-US" w:eastAsia="zh-CN" w:bidi="ar"/>
              </w:rPr>
              <w:t>含泥量≤3％</w:t>
            </w:r>
          </w:p>
        </w:tc>
        <w:tc>
          <w:tcPr>
            <w:tcW w:w="13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cs="宋体"/>
                <w:color w:val="000000"/>
                <w:kern w:val="0"/>
                <w:sz w:val="22"/>
                <w:szCs w:val="22"/>
                <w:highlight w:val="none"/>
                <w:lang w:bidi="ar"/>
              </w:rPr>
            </w:pPr>
            <w:r>
              <w:rPr>
                <w:rFonts w:hint="eastAsia" w:ascii="宋体" w:hAnsi="宋体" w:cs="宋体"/>
                <w:i w:val="0"/>
                <w:color w:val="000000"/>
                <w:kern w:val="0"/>
                <w:sz w:val="22"/>
                <w:szCs w:val="22"/>
                <w:highlight w:val="none"/>
                <w:u w:val="none"/>
                <w:lang w:val="en-US" w:eastAsia="zh-CN" w:bidi="ar"/>
              </w:rPr>
              <w:t>1500</w:t>
            </w:r>
            <w:r>
              <w:rPr>
                <w:rFonts w:hint="eastAsia" w:ascii="宋体" w:hAnsi="宋体" w:eastAsia="宋体" w:cs="宋体"/>
                <w:i w:val="0"/>
                <w:color w:val="000000"/>
                <w:kern w:val="0"/>
                <w:sz w:val="22"/>
                <w:szCs w:val="22"/>
                <w:highlight w:val="none"/>
                <w:u w:val="none"/>
                <w:lang w:val="en-US" w:eastAsia="zh-CN" w:bidi="ar"/>
              </w:rPr>
              <w:t>t</w:t>
            </w:r>
          </w:p>
        </w:tc>
        <w:tc>
          <w:tcPr>
            <w:tcW w:w="115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textAlignment w:val="center"/>
              <w:rPr>
                <w:rFonts w:hint="default" w:ascii="宋体" w:hAnsi="宋体" w:eastAsia="宋体" w:cs="宋体"/>
                <w:kern w:val="0"/>
                <w:sz w:val="22"/>
                <w:szCs w:val="22"/>
                <w:highlight w:val="none"/>
                <w:lang w:val="en-US" w:eastAsia="zh-CN" w:bidi="ar"/>
              </w:rPr>
            </w:pPr>
            <w:r>
              <w:rPr>
                <w:rFonts w:hint="eastAsia" w:ascii="宋体" w:hAnsi="宋体" w:cs="宋体"/>
                <w:kern w:val="0"/>
                <w:sz w:val="22"/>
                <w:szCs w:val="22"/>
                <w:highlight w:val="none"/>
                <w:lang w:val="en-US" w:eastAsia="zh-CN" w:bidi="ar"/>
              </w:rPr>
              <w:t>124500元</w:t>
            </w:r>
          </w:p>
        </w:tc>
        <w:tc>
          <w:tcPr>
            <w:tcW w:w="117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textAlignment w:val="center"/>
              <w:rPr>
                <w:rFonts w:ascii="宋体" w:hAnsi="宋体" w:cs="宋体"/>
                <w:kern w:val="0"/>
                <w:sz w:val="22"/>
                <w:szCs w:val="22"/>
                <w:highlight w:val="none"/>
                <w:lang w:bidi="ar"/>
              </w:rPr>
            </w:pPr>
            <w:r>
              <w:rPr>
                <w:rFonts w:hint="eastAsia" w:ascii="宋体" w:hAnsi="宋体" w:cs="宋体"/>
                <w:kern w:val="0"/>
                <w:sz w:val="22"/>
                <w:szCs w:val="22"/>
                <w:highlight w:val="none"/>
                <w:lang w:bidi="ar"/>
              </w:rPr>
              <w:t>143175元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6" w:hRule="atLeast"/>
        </w:trPr>
        <w:tc>
          <w:tcPr>
            <w:tcW w:w="9216" w:type="dxa"/>
            <w:gridSpan w:val="6"/>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both"/>
              <w:textAlignment w:val="center"/>
              <w:rPr>
                <w:rFonts w:hint="eastAsia" w:ascii="宋体" w:hAnsi="宋体" w:cs="宋体"/>
                <w:kern w:val="0"/>
                <w:sz w:val="22"/>
                <w:szCs w:val="22"/>
                <w:highlight w:val="none"/>
                <w:lang w:val="en-US" w:eastAsia="zh-CN" w:bidi="ar"/>
              </w:rPr>
            </w:pPr>
            <w:r>
              <w:rPr>
                <w:rFonts w:hint="eastAsia" w:ascii="宋体" w:hAnsi="宋体" w:cs="宋体"/>
                <w:i w:val="0"/>
                <w:color w:val="auto"/>
                <w:kern w:val="0"/>
                <w:sz w:val="22"/>
                <w:szCs w:val="22"/>
                <w:highlight w:val="none"/>
                <w:u w:val="none"/>
                <w:lang w:val="en-US" w:eastAsia="zh-CN" w:bidi="ar"/>
              </w:rPr>
              <w:t>注：</w:t>
            </w:r>
            <w:r>
              <w:rPr>
                <w:rFonts w:hint="eastAsia" w:ascii="宋体" w:hAnsi="宋体" w:eastAsia="宋体" w:cs="宋体"/>
                <w:i w:val="0"/>
                <w:color w:val="000000"/>
                <w:kern w:val="0"/>
                <w:sz w:val="22"/>
                <w:szCs w:val="22"/>
                <w:highlight w:val="none"/>
                <w:u w:val="none"/>
                <w:lang w:val="en-US" w:eastAsia="zh-CN" w:bidi="ar"/>
              </w:rPr>
              <w:t>石粉需满足水泥稳定层配比用料，含泥量≤3％。</w:t>
            </w:r>
          </w:p>
        </w:tc>
      </w:tr>
    </w:tbl>
    <w:p>
      <w:pPr>
        <w:snapToGrid w:val="0"/>
        <w:spacing w:line="360" w:lineRule="auto"/>
        <w:ind w:firstLine="482" w:firstLineChars="200"/>
        <w:rPr>
          <w:rFonts w:ascii="宋体" w:hAnsi="宋体" w:cs="Arial"/>
          <w:b/>
          <w:bCs/>
          <w:color w:val="0D0D0D"/>
          <w:sz w:val="24"/>
          <w:szCs w:val="20"/>
          <w:highlight w:val="none"/>
        </w:rPr>
      </w:pPr>
      <w:r>
        <w:rPr>
          <w:rFonts w:hint="eastAsia" w:ascii="宋体" w:hAnsi="宋体" w:cs="Arial"/>
          <w:b/>
          <w:color w:val="0D0D0D"/>
          <w:sz w:val="24"/>
          <w:highlight w:val="none"/>
          <w:lang w:val="en-US" w:eastAsia="zh-CN"/>
        </w:rPr>
        <w:t>四</w:t>
      </w:r>
      <w:r>
        <w:rPr>
          <w:rFonts w:hint="eastAsia" w:ascii="宋体" w:hAnsi="宋体" w:cs="Arial"/>
          <w:color w:val="0D0D0D"/>
          <w:sz w:val="24"/>
          <w:highlight w:val="none"/>
        </w:rPr>
        <w:t>、</w:t>
      </w:r>
      <w:r>
        <w:rPr>
          <w:rFonts w:hint="eastAsia" w:ascii="宋体" w:hAnsi="宋体" w:cs="Arial"/>
          <w:b/>
          <w:bCs/>
          <w:color w:val="0D0D0D"/>
          <w:sz w:val="24"/>
          <w:highlight w:val="none"/>
        </w:rPr>
        <w:t>合格投标人的资格要求</w:t>
      </w:r>
    </w:p>
    <w:p>
      <w:pPr>
        <w:snapToGrid w:val="0"/>
        <w:spacing w:line="360" w:lineRule="auto"/>
        <w:ind w:firstLine="542" w:firstLineChars="225"/>
        <w:rPr>
          <w:rFonts w:hint="eastAsia" w:ascii="宋体" w:hAnsi="宋体" w:eastAsia="宋体" w:cs="Arial"/>
          <w:color w:val="0D0D0D"/>
          <w:sz w:val="24"/>
          <w:highlight w:val="none"/>
          <w:lang w:eastAsia="zh-CN"/>
        </w:rPr>
      </w:pPr>
      <w:r>
        <w:rPr>
          <w:rFonts w:hint="eastAsia" w:ascii="宋体" w:hAnsi="宋体" w:cs="Arial"/>
          <w:b/>
          <w:color w:val="0D0D0D"/>
          <w:sz w:val="24"/>
          <w:highlight w:val="none"/>
        </w:rPr>
        <w:t>1、</w:t>
      </w:r>
      <w:r>
        <w:rPr>
          <w:rFonts w:hint="eastAsia" w:ascii="宋体" w:hAnsi="宋体" w:cs="Arial"/>
          <w:b/>
          <w:color w:val="0C0C0C"/>
          <w:sz w:val="24"/>
          <w:highlight w:val="none"/>
        </w:rPr>
        <w:t>具备提供</w:t>
      </w:r>
      <w:r>
        <w:rPr>
          <w:rFonts w:hint="eastAsia" w:ascii="宋体" w:hAnsi="宋体" w:cs="Arial"/>
          <w:b/>
          <w:color w:val="0C0C0C"/>
          <w:sz w:val="24"/>
          <w:highlight w:val="none"/>
          <w:lang w:val="en-US" w:eastAsia="zh-CN"/>
        </w:rPr>
        <w:t>本项目</w:t>
      </w:r>
      <w:r>
        <w:rPr>
          <w:rFonts w:hint="eastAsia" w:ascii="宋体" w:hAnsi="宋体" w:cs="Arial"/>
          <w:b/>
          <w:color w:val="0C0C0C"/>
          <w:sz w:val="24"/>
          <w:highlight w:val="none"/>
        </w:rPr>
        <w:t>材料供应能力的</w:t>
      </w:r>
      <w:r>
        <w:rPr>
          <w:rFonts w:hint="eastAsia" w:ascii="宋体" w:hAnsi="宋体" w:cs="Arial"/>
          <w:b/>
          <w:color w:val="0C0C0C"/>
          <w:sz w:val="24"/>
          <w:highlight w:val="none"/>
          <w:lang w:val="en-US" w:eastAsia="zh-CN"/>
        </w:rPr>
        <w:t>投标人</w:t>
      </w:r>
      <w:r>
        <w:rPr>
          <w:rFonts w:hint="eastAsia" w:ascii="宋体" w:hAnsi="宋体" w:cs="Arial"/>
          <w:b/>
          <w:color w:val="0C0C0C"/>
          <w:sz w:val="24"/>
          <w:highlight w:val="none"/>
          <w:lang w:eastAsia="zh-CN"/>
        </w:rPr>
        <w:t>；</w:t>
      </w:r>
    </w:p>
    <w:p>
      <w:pPr>
        <w:snapToGrid w:val="0"/>
        <w:spacing w:line="360" w:lineRule="auto"/>
        <w:ind w:firstLine="540" w:firstLineChars="225"/>
        <w:rPr>
          <w:rFonts w:hint="eastAsia" w:ascii="宋体" w:hAnsi="宋体" w:cs="Arial"/>
          <w:color w:val="0D0D0D"/>
          <w:sz w:val="24"/>
          <w:highlight w:val="none"/>
        </w:rPr>
      </w:pPr>
      <w:r>
        <w:rPr>
          <w:rFonts w:hint="eastAsia" w:ascii="宋体" w:hAnsi="宋体" w:cs="Arial"/>
          <w:color w:val="0D0D0D"/>
          <w:sz w:val="24"/>
          <w:highlight w:val="none"/>
        </w:rPr>
        <w:t>2、本项目不接受联合体投标。</w:t>
      </w:r>
    </w:p>
    <w:p>
      <w:pPr>
        <w:snapToGrid w:val="0"/>
        <w:spacing w:line="360" w:lineRule="auto"/>
        <w:ind w:firstLine="542" w:firstLineChars="225"/>
        <w:rPr>
          <w:rFonts w:ascii="宋体" w:hAnsi="宋体" w:cs="Arial"/>
          <w:color w:val="auto"/>
          <w:sz w:val="24"/>
          <w:szCs w:val="20"/>
          <w:highlight w:val="none"/>
        </w:rPr>
      </w:pPr>
      <w:r>
        <w:rPr>
          <w:rFonts w:hint="eastAsia" w:ascii="宋体" w:hAnsi="宋体" w:cs="Arial"/>
          <w:b/>
          <w:bCs/>
          <w:color w:val="auto"/>
          <w:sz w:val="24"/>
          <w:highlight w:val="none"/>
        </w:rPr>
        <w:t>五、招标文件的获取</w:t>
      </w:r>
    </w:p>
    <w:p>
      <w:pPr>
        <w:snapToGrid w:val="0"/>
        <w:spacing w:line="360" w:lineRule="auto"/>
        <w:ind w:firstLine="539"/>
        <w:rPr>
          <w:rFonts w:hint="eastAsia" w:ascii="宋体" w:hAnsi="宋体" w:cs="Arial"/>
          <w:color w:val="auto"/>
          <w:sz w:val="24"/>
          <w:highlight w:val="none"/>
        </w:rPr>
      </w:pPr>
      <w:r>
        <w:rPr>
          <w:rFonts w:hint="eastAsia" w:ascii="宋体" w:hAnsi="宋体" w:cs="Arial"/>
          <w:color w:val="auto"/>
          <w:sz w:val="24"/>
          <w:highlight w:val="none"/>
        </w:rPr>
        <w:t>本次招标文件的获取由各投标人自行到</w:t>
      </w:r>
      <w:r>
        <w:rPr>
          <w:rFonts w:hint="eastAsia" w:ascii="宋体" w:hAnsi="宋体" w:cs="宋体"/>
          <w:sz w:val="24"/>
          <w:szCs w:val="24"/>
          <w:highlight w:val="none"/>
        </w:rPr>
        <w:t>台州湾新区小额工程电子交易平台（网址：</w:t>
      </w:r>
      <w:r>
        <w:rPr>
          <w:sz w:val="24"/>
          <w:szCs w:val="24"/>
          <w:highlight w:val="none"/>
        </w:rPr>
        <w:t>http://www.tzwztb.com/</w:t>
      </w:r>
      <w:r>
        <w:rPr>
          <w:rFonts w:hint="eastAsia" w:ascii="宋体" w:hAnsi="宋体" w:cs="宋体"/>
          <w:sz w:val="24"/>
          <w:szCs w:val="24"/>
          <w:highlight w:val="none"/>
        </w:rPr>
        <w:t>）</w:t>
      </w:r>
      <w:r>
        <w:rPr>
          <w:rFonts w:hint="eastAsia" w:ascii="宋体" w:hAnsi="宋体" w:cs="Arial"/>
          <w:color w:val="auto"/>
          <w:sz w:val="24"/>
          <w:highlight w:val="none"/>
        </w:rPr>
        <w:t>下载获取。本次招标取消报名环节请各投标人密切关注</w:t>
      </w:r>
      <w:r>
        <w:rPr>
          <w:rFonts w:hint="eastAsia" w:ascii="宋体" w:hAnsi="宋体" w:cs="宋体"/>
          <w:sz w:val="24"/>
          <w:szCs w:val="24"/>
          <w:highlight w:val="none"/>
        </w:rPr>
        <w:t>台州湾新区小额工程电子交易平台</w:t>
      </w:r>
      <w:r>
        <w:rPr>
          <w:rFonts w:hint="eastAsia" w:ascii="宋体" w:hAnsi="宋体" w:cs="Arial"/>
          <w:color w:val="auto"/>
          <w:sz w:val="24"/>
          <w:highlight w:val="none"/>
        </w:rPr>
        <w:t>或</w:t>
      </w:r>
      <w:r>
        <w:rPr>
          <w:rFonts w:hint="eastAsia" w:ascii="宋体" w:hAnsi="宋体" w:cs="Arial"/>
          <w:color w:val="auto"/>
          <w:sz w:val="24"/>
          <w:highlight w:val="none"/>
          <w:lang w:val="en-US" w:eastAsia="zh-CN"/>
        </w:rPr>
        <w:t>浙江省政府采购网</w:t>
      </w:r>
      <w:r>
        <w:rPr>
          <w:rFonts w:hint="eastAsia" w:ascii="宋体" w:hAnsi="宋体" w:cs="Arial"/>
          <w:color w:val="auto"/>
          <w:sz w:val="24"/>
          <w:highlight w:val="none"/>
        </w:rPr>
        <w:t>对本项目的答疑和澄清，由于投标人未及时了解</w:t>
      </w:r>
      <w:r>
        <w:rPr>
          <w:rFonts w:hint="eastAsia" w:ascii="宋体" w:hAnsi="宋体" w:cs="Arial"/>
          <w:color w:val="auto"/>
          <w:sz w:val="24"/>
          <w:highlight w:val="none"/>
          <w:lang w:eastAsia="zh-CN"/>
        </w:rPr>
        <w:t>，</w:t>
      </w:r>
      <w:r>
        <w:rPr>
          <w:rFonts w:hint="eastAsia" w:ascii="宋体" w:hAnsi="宋体" w:cs="Arial"/>
          <w:color w:val="auto"/>
          <w:sz w:val="24"/>
          <w:highlight w:val="none"/>
        </w:rPr>
        <w:t>由此造成的后果招标人、招标代理概不负责。</w:t>
      </w:r>
    </w:p>
    <w:p>
      <w:pPr>
        <w:snapToGrid w:val="0"/>
        <w:spacing w:line="360" w:lineRule="auto"/>
        <w:rPr>
          <w:rFonts w:ascii="宋体" w:hAnsi="宋体" w:cs="Arial"/>
          <w:color w:val="auto"/>
          <w:sz w:val="24"/>
          <w:szCs w:val="20"/>
          <w:highlight w:val="none"/>
        </w:rPr>
      </w:pPr>
      <w:r>
        <w:rPr>
          <w:rFonts w:hint="eastAsia" w:ascii="宋体" w:hAnsi="宋体" w:cs="Arial"/>
          <w:b/>
          <w:bCs/>
          <w:color w:val="auto"/>
          <w:sz w:val="24"/>
          <w:highlight w:val="none"/>
        </w:rPr>
        <w:t xml:space="preserve">    六、投标截止时间和地点</w:t>
      </w:r>
      <w:r>
        <w:rPr>
          <w:rFonts w:hint="eastAsia" w:ascii="宋体" w:hAnsi="宋体" w:cs="Arial"/>
          <w:color w:val="auto"/>
          <w:sz w:val="24"/>
          <w:highlight w:val="none"/>
        </w:rPr>
        <w:t>：</w:t>
      </w:r>
    </w:p>
    <w:p>
      <w:pPr>
        <w:spacing w:line="360" w:lineRule="auto"/>
        <w:ind w:firstLine="480" w:firstLineChars="200"/>
        <w:jc w:val="left"/>
        <w:rPr>
          <w:rFonts w:ascii="宋体" w:hAnsi="宋体" w:cs="宋体"/>
          <w:sz w:val="24"/>
          <w:highlight w:val="none"/>
        </w:rPr>
      </w:pPr>
      <w:bookmarkStart w:id="0" w:name="_Toc35393625"/>
      <w:bookmarkStart w:id="1" w:name="_Toc28359007"/>
      <w:bookmarkStart w:id="2" w:name="_Toc35393794"/>
      <w:bookmarkStart w:id="3" w:name="_Toc28359084"/>
      <w:r>
        <w:rPr>
          <w:rFonts w:hint="eastAsia" w:ascii="宋体" w:hAnsi="宋体" w:cs="宋体"/>
          <w:sz w:val="24"/>
          <w:highlight w:val="none"/>
        </w:rPr>
        <w:t>（一）截止时间（开标时间）：</w:t>
      </w:r>
      <w:r>
        <w:rPr>
          <w:rFonts w:hint="eastAsia" w:ascii="宋体" w:hAnsi="宋体" w:cs="宋体"/>
          <w:bCs/>
          <w:sz w:val="24"/>
          <w:highlight w:val="none"/>
          <w:u w:val="single"/>
          <w:lang w:val="en-US" w:eastAsia="zh-CN"/>
        </w:rPr>
        <w:t>2025</w:t>
      </w:r>
      <w:r>
        <w:rPr>
          <w:rFonts w:hint="eastAsia" w:ascii="宋体" w:hAnsi="宋体" w:cs="宋体"/>
          <w:bCs/>
          <w:sz w:val="24"/>
          <w:highlight w:val="none"/>
          <w:u w:val="single"/>
        </w:rPr>
        <w:t>年</w:t>
      </w:r>
      <w:r>
        <w:rPr>
          <w:rFonts w:hint="eastAsia" w:ascii="宋体" w:hAnsi="宋体" w:cs="宋体"/>
          <w:bCs/>
          <w:sz w:val="24"/>
          <w:highlight w:val="none"/>
          <w:u w:val="single"/>
          <w:lang w:val="en-US" w:eastAsia="zh-CN"/>
        </w:rPr>
        <w:t xml:space="preserve">   </w:t>
      </w:r>
      <w:r>
        <w:rPr>
          <w:rFonts w:hint="eastAsia" w:ascii="宋体" w:hAnsi="宋体" w:cs="宋体"/>
          <w:bCs/>
          <w:sz w:val="24"/>
          <w:highlight w:val="none"/>
          <w:u w:val="single"/>
        </w:rPr>
        <w:t>月</w:t>
      </w:r>
      <w:r>
        <w:rPr>
          <w:rFonts w:hint="eastAsia" w:ascii="宋体" w:hAnsi="宋体" w:cs="宋体"/>
          <w:bCs/>
          <w:sz w:val="24"/>
          <w:highlight w:val="none"/>
          <w:u w:val="single"/>
          <w:lang w:val="en-US" w:eastAsia="zh-CN"/>
        </w:rPr>
        <w:t xml:space="preserve">   </w:t>
      </w:r>
      <w:r>
        <w:rPr>
          <w:rFonts w:hint="eastAsia" w:ascii="宋体" w:hAnsi="宋体" w:cs="宋体"/>
          <w:bCs/>
          <w:sz w:val="24"/>
          <w:highlight w:val="none"/>
          <w:u w:val="single"/>
        </w:rPr>
        <w:t>日</w:t>
      </w:r>
      <w:r>
        <w:rPr>
          <w:rFonts w:hint="eastAsia" w:ascii="宋体" w:hAnsi="宋体" w:cs="宋体"/>
          <w:bCs/>
          <w:sz w:val="24"/>
          <w:highlight w:val="none"/>
          <w:u w:val="single"/>
          <w:lang w:val="en-US" w:eastAsia="zh-CN"/>
        </w:rPr>
        <w:t>9</w:t>
      </w:r>
      <w:r>
        <w:rPr>
          <w:rFonts w:hint="eastAsia" w:ascii="宋体" w:hAnsi="宋体" w:cs="宋体"/>
          <w:bCs/>
          <w:sz w:val="24"/>
          <w:highlight w:val="none"/>
          <w:u w:val="single"/>
        </w:rPr>
        <w:t>点</w:t>
      </w:r>
      <w:r>
        <w:rPr>
          <w:rFonts w:hint="eastAsia" w:ascii="宋体" w:hAnsi="宋体" w:cs="宋体"/>
          <w:bCs/>
          <w:sz w:val="24"/>
          <w:highlight w:val="none"/>
          <w:u w:val="single"/>
          <w:lang w:val="en-US" w:eastAsia="zh-CN"/>
        </w:rPr>
        <w:t>30</w:t>
      </w:r>
      <w:r>
        <w:rPr>
          <w:rFonts w:hint="eastAsia" w:ascii="宋体" w:hAnsi="宋体" w:cs="宋体"/>
          <w:bCs/>
          <w:sz w:val="24"/>
          <w:highlight w:val="none"/>
          <w:u w:val="single"/>
        </w:rPr>
        <w:t>分</w:t>
      </w:r>
      <w:r>
        <w:rPr>
          <w:rFonts w:hint="eastAsia" w:ascii="宋体" w:hAnsi="宋体" w:cs="宋体"/>
          <w:sz w:val="24"/>
          <w:highlight w:val="none"/>
        </w:rPr>
        <w:t>（北京时间）</w:t>
      </w:r>
    </w:p>
    <w:p>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（二）投标网址：</w:t>
      </w:r>
      <w:r>
        <w:rPr>
          <w:rFonts w:hint="eastAsia" w:ascii="宋体" w:hAnsi="宋体" w:cs="宋体"/>
          <w:sz w:val="24"/>
          <w:szCs w:val="24"/>
          <w:highlight w:val="none"/>
        </w:rPr>
        <w:t>台州湾新区小额工程电子交易平台（网址：</w:t>
      </w:r>
      <w:r>
        <w:rPr>
          <w:sz w:val="24"/>
          <w:szCs w:val="24"/>
          <w:highlight w:val="none"/>
        </w:rPr>
        <w:t>http://www.tzwztb.com/</w:t>
      </w:r>
      <w:r>
        <w:rPr>
          <w:rFonts w:hint="eastAsia" w:ascii="宋体" w:hAnsi="宋体" w:cs="宋体"/>
          <w:sz w:val="24"/>
          <w:szCs w:val="24"/>
          <w:highlight w:val="none"/>
        </w:rPr>
        <w:t>）</w:t>
      </w:r>
    </w:p>
    <w:bookmarkEnd w:id="0"/>
    <w:bookmarkEnd w:id="1"/>
    <w:bookmarkEnd w:id="2"/>
    <w:bookmarkEnd w:id="3"/>
    <w:p>
      <w:pPr>
        <w:tabs>
          <w:tab w:val="left" w:pos="8280"/>
        </w:tabs>
        <w:snapToGrid w:val="0"/>
        <w:spacing w:line="360" w:lineRule="auto"/>
        <w:ind w:firstLine="482" w:firstLineChars="200"/>
        <w:rPr>
          <w:rFonts w:hint="eastAsia" w:ascii="宋体" w:hAnsi="宋体" w:eastAsia="宋体" w:cs="Arial"/>
          <w:b/>
          <w:bCs/>
          <w:color w:val="auto"/>
          <w:sz w:val="24"/>
          <w:szCs w:val="24"/>
          <w:highlight w:val="none"/>
        </w:rPr>
      </w:pPr>
      <w:r>
        <w:rPr>
          <w:rFonts w:hint="eastAsia" w:ascii="宋体" w:hAnsi="宋体" w:eastAsia="宋体" w:cs="Arial"/>
          <w:b/>
          <w:bCs/>
          <w:color w:val="auto"/>
          <w:sz w:val="24"/>
          <w:highlight w:val="none"/>
          <w:lang w:val="en-US" w:eastAsia="zh-CN"/>
        </w:rPr>
        <w:t>七</w:t>
      </w:r>
      <w:r>
        <w:rPr>
          <w:rFonts w:hint="eastAsia" w:ascii="宋体" w:hAnsi="宋体" w:eastAsia="宋体" w:cs="Arial"/>
          <w:b/>
          <w:bCs/>
          <w:color w:val="auto"/>
          <w:sz w:val="24"/>
          <w:highlight w:val="none"/>
        </w:rPr>
        <w:t>、</w:t>
      </w:r>
      <w:r>
        <w:rPr>
          <w:rFonts w:hint="eastAsia" w:ascii="宋体" w:hAnsi="宋体" w:eastAsia="宋体" w:cs="Arial"/>
          <w:b/>
          <w:bCs/>
          <w:color w:val="auto"/>
          <w:sz w:val="24"/>
          <w:szCs w:val="24"/>
          <w:highlight w:val="none"/>
        </w:rPr>
        <w:t>注册报名</w:t>
      </w:r>
    </w:p>
    <w:p>
      <w:pPr>
        <w:tabs>
          <w:tab w:val="left" w:pos="180"/>
          <w:tab w:val="left" w:pos="360"/>
          <w:tab w:val="left" w:pos="540"/>
          <w:tab w:val="left" w:pos="8280"/>
        </w:tabs>
        <w:autoSpaceDE w:val="0"/>
        <w:autoSpaceDN w:val="0"/>
        <w:adjustRightInd w:val="0"/>
        <w:spacing w:line="360" w:lineRule="auto"/>
        <w:ind w:firstLine="480" w:firstLineChars="200"/>
        <w:jc w:val="left"/>
        <w:rPr>
          <w:rFonts w:hint="eastAsia" w:ascii="宋体" w:hAnsi="宋体" w:cs="Arial"/>
          <w:color w:val="auto"/>
          <w:sz w:val="24"/>
          <w:szCs w:val="20"/>
          <w:highlight w:val="none"/>
        </w:rPr>
      </w:pPr>
      <w:r>
        <w:rPr>
          <w:rFonts w:hint="eastAsia" w:ascii="宋体" w:hAnsi="宋体" w:cs="宋体"/>
          <w:sz w:val="24"/>
          <w:highlight w:val="none"/>
        </w:rPr>
        <w:t>投标人需登录</w:t>
      </w:r>
      <w:r>
        <w:rPr>
          <w:rFonts w:hint="eastAsia" w:ascii="宋体" w:hAnsi="宋体" w:cs="宋体"/>
          <w:b/>
          <w:kern w:val="0"/>
          <w:sz w:val="24"/>
          <w:highlight w:val="none"/>
        </w:rPr>
        <w:t>台州湾新区小额工程电子交易平台（</w:t>
      </w:r>
      <w:r>
        <w:rPr>
          <w:rFonts w:ascii="宋体" w:hAnsi="宋体" w:cs="宋体"/>
          <w:b/>
          <w:kern w:val="0"/>
          <w:sz w:val="24"/>
          <w:highlight w:val="none"/>
        </w:rPr>
        <w:t>http://www.tzwztb.com/</w:t>
      </w:r>
      <w:r>
        <w:rPr>
          <w:rFonts w:hint="eastAsia" w:ascii="宋体" w:hAnsi="宋体" w:cs="宋体"/>
          <w:b/>
          <w:kern w:val="0"/>
          <w:sz w:val="24"/>
          <w:highlight w:val="none"/>
        </w:rPr>
        <w:t>)</w:t>
      </w:r>
      <w:r>
        <w:rPr>
          <w:rFonts w:hint="eastAsia" w:ascii="宋体" w:hAnsi="宋体" w:cs="宋体"/>
          <w:sz w:val="24"/>
          <w:highlight w:val="none"/>
        </w:rPr>
        <w:t>进行注册后报名。</w:t>
      </w:r>
    </w:p>
    <w:p>
      <w:pPr>
        <w:snapToGrid w:val="0"/>
        <w:spacing w:line="360" w:lineRule="auto"/>
        <w:ind w:firstLine="482" w:firstLineChars="200"/>
        <w:rPr>
          <w:rFonts w:ascii="宋体" w:hAnsi="宋体" w:cs="Arial"/>
          <w:color w:val="auto"/>
          <w:sz w:val="24"/>
          <w:szCs w:val="20"/>
          <w:highlight w:val="none"/>
        </w:rPr>
      </w:pPr>
      <w:r>
        <w:rPr>
          <w:rFonts w:hint="eastAsia" w:ascii="宋体" w:hAnsi="宋体" w:cs="Arial"/>
          <w:b/>
          <w:bCs/>
          <w:color w:val="auto"/>
          <w:sz w:val="24"/>
          <w:highlight w:val="none"/>
          <w:lang w:val="en-US" w:eastAsia="zh-CN"/>
        </w:rPr>
        <w:t>八</w:t>
      </w:r>
      <w:r>
        <w:rPr>
          <w:rFonts w:hint="eastAsia" w:ascii="宋体" w:hAnsi="宋体" w:cs="Arial"/>
          <w:b/>
          <w:bCs/>
          <w:color w:val="auto"/>
          <w:sz w:val="24"/>
          <w:highlight w:val="none"/>
        </w:rPr>
        <w:t>、投标保证金</w:t>
      </w:r>
      <w:r>
        <w:rPr>
          <w:rFonts w:hint="eastAsia" w:ascii="宋体" w:hAnsi="宋体" w:cs="Arial"/>
          <w:color w:val="auto"/>
          <w:sz w:val="24"/>
          <w:highlight w:val="none"/>
        </w:rPr>
        <w:t>：</w:t>
      </w:r>
    </w:p>
    <w:p>
      <w:pPr>
        <w:tabs>
          <w:tab w:val="left" w:pos="180"/>
          <w:tab w:val="left" w:pos="360"/>
          <w:tab w:val="left" w:pos="540"/>
          <w:tab w:val="left" w:pos="8280"/>
        </w:tabs>
        <w:autoSpaceDE w:val="0"/>
        <w:autoSpaceDN w:val="0"/>
        <w:adjustRightInd w:val="0"/>
        <w:spacing w:line="360" w:lineRule="auto"/>
        <w:ind w:firstLine="480" w:firstLineChars="200"/>
        <w:jc w:val="left"/>
        <w:rPr>
          <w:rFonts w:hint="eastAsia" w:ascii="宋体" w:hAnsi="宋体" w:cs="宋体"/>
          <w:bCs/>
          <w:kern w:val="0"/>
          <w:sz w:val="24"/>
          <w:highlight w:val="none"/>
        </w:rPr>
      </w:pPr>
      <w:r>
        <w:rPr>
          <w:rFonts w:hint="eastAsia" w:ascii="宋体" w:hAnsi="宋体" w:cs="宋体"/>
          <w:bCs/>
          <w:kern w:val="0"/>
          <w:sz w:val="24"/>
          <w:highlight w:val="none"/>
        </w:rPr>
        <w:t>1.投标保证金金额</w:t>
      </w:r>
      <w:r>
        <w:rPr>
          <w:rFonts w:hint="eastAsia" w:ascii="宋体" w:hAnsi="宋体" w:cs="宋体"/>
          <w:bCs/>
          <w:kern w:val="0"/>
          <w:sz w:val="24"/>
          <w:highlight w:val="none"/>
          <w:u w:val="single"/>
        </w:rPr>
        <w:t>：</w:t>
      </w:r>
      <w:r>
        <w:rPr>
          <w:rFonts w:hint="eastAsia" w:ascii="宋体" w:hAnsi="宋体" w:cs="宋体"/>
          <w:bCs/>
          <w:kern w:val="0"/>
          <w:sz w:val="24"/>
          <w:highlight w:val="none"/>
          <w:u w:val="single"/>
          <w:lang w:val="en-US" w:eastAsia="zh-CN"/>
        </w:rPr>
        <w:t>0.2万</w:t>
      </w:r>
      <w:r>
        <w:rPr>
          <w:rFonts w:hint="eastAsia" w:ascii="宋体" w:hAnsi="宋体" w:cs="宋体"/>
          <w:bCs/>
          <w:kern w:val="0"/>
          <w:sz w:val="24"/>
          <w:highlight w:val="none"/>
        </w:rPr>
        <w:t>元。</w:t>
      </w:r>
    </w:p>
    <w:p>
      <w:pPr>
        <w:pStyle w:val="45"/>
        <w:spacing w:line="360" w:lineRule="auto"/>
        <w:ind w:left="0" w:leftChars="0" w:firstLine="480"/>
        <w:jc w:val="left"/>
        <w:rPr>
          <w:rFonts w:hint="eastAsia" w:ascii="宋体" w:hAnsi="宋体" w:eastAsia="宋体" w:cs="宋体"/>
          <w:bCs/>
          <w:kern w:val="0"/>
          <w:sz w:val="24"/>
          <w:highlight w:val="none"/>
        </w:rPr>
      </w:pPr>
      <w:r>
        <w:rPr>
          <w:rFonts w:hint="eastAsia" w:ascii="宋体" w:hAnsi="宋体" w:eastAsia="宋体" w:cs="宋体"/>
          <w:bCs/>
          <w:kern w:val="0"/>
          <w:sz w:val="24"/>
          <w:highlight w:val="none"/>
        </w:rPr>
        <w:t>2.投标保证金缴纳方式：现金转账、银行保函、保险机构保证保险保单、融资担保公司保函。</w:t>
      </w:r>
    </w:p>
    <w:p>
      <w:pPr>
        <w:tabs>
          <w:tab w:val="left" w:pos="180"/>
          <w:tab w:val="left" w:pos="360"/>
          <w:tab w:val="left" w:pos="540"/>
          <w:tab w:val="left" w:pos="8280"/>
        </w:tabs>
        <w:autoSpaceDE w:val="0"/>
        <w:autoSpaceDN w:val="0"/>
        <w:adjustRightInd w:val="0"/>
        <w:spacing w:line="360" w:lineRule="auto"/>
        <w:ind w:firstLine="482" w:firstLineChars="200"/>
        <w:jc w:val="left"/>
        <w:rPr>
          <w:rFonts w:ascii="宋体" w:hAnsi="宋体" w:cs="宋体"/>
          <w:b/>
          <w:kern w:val="0"/>
          <w:sz w:val="24"/>
          <w:highlight w:val="none"/>
        </w:rPr>
      </w:pPr>
      <w:r>
        <w:rPr>
          <w:rFonts w:hint="eastAsia" w:ascii="宋体" w:hAnsi="宋体" w:cs="宋体"/>
          <w:b/>
          <w:kern w:val="0"/>
          <w:sz w:val="24"/>
          <w:highlight w:val="none"/>
        </w:rPr>
        <w:t>（1）现金转账</w:t>
      </w:r>
    </w:p>
    <w:p>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Cs/>
          <w:kern w:val="0"/>
          <w:sz w:val="24"/>
          <w:highlight w:val="none"/>
        </w:rPr>
      </w:pPr>
      <w:r>
        <w:rPr>
          <w:rFonts w:hint="eastAsia" w:ascii="宋体" w:hAnsi="宋体" w:cs="宋体"/>
          <w:bCs/>
          <w:kern w:val="0"/>
          <w:sz w:val="24"/>
          <w:highlight w:val="none"/>
        </w:rPr>
        <w:t>① 电汇或银行转账（请不要使用“支付宝”等第三方支付平台），通过“台州湾新区小额工程电子交易平台”取得相应的银行账号后支付，投标保证金收款账号根据不同工程（标段）由系统随机生成，此账号只在本工程（标段）中使用有效，请注意核对。</w:t>
      </w:r>
    </w:p>
    <w:p>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Cs/>
          <w:kern w:val="0"/>
          <w:sz w:val="24"/>
          <w:highlight w:val="none"/>
        </w:rPr>
      </w:pPr>
      <w:r>
        <w:rPr>
          <w:rFonts w:hint="eastAsia" w:ascii="宋体" w:hAnsi="宋体" w:cs="宋体"/>
          <w:bCs/>
          <w:kern w:val="0"/>
          <w:sz w:val="24"/>
          <w:highlight w:val="none"/>
        </w:rPr>
        <w:t>②投标人缴纳的投标保证金必须在投标截止时间前到达上述指定账户，否则导致投标无效等后果由投标人自行承担。另外须注意双休日银行柜台休息对公对公转账的影响。开标结束后，未中标投标单位</w:t>
      </w:r>
      <w:r>
        <w:rPr>
          <w:rFonts w:hint="eastAsia" w:ascii="宋体" w:hAnsi="宋体" w:cs="宋体"/>
          <w:bCs/>
          <w:kern w:val="0"/>
          <w:sz w:val="24"/>
          <w:highlight w:val="none"/>
          <w:lang w:val="en-US" w:eastAsia="zh-CN"/>
        </w:rPr>
        <w:t>及时</w:t>
      </w:r>
      <w:r>
        <w:rPr>
          <w:rFonts w:hint="eastAsia" w:ascii="宋体" w:hAnsi="宋体" w:cs="宋体"/>
          <w:bCs/>
          <w:kern w:val="0"/>
          <w:sz w:val="24"/>
          <w:highlight w:val="none"/>
        </w:rPr>
        <w:t>返还;中标人的投标保证金由招标人暂时保管，待履约担保办理完毕并签订施工合同后，招标人返还中标人 。</w:t>
      </w:r>
    </w:p>
    <w:p>
      <w:pPr>
        <w:tabs>
          <w:tab w:val="left" w:pos="180"/>
          <w:tab w:val="left" w:pos="360"/>
          <w:tab w:val="left" w:pos="540"/>
          <w:tab w:val="left" w:pos="8280"/>
        </w:tabs>
        <w:autoSpaceDE w:val="0"/>
        <w:autoSpaceDN w:val="0"/>
        <w:adjustRightInd w:val="0"/>
        <w:spacing w:line="360" w:lineRule="auto"/>
        <w:jc w:val="left"/>
        <w:rPr>
          <w:rFonts w:ascii="宋体" w:hAnsi="宋体" w:cs="宋体"/>
          <w:b/>
          <w:kern w:val="0"/>
          <w:sz w:val="24"/>
          <w:highlight w:val="none"/>
        </w:rPr>
      </w:pPr>
    </w:p>
    <w:p>
      <w:pPr>
        <w:tabs>
          <w:tab w:val="left" w:pos="180"/>
          <w:tab w:val="left" w:pos="360"/>
          <w:tab w:val="left" w:pos="540"/>
          <w:tab w:val="left" w:pos="8280"/>
        </w:tabs>
        <w:autoSpaceDE w:val="0"/>
        <w:autoSpaceDN w:val="0"/>
        <w:adjustRightInd w:val="0"/>
        <w:spacing w:line="360" w:lineRule="auto"/>
        <w:ind w:firstLine="482" w:firstLineChars="200"/>
        <w:jc w:val="left"/>
        <w:rPr>
          <w:rFonts w:hint="eastAsia" w:ascii="宋体" w:hAnsi="宋体" w:cs="宋体"/>
          <w:b/>
          <w:kern w:val="0"/>
          <w:sz w:val="24"/>
          <w:highlight w:val="none"/>
        </w:rPr>
      </w:pPr>
      <w:r>
        <w:rPr>
          <w:rFonts w:hint="eastAsia" w:ascii="宋体" w:hAnsi="宋体" w:cs="宋体"/>
          <w:b/>
          <w:kern w:val="0"/>
          <w:sz w:val="24"/>
          <w:highlight w:val="none"/>
        </w:rPr>
        <w:t>（2）银行保函、保险机构保证保险保单、融资担保公司保函（以下合称“工程保函”）</w:t>
      </w:r>
    </w:p>
    <w:p>
      <w:pPr>
        <w:tabs>
          <w:tab w:val="left" w:pos="180"/>
          <w:tab w:val="left" w:pos="360"/>
          <w:tab w:val="left" w:pos="540"/>
          <w:tab w:val="left" w:pos="8280"/>
        </w:tabs>
        <w:autoSpaceDE w:val="0"/>
        <w:autoSpaceDN w:val="0"/>
        <w:adjustRightInd w:val="0"/>
        <w:spacing w:line="360" w:lineRule="auto"/>
        <w:ind w:firstLine="480" w:firstLineChars="200"/>
        <w:jc w:val="left"/>
        <w:rPr>
          <w:rFonts w:hint="eastAsia" w:ascii="宋体" w:hAnsi="宋体" w:cs="宋体"/>
          <w:bCs/>
          <w:kern w:val="0"/>
          <w:sz w:val="24"/>
          <w:highlight w:val="none"/>
          <w:u w:val="single"/>
          <w:lang w:eastAsia="zh-CN"/>
        </w:rPr>
      </w:pPr>
      <w:r>
        <w:rPr>
          <w:rFonts w:hint="eastAsia" w:ascii="宋体" w:hAnsi="宋体" w:cs="宋体"/>
          <w:bCs/>
          <w:kern w:val="0"/>
          <w:sz w:val="24"/>
          <w:highlight w:val="none"/>
        </w:rPr>
        <w:t>①工程保函的受益人</w:t>
      </w:r>
      <w:r>
        <w:rPr>
          <w:rFonts w:hint="eastAsia" w:ascii="宋体" w:hAnsi="宋体" w:eastAsia="宋体" w:cs="宋体"/>
          <w:bCs/>
          <w:kern w:val="0"/>
          <w:sz w:val="24"/>
          <w:highlight w:val="none"/>
          <w:u w:val="single"/>
        </w:rPr>
        <w:t>：</w:t>
      </w:r>
      <w:r>
        <w:rPr>
          <w:rFonts w:hint="eastAsia" w:ascii="宋体" w:hAnsi="宋体" w:eastAsia="宋体" w:cs="宋体"/>
          <w:bCs/>
          <w:kern w:val="0"/>
          <w:sz w:val="24"/>
          <w:highlight w:val="none"/>
          <w:u w:val="single"/>
          <w:lang w:eastAsia="zh-CN"/>
        </w:rPr>
        <w:t>台州东发建设集团有限公司</w:t>
      </w:r>
    </w:p>
    <w:p>
      <w:pPr>
        <w:tabs>
          <w:tab w:val="left" w:pos="180"/>
          <w:tab w:val="left" w:pos="360"/>
          <w:tab w:val="left" w:pos="540"/>
          <w:tab w:val="left" w:pos="8280"/>
        </w:tabs>
        <w:autoSpaceDE w:val="0"/>
        <w:autoSpaceDN w:val="0"/>
        <w:adjustRightInd w:val="0"/>
        <w:spacing w:line="360" w:lineRule="auto"/>
        <w:ind w:firstLine="480" w:firstLineChars="200"/>
        <w:jc w:val="left"/>
        <w:rPr>
          <w:rFonts w:hint="eastAsia" w:ascii="宋体" w:hAnsi="宋体" w:cs="宋体"/>
          <w:bCs/>
          <w:kern w:val="0"/>
          <w:sz w:val="24"/>
          <w:highlight w:val="none"/>
        </w:rPr>
      </w:pPr>
      <w:r>
        <w:rPr>
          <w:rFonts w:hint="eastAsia" w:ascii="宋体" w:hAnsi="宋体" w:cs="宋体"/>
          <w:bCs/>
          <w:kern w:val="0"/>
          <w:sz w:val="24"/>
          <w:highlight w:val="none"/>
        </w:rPr>
        <w:t>（招标人名称）；</w:t>
      </w:r>
    </w:p>
    <w:p>
      <w:pPr>
        <w:tabs>
          <w:tab w:val="left" w:pos="180"/>
          <w:tab w:val="left" w:pos="360"/>
          <w:tab w:val="left" w:pos="540"/>
          <w:tab w:val="left" w:pos="8280"/>
        </w:tabs>
        <w:autoSpaceDE w:val="0"/>
        <w:autoSpaceDN w:val="0"/>
        <w:adjustRightInd w:val="0"/>
        <w:spacing w:line="360" w:lineRule="auto"/>
        <w:ind w:firstLine="480" w:firstLineChars="200"/>
        <w:jc w:val="left"/>
        <w:rPr>
          <w:rFonts w:hint="eastAsia" w:ascii="宋体" w:hAnsi="宋体" w:cs="宋体"/>
          <w:bCs/>
          <w:kern w:val="0"/>
          <w:sz w:val="24"/>
          <w:highlight w:val="none"/>
        </w:rPr>
      </w:pPr>
      <w:r>
        <w:rPr>
          <w:rFonts w:hint="eastAsia" w:ascii="宋体" w:hAnsi="宋体" w:cs="宋体"/>
          <w:bCs/>
          <w:kern w:val="0"/>
          <w:sz w:val="24"/>
          <w:highlight w:val="none"/>
        </w:rPr>
        <w:t>②工程保函的有效期为1年；</w:t>
      </w:r>
    </w:p>
    <w:p>
      <w:pPr>
        <w:tabs>
          <w:tab w:val="left" w:pos="180"/>
          <w:tab w:val="left" w:pos="360"/>
          <w:tab w:val="left" w:pos="540"/>
          <w:tab w:val="left" w:pos="8280"/>
        </w:tabs>
        <w:autoSpaceDE w:val="0"/>
        <w:autoSpaceDN w:val="0"/>
        <w:adjustRightInd w:val="0"/>
        <w:spacing w:line="360" w:lineRule="auto"/>
        <w:ind w:firstLine="480" w:firstLineChars="200"/>
        <w:jc w:val="left"/>
        <w:rPr>
          <w:rFonts w:hint="eastAsia" w:ascii="宋体" w:hAnsi="宋体" w:cs="宋体"/>
          <w:bCs/>
          <w:kern w:val="0"/>
          <w:sz w:val="24"/>
          <w:highlight w:val="none"/>
        </w:rPr>
      </w:pPr>
      <w:r>
        <w:rPr>
          <w:rFonts w:hint="eastAsia" w:ascii="宋体" w:hAnsi="宋体" w:cs="宋体"/>
          <w:bCs/>
          <w:kern w:val="0"/>
          <w:sz w:val="24"/>
          <w:highlight w:val="none"/>
        </w:rPr>
        <w:t>③递交方式：</w:t>
      </w:r>
    </w:p>
    <w:p>
      <w:pPr>
        <w:tabs>
          <w:tab w:val="left" w:pos="180"/>
          <w:tab w:val="left" w:pos="360"/>
          <w:tab w:val="left" w:pos="540"/>
          <w:tab w:val="left" w:pos="8280"/>
        </w:tabs>
        <w:autoSpaceDE w:val="0"/>
        <w:autoSpaceDN w:val="0"/>
        <w:adjustRightInd w:val="0"/>
        <w:spacing w:line="360" w:lineRule="auto"/>
        <w:ind w:firstLine="482" w:firstLineChars="200"/>
        <w:jc w:val="left"/>
        <w:rPr>
          <w:rFonts w:hint="eastAsia" w:ascii="宋体" w:hAnsi="宋体" w:cs="宋体"/>
          <w:b/>
          <w:kern w:val="0"/>
          <w:sz w:val="24"/>
          <w:highlight w:val="none"/>
        </w:rPr>
      </w:pPr>
      <w:r>
        <w:rPr>
          <w:rFonts w:hint="eastAsia" w:ascii="宋体" w:hAnsi="宋体" w:cs="宋体"/>
          <w:b/>
          <w:kern w:val="0"/>
          <w:sz w:val="24"/>
          <w:highlight w:val="none"/>
        </w:rPr>
        <w:t>递交方式一（电子保函系统）：</w:t>
      </w:r>
    </w:p>
    <w:p>
      <w:pPr>
        <w:tabs>
          <w:tab w:val="left" w:pos="180"/>
          <w:tab w:val="left" w:pos="360"/>
          <w:tab w:val="left" w:pos="540"/>
          <w:tab w:val="left" w:pos="8280"/>
        </w:tabs>
        <w:autoSpaceDE w:val="0"/>
        <w:autoSpaceDN w:val="0"/>
        <w:adjustRightInd w:val="0"/>
        <w:spacing w:line="360" w:lineRule="auto"/>
        <w:ind w:firstLine="480" w:firstLineChars="200"/>
        <w:jc w:val="left"/>
        <w:rPr>
          <w:rFonts w:hint="eastAsia" w:ascii="宋体" w:hAnsi="宋体" w:cs="宋体"/>
          <w:bCs/>
          <w:kern w:val="0"/>
          <w:sz w:val="24"/>
          <w:highlight w:val="none"/>
        </w:rPr>
      </w:pPr>
      <w:r>
        <w:rPr>
          <w:rFonts w:hint="eastAsia" w:ascii="宋体" w:hAnsi="宋体" w:cs="宋体"/>
          <w:bCs/>
          <w:kern w:val="0"/>
          <w:sz w:val="24"/>
          <w:highlight w:val="none"/>
        </w:rPr>
        <w:t>通过台州湾新区小额工程电子交易平台选择“电子保函”递交方式，并按系统流程进行操作、购买电子保函。</w:t>
      </w:r>
    </w:p>
    <w:p>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Cs/>
          <w:kern w:val="0"/>
          <w:sz w:val="24"/>
          <w:highlight w:val="none"/>
        </w:rPr>
      </w:pPr>
    </w:p>
    <w:p>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Cs/>
          <w:kern w:val="0"/>
          <w:sz w:val="24"/>
          <w:highlight w:val="none"/>
          <w:u w:val="single"/>
        </w:rPr>
      </w:pPr>
      <w:r>
        <w:rPr>
          <w:rFonts w:hint="eastAsia" w:ascii="宋体" w:hAnsi="宋体" w:cs="宋体"/>
          <w:bCs/>
          <w:kern w:val="0"/>
          <w:sz w:val="24"/>
          <w:highlight w:val="none"/>
        </w:rPr>
        <w:t>注：电子保单生效时间为投保第二天00:00,各投标人须在投标截止时间前一工作日下午16点之前申购电子保函；付款后请确认已收到出单提醒短信，或者在系统中查看保单状态为“已出单”。因未确认保函出单情况导致递交投标保证金失败的，所有后果由投标人自行承担。</w:t>
      </w:r>
      <w:r>
        <w:rPr>
          <w:rFonts w:hint="eastAsia" w:ascii="宋体" w:hAnsi="宋体" w:cs="宋体"/>
          <w:bCs/>
          <w:kern w:val="0"/>
          <w:sz w:val="24"/>
          <w:highlight w:val="none"/>
          <w:u w:val="single"/>
        </w:rPr>
        <w:t>投标电子保函针对具体项目标段的要求“一标段一保函”，每个标段对应相应的订单号，汇款时备注订单号。</w:t>
      </w:r>
    </w:p>
    <w:p>
      <w:pPr>
        <w:tabs>
          <w:tab w:val="left" w:pos="180"/>
          <w:tab w:val="left" w:pos="360"/>
          <w:tab w:val="left" w:pos="540"/>
          <w:tab w:val="left" w:pos="8280"/>
        </w:tabs>
        <w:autoSpaceDE w:val="0"/>
        <w:autoSpaceDN w:val="0"/>
        <w:adjustRightInd w:val="0"/>
        <w:spacing w:line="360" w:lineRule="auto"/>
        <w:ind w:firstLine="482" w:firstLineChars="200"/>
        <w:jc w:val="left"/>
        <w:rPr>
          <w:rFonts w:ascii="宋体" w:hAnsi="宋体" w:cs="宋体"/>
          <w:b/>
          <w:kern w:val="0"/>
          <w:sz w:val="24"/>
          <w:highlight w:val="none"/>
        </w:rPr>
      </w:pPr>
    </w:p>
    <w:p>
      <w:pPr>
        <w:tabs>
          <w:tab w:val="left" w:pos="180"/>
          <w:tab w:val="left" w:pos="360"/>
          <w:tab w:val="left" w:pos="540"/>
          <w:tab w:val="left" w:pos="8280"/>
        </w:tabs>
        <w:autoSpaceDE w:val="0"/>
        <w:autoSpaceDN w:val="0"/>
        <w:adjustRightInd w:val="0"/>
        <w:spacing w:line="360" w:lineRule="auto"/>
        <w:ind w:firstLine="482" w:firstLineChars="200"/>
        <w:jc w:val="left"/>
        <w:rPr>
          <w:rFonts w:hint="eastAsia" w:ascii="宋体" w:hAnsi="宋体" w:cs="宋体"/>
          <w:b/>
          <w:kern w:val="0"/>
          <w:sz w:val="24"/>
          <w:highlight w:val="none"/>
        </w:rPr>
      </w:pPr>
      <w:r>
        <w:rPr>
          <w:rFonts w:hint="eastAsia" w:ascii="宋体" w:hAnsi="宋体" w:cs="宋体"/>
          <w:b/>
          <w:kern w:val="0"/>
          <w:sz w:val="24"/>
          <w:highlight w:val="none"/>
        </w:rPr>
        <w:t>递交方式二（非电子保函系统）：</w:t>
      </w:r>
    </w:p>
    <w:p>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Cs/>
          <w:kern w:val="0"/>
          <w:sz w:val="24"/>
          <w:highlight w:val="none"/>
        </w:rPr>
      </w:pPr>
      <w:r>
        <w:rPr>
          <w:rFonts w:hint="eastAsia" w:ascii="宋体" w:hAnsi="宋体" w:cs="宋体"/>
          <w:bCs/>
          <w:kern w:val="0"/>
          <w:sz w:val="24"/>
          <w:highlight w:val="none"/>
        </w:rPr>
        <w:t xml:space="preserve">投标人须在投标截止时间前将工程保函纸质原件、基本账户证明材料复印件（加盖公章）、保费支付的银行回单一并按要求递交。 </w:t>
      </w:r>
    </w:p>
    <w:p>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Cs/>
          <w:kern w:val="0"/>
          <w:sz w:val="24"/>
          <w:highlight w:val="none"/>
        </w:rPr>
      </w:pPr>
      <w:r>
        <w:rPr>
          <w:rFonts w:hint="eastAsia" w:ascii="宋体" w:hAnsi="宋体" w:cs="宋体"/>
          <w:bCs/>
          <w:kern w:val="0"/>
          <w:sz w:val="24"/>
          <w:highlight w:val="none"/>
        </w:rPr>
        <w:t>提交地点：</w:t>
      </w:r>
      <w:r>
        <w:rPr>
          <w:rFonts w:hint="eastAsia" w:ascii="宋体" w:hAnsi="宋体" w:cs="宋体"/>
          <w:bCs/>
          <w:kern w:val="0"/>
          <w:sz w:val="24"/>
          <w:highlight w:val="none"/>
          <w:u w:val="single"/>
        </w:rPr>
        <w:t>台州湾新区海虹街道一楼大厅</w:t>
      </w:r>
    </w:p>
    <w:p>
      <w:pPr>
        <w:tabs>
          <w:tab w:val="left" w:pos="180"/>
          <w:tab w:val="left" w:pos="360"/>
          <w:tab w:val="left" w:pos="540"/>
          <w:tab w:val="left" w:pos="8280"/>
        </w:tabs>
        <w:autoSpaceDE w:val="0"/>
        <w:autoSpaceDN w:val="0"/>
        <w:adjustRightInd w:val="0"/>
        <w:spacing w:line="360" w:lineRule="auto"/>
        <w:ind w:firstLine="480" w:firstLineChars="200"/>
        <w:jc w:val="left"/>
        <w:rPr>
          <w:rFonts w:hint="default" w:ascii="宋体" w:hAnsi="宋体" w:cs="宋体"/>
          <w:bCs/>
          <w:kern w:val="0"/>
          <w:sz w:val="24"/>
          <w:highlight w:val="none"/>
          <w:lang w:val="en-US"/>
        </w:rPr>
      </w:pPr>
      <w:r>
        <w:rPr>
          <w:rFonts w:hint="eastAsia" w:ascii="宋体" w:hAnsi="宋体" w:cs="宋体"/>
          <w:bCs/>
          <w:kern w:val="0"/>
          <w:sz w:val="24"/>
          <w:highlight w:val="none"/>
        </w:rPr>
        <w:t>提交时间：</w:t>
      </w:r>
      <w:r>
        <w:rPr>
          <w:rFonts w:hint="eastAsia" w:ascii="宋体" w:hAnsi="宋体" w:cs="宋体"/>
          <w:bCs/>
          <w:kern w:val="0"/>
          <w:sz w:val="24"/>
          <w:highlight w:val="none"/>
          <w:u w:val="single"/>
          <w:lang w:val="en-US" w:eastAsia="zh-CN"/>
        </w:rPr>
        <w:t>2025</w:t>
      </w:r>
      <w:r>
        <w:rPr>
          <w:rFonts w:ascii="宋体" w:hAnsi="宋体" w:cs="宋体"/>
          <w:bCs/>
          <w:kern w:val="0"/>
          <w:sz w:val="24"/>
          <w:highlight w:val="none"/>
          <w:u w:val="single"/>
        </w:rPr>
        <w:t>年</w:t>
      </w:r>
      <w:r>
        <w:rPr>
          <w:rFonts w:hint="eastAsia" w:ascii="宋体" w:hAnsi="宋体" w:cs="宋体"/>
          <w:bCs/>
          <w:kern w:val="0"/>
          <w:sz w:val="24"/>
          <w:highlight w:val="none"/>
          <w:u w:val="single"/>
          <w:lang w:val="en-US" w:eastAsia="zh-CN"/>
        </w:rPr>
        <w:t xml:space="preserve">   </w:t>
      </w:r>
      <w:r>
        <w:rPr>
          <w:rFonts w:ascii="宋体" w:hAnsi="宋体" w:cs="宋体"/>
          <w:bCs/>
          <w:kern w:val="0"/>
          <w:sz w:val="24"/>
          <w:highlight w:val="none"/>
          <w:u w:val="single"/>
        </w:rPr>
        <w:t>月</w:t>
      </w:r>
      <w:r>
        <w:rPr>
          <w:rFonts w:hint="eastAsia" w:ascii="宋体" w:hAnsi="宋体" w:cs="宋体"/>
          <w:bCs/>
          <w:kern w:val="0"/>
          <w:sz w:val="24"/>
          <w:highlight w:val="none"/>
          <w:u w:val="single"/>
          <w:lang w:val="en-US" w:eastAsia="zh-CN"/>
        </w:rPr>
        <w:t xml:space="preserve">   </w:t>
      </w:r>
      <w:r>
        <w:rPr>
          <w:rFonts w:ascii="宋体" w:hAnsi="宋体" w:cs="宋体"/>
          <w:bCs/>
          <w:kern w:val="0"/>
          <w:sz w:val="24"/>
          <w:highlight w:val="none"/>
          <w:u w:val="single"/>
        </w:rPr>
        <w:t>日</w:t>
      </w:r>
      <w:r>
        <w:rPr>
          <w:rFonts w:hint="eastAsia" w:ascii="宋体" w:hAnsi="宋体" w:cs="宋体"/>
          <w:bCs/>
          <w:kern w:val="0"/>
          <w:sz w:val="24"/>
          <w:highlight w:val="none"/>
          <w:u w:val="single"/>
          <w:lang w:val="en-US" w:eastAsia="zh-CN"/>
        </w:rPr>
        <w:t>9</w:t>
      </w:r>
      <w:r>
        <w:rPr>
          <w:rFonts w:ascii="宋体" w:hAnsi="宋体" w:cs="宋体"/>
          <w:bCs/>
          <w:kern w:val="0"/>
          <w:sz w:val="24"/>
          <w:highlight w:val="none"/>
          <w:u w:val="single"/>
        </w:rPr>
        <w:t>：</w:t>
      </w:r>
      <w:r>
        <w:rPr>
          <w:rFonts w:hint="eastAsia" w:ascii="宋体" w:hAnsi="宋体" w:cs="宋体"/>
          <w:bCs/>
          <w:kern w:val="0"/>
          <w:sz w:val="24"/>
          <w:highlight w:val="none"/>
          <w:u w:val="single"/>
          <w:lang w:val="en-US" w:eastAsia="zh-CN"/>
        </w:rPr>
        <w:t>00</w:t>
      </w:r>
      <w:r>
        <w:rPr>
          <w:rFonts w:hint="eastAsia" w:ascii="宋体" w:hAnsi="宋体" w:cs="宋体"/>
          <w:bCs/>
          <w:kern w:val="0"/>
          <w:sz w:val="24"/>
          <w:highlight w:val="none"/>
          <w:u w:val="single"/>
        </w:rPr>
        <w:t>-</w:t>
      </w:r>
      <w:r>
        <w:rPr>
          <w:rFonts w:hint="eastAsia" w:ascii="宋体" w:hAnsi="宋体" w:cs="宋体"/>
          <w:bCs/>
          <w:kern w:val="0"/>
          <w:sz w:val="24"/>
          <w:highlight w:val="none"/>
          <w:u w:val="single"/>
          <w:lang w:val="en-US" w:eastAsia="zh-CN"/>
        </w:rPr>
        <w:t>9</w:t>
      </w:r>
      <w:r>
        <w:rPr>
          <w:rFonts w:hint="eastAsia" w:ascii="宋体" w:hAnsi="宋体" w:cs="宋体"/>
          <w:bCs/>
          <w:kern w:val="0"/>
          <w:sz w:val="24"/>
          <w:highlight w:val="none"/>
          <w:u w:val="single"/>
        </w:rPr>
        <w:t>：</w:t>
      </w:r>
      <w:r>
        <w:rPr>
          <w:rFonts w:hint="eastAsia" w:ascii="宋体" w:hAnsi="宋体" w:cs="宋体"/>
          <w:bCs/>
          <w:kern w:val="0"/>
          <w:sz w:val="24"/>
          <w:highlight w:val="none"/>
          <w:u w:val="single"/>
          <w:lang w:val="en-US" w:eastAsia="zh-CN"/>
        </w:rPr>
        <w:t>30</w:t>
      </w:r>
    </w:p>
    <w:p>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Cs/>
          <w:kern w:val="0"/>
          <w:sz w:val="24"/>
          <w:highlight w:val="none"/>
        </w:rPr>
      </w:pPr>
      <w:r>
        <w:rPr>
          <w:rFonts w:hint="eastAsia" w:ascii="宋体" w:hAnsi="宋体" w:cs="宋体"/>
          <w:bCs/>
          <w:kern w:val="0"/>
          <w:sz w:val="24"/>
          <w:highlight w:val="none"/>
        </w:rPr>
        <w:t>接收人：</w:t>
      </w:r>
      <w:r>
        <w:rPr>
          <w:rFonts w:hint="eastAsia" w:ascii="宋体" w:hAnsi="宋体" w:cs="宋体"/>
          <w:bCs/>
          <w:kern w:val="0"/>
          <w:sz w:val="24"/>
          <w:highlight w:val="none"/>
          <w:u w:val="single"/>
        </w:rPr>
        <w:t>台州市建设咨询有限公司</w:t>
      </w:r>
      <w:r>
        <w:rPr>
          <w:rFonts w:hint="eastAsia" w:ascii="宋体" w:hAnsi="宋体" w:cs="宋体"/>
          <w:bCs/>
          <w:kern w:val="0"/>
          <w:sz w:val="24"/>
          <w:highlight w:val="none"/>
        </w:rPr>
        <w:t>（代理机构）</w:t>
      </w:r>
    </w:p>
    <w:p>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Cs/>
          <w:kern w:val="0"/>
          <w:sz w:val="24"/>
          <w:highlight w:val="none"/>
        </w:rPr>
      </w:pPr>
      <w:r>
        <w:rPr>
          <w:rFonts w:hint="eastAsia" w:ascii="宋体" w:hAnsi="宋体" w:cs="宋体"/>
          <w:bCs/>
          <w:kern w:val="0"/>
          <w:sz w:val="24"/>
          <w:highlight w:val="none"/>
        </w:rPr>
        <w:t>接收人联系方式：</w:t>
      </w:r>
      <w:r>
        <w:rPr>
          <w:rFonts w:hint="eastAsia" w:ascii="宋体" w:hAnsi="宋体" w:cs="宋体"/>
          <w:bCs/>
          <w:kern w:val="0"/>
          <w:sz w:val="24"/>
          <w:highlight w:val="none"/>
          <w:u w:val="single"/>
        </w:rPr>
        <w:t>0576-</w:t>
      </w:r>
      <w:r>
        <w:rPr>
          <w:rFonts w:hint="eastAsia" w:ascii="宋体" w:hAnsi="宋体" w:cs="宋体"/>
          <w:bCs/>
          <w:kern w:val="0"/>
          <w:sz w:val="24"/>
          <w:highlight w:val="none"/>
          <w:u w:val="single"/>
          <w:lang w:val="en-US" w:eastAsia="zh-CN"/>
        </w:rPr>
        <w:t>88517782</w:t>
      </w:r>
      <w:r>
        <w:rPr>
          <w:rFonts w:ascii="宋体" w:hAnsi="宋体" w:cs="宋体"/>
          <w:bCs/>
          <w:kern w:val="0"/>
          <w:sz w:val="24"/>
          <w:highlight w:val="none"/>
          <w:u w:val="single"/>
        </w:rPr>
        <w:t xml:space="preserve">      </w:t>
      </w:r>
    </w:p>
    <w:p>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Cs/>
          <w:kern w:val="0"/>
          <w:sz w:val="24"/>
          <w:highlight w:val="none"/>
        </w:rPr>
      </w:pPr>
      <w:r>
        <w:rPr>
          <w:rFonts w:hint="eastAsia" w:ascii="宋体" w:hAnsi="宋体" w:cs="宋体"/>
          <w:bCs/>
          <w:kern w:val="0"/>
          <w:sz w:val="24"/>
          <w:highlight w:val="none"/>
        </w:rPr>
        <w:t>注：投标保函文件中必须包含投标企业的信息，包含但不仅限于投标企业名称、保证方式、保证金额、保函获得时间、保证项目名称、保函有效期限、保费标准、费用支付账户（基本账户）等。</w:t>
      </w:r>
    </w:p>
    <w:p>
      <w:pPr>
        <w:tabs>
          <w:tab w:val="left" w:pos="180"/>
          <w:tab w:val="left" w:pos="360"/>
          <w:tab w:val="left" w:pos="540"/>
          <w:tab w:val="left" w:pos="8280"/>
        </w:tabs>
        <w:autoSpaceDE w:val="0"/>
        <w:autoSpaceDN w:val="0"/>
        <w:adjustRightInd w:val="0"/>
        <w:spacing w:line="360" w:lineRule="auto"/>
        <w:ind w:firstLine="482" w:firstLineChars="200"/>
        <w:jc w:val="left"/>
        <w:rPr>
          <w:rFonts w:ascii="宋体" w:hAnsi="宋体" w:cs="宋体"/>
          <w:b/>
          <w:kern w:val="0"/>
          <w:sz w:val="24"/>
          <w:highlight w:val="none"/>
        </w:rPr>
      </w:pPr>
    </w:p>
    <w:p>
      <w:pPr>
        <w:tabs>
          <w:tab w:val="left" w:pos="180"/>
          <w:tab w:val="left" w:pos="360"/>
          <w:tab w:val="left" w:pos="540"/>
          <w:tab w:val="left" w:pos="8280"/>
        </w:tabs>
        <w:autoSpaceDE w:val="0"/>
        <w:autoSpaceDN w:val="0"/>
        <w:adjustRightInd w:val="0"/>
        <w:spacing w:line="360" w:lineRule="auto"/>
        <w:ind w:firstLine="482" w:firstLineChars="200"/>
        <w:jc w:val="left"/>
        <w:rPr>
          <w:rFonts w:hint="eastAsia" w:ascii="宋体" w:hAnsi="宋体" w:cs="宋体"/>
          <w:b/>
          <w:kern w:val="0"/>
          <w:sz w:val="24"/>
          <w:highlight w:val="none"/>
        </w:rPr>
      </w:pPr>
      <w:r>
        <w:rPr>
          <w:rFonts w:hint="eastAsia" w:ascii="宋体" w:hAnsi="宋体" w:cs="宋体"/>
          <w:b/>
          <w:kern w:val="0"/>
          <w:sz w:val="24"/>
          <w:highlight w:val="none"/>
        </w:rPr>
        <w:t>3、注意事项</w:t>
      </w:r>
    </w:p>
    <w:p>
      <w:pPr>
        <w:tabs>
          <w:tab w:val="left" w:pos="180"/>
          <w:tab w:val="left" w:pos="360"/>
          <w:tab w:val="left" w:pos="540"/>
          <w:tab w:val="left" w:pos="8280"/>
        </w:tabs>
        <w:autoSpaceDE w:val="0"/>
        <w:autoSpaceDN w:val="0"/>
        <w:adjustRightInd w:val="0"/>
        <w:spacing w:line="360" w:lineRule="auto"/>
        <w:ind w:firstLine="482" w:firstLineChars="200"/>
        <w:jc w:val="left"/>
        <w:rPr>
          <w:rFonts w:hint="eastAsia" w:ascii="宋体" w:hAnsi="宋体" w:cs="宋体"/>
          <w:b/>
          <w:kern w:val="0"/>
          <w:sz w:val="24"/>
          <w:highlight w:val="none"/>
        </w:rPr>
      </w:pPr>
      <w:r>
        <w:rPr>
          <w:rFonts w:hint="eastAsia" w:ascii="宋体" w:hAnsi="宋体" w:cs="宋体"/>
          <w:b/>
          <w:kern w:val="0"/>
          <w:sz w:val="24"/>
          <w:highlight w:val="none"/>
        </w:rPr>
        <w:t>①若招标文件允许联合体投标且投标人以联合体身份投标的，由联合体牵头人提交投标保证金；</w:t>
      </w:r>
    </w:p>
    <w:p>
      <w:pPr>
        <w:tabs>
          <w:tab w:val="left" w:pos="180"/>
          <w:tab w:val="left" w:pos="360"/>
          <w:tab w:val="left" w:pos="540"/>
          <w:tab w:val="left" w:pos="8280"/>
        </w:tabs>
        <w:autoSpaceDE w:val="0"/>
        <w:autoSpaceDN w:val="0"/>
        <w:adjustRightInd w:val="0"/>
        <w:spacing w:line="360" w:lineRule="auto"/>
        <w:ind w:firstLine="482" w:firstLineChars="200"/>
        <w:jc w:val="left"/>
        <w:rPr>
          <w:rFonts w:hint="eastAsia" w:ascii="宋体" w:hAnsi="宋体" w:cs="宋体"/>
          <w:b/>
          <w:kern w:val="0"/>
          <w:sz w:val="24"/>
          <w:highlight w:val="none"/>
        </w:rPr>
      </w:pPr>
      <w:r>
        <w:rPr>
          <w:rFonts w:hint="eastAsia" w:ascii="宋体" w:hAnsi="宋体" w:cs="宋体"/>
          <w:b/>
          <w:kern w:val="0"/>
          <w:sz w:val="24"/>
          <w:highlight w:val="none"/>
        </w:rPr>
        <w:t>②以银行转账形式提交的投标保证金应当从投标人基本账户转出，购买工程保函的费用应当从投标人基本账户支付；</w:t>
      </w:r>
    </w:p>
    <w:p>
      <w:pPr>
        <w:tabs>
          <w:tab w:val="left" w:pos="180"/>
          <w:tab w:val="left" w:pos="360"/>
          <w:tab w:val="left" w:pos="540"/>
          <w:tab w:val="left" w:pos="8280"/>
        </w:tabs>
        <w:autoSpaceDE w:val="0"/>
        <w:autoSpaceDN w:val="0"/>
        <w:adjustRightInd w:val="0"/>
        <w:spacing w:line="360" w:lineRule="auto"/>
        <w:ind w:firstLine="482" w:firstLineChars="200"/>
        <w:jc w:val="left"/>
        <w:rPr>
          <w:rFonts w:hint="eastAsia" w:ascii="宋体" w:hAnsi="宋体" w:cs="宋体"/>
          <w:b/>
          <w:kern w:val="0"/>
          <w:sz w:val="24"/>
          <w:highlight w:val="none"/>
        </w:rPr>
      </w:pPr>
      <w:r>
        <w:rPr>
          <w:rFonts w:hint="eastAsia" w:ascii="宋体" w:hAnsi="宋体" w:cs="宋体"/>
          <w:b/>
          <w:kern w:val="0"/>
          <w:sz w:val="24"/>
          <w:highlight w:val="none"/>
        </w:rPr>
        <w:t>③若有疑问，请咨询技术服务热线：13454667697</w:t>
      </w:r>
    </w:p>
    <w:p>
      <w:pPr>
        <w:tabs>
          <w:tab w:val="left" w:pos="180"/>
          <w:tab w:val="left" w:pos="360"/>
          <w:tab w:val="left" w:pos="540"/>
          <w:tab w:val="left" w:pos="8280"/>
        </w:tabs>
        <w:autoSpaceDE w:val="0"/>
        <w:autoSpaceDN w:val="0"/>
        <w:adjustRightInd w:val="0"/>
        <w:spacing w:line="360" w:lineRule="auto"/>
        <w:ind w:firstLine="482" w:firstLineChars="200"/>
        <w:jc w:val="left"/>
        <w:rPr>
          <w:rFonts w:hint="eastAsia" w:ascii="宋体" w:hAnsi="宋体" w:cs="宋体"/>
          <w:b/>
          <w:kern w:val="0"/>
          <w:sz w:val="24"/>
          <w:highlight w:val="none"/>
        </w:rPr>
      </w:pPr>
      <w:r>
        <w:rPr>
          <w:rFonts w:hint="eastAsia" w:ascii="宋体" w:hAnsi="宋体" w:cs="宋体"/>
          <w:b/>
          <w:kern w:val="0"/>
          <w:sz w:val="24"/>
          <w:highlight w:val="none"/>
        </w:rPr>
        <w:t>④以上未按要求提供或提供不清晰的，评标委员会可能做出不利于投标人的评审结果，由此造成的风险由投标人自行承担。</w:t>
      </w:r>
    </w:p>
    <w:p>
      <w:pPr>
        <w:tabs>
          <w:tab w:val="left" w:pos="180"/>
          <w:tab w:val="left" w:pos="360"/>
          <w:tab w:val="left" w:pos="540"/>
          <w:tab w:val="left" w:pos="8280"/>
        </w:tabs>
        <w:autoSpaceDE w:val="0"/>
        <w:autoSpaceDN w:val="0"/>
        <w:adjustRightInd w:val="0"/>
        <w:spacing w:line="360" w:lineRule="auto"/>
        <w:ind w:firstLine="482" w:firstLineChars="200"/>
        <w:jc w:val="left"/>
        <w:rPr>
          <w:rFonts w:ascii="宋体" w:hAnsi="宋体" w:cs="宋体"/>
          <w:b/>
          <w:kern w:val="0"/>
          <w:sz w:val="24"/>
          <w:highlight w:val="none"/>
        </w:rPr>
      </w:pPr>
    </w:p>
    <w:p>
      <w:pPr>
        <w:tabs>
          <w:tab w:val="left" w:pos="180"/>
          <w:tab w:val="left" w:pos="360"/>
          <w:tab w:val="left" w:pos="540"/>
          <w:tab w:val="left" w:pos="8280"/>
        </w:tabs>
        <w:autoSpaceDE w:val="0"/>
        <w:autoSpaceDN w:val="0"/>
        <w:adjustRightInd w:val="0"/>
        <w:spacing w:line="360" w:lineRule="auto"/>
        <w:ind w:firstLine="482" w:firstLineChars="200"/>
        <w:jc w:val="left"/>
        <w:rPr>
          <w:rFonts w:ascii="宋体" w:hAnsi="宋体" w:cs="宋体"/>
          <w:b/>
          <w:bCs/>
          <w:color w:val="000000"/>
          <w:kern w:val="0"/>
          <w:sz w:val="24"/>
          <w:highlight w:val="none"/>
        </w:rPr>
      </w:pPr>
      <w:r>
        <w:rPr>
          <w:rFonts w:hint="eastAsia" w:ascii="宋体" w:hAnsi="宋体" w:cs="宋体"/>
          <w:b/>
          <w:kern w:val="0"/>
          <w:sz w:val="24"/>
          <w:highlight w:val="none"/>
        </w:rPr>
        <w:t>4、</w:t>
      </w:r>
      <w:r>
        <w:rPr>
          <w:rFonts w:hint="eastAsia" w:ascii="宋体" w:hAnsi="宋体" w:cs="宋体"/>
          <w:bCs/>
          <w:kern w:val="0"/>
          <w:sz w:val="24"/>
          <w:highlight w:val="none"/>
        </w:rPr>
        <w:t>购买工程电子保函截止时间：</w:t>
      </w:r>
      <w:r>
        <w:rPr>
          <w:rFonts w:hint="eastAsia" w:ascii="宋体" w:hAnsi="宋体" w:cs="宋体"/>
          <w:b/>
          <w:bCs/>
          <w:color w:val="000000"/>
          <w:kern w:val="0"/>
          <w:sz w:val="24"/>
          <w:highlight w:val="none"/>
          <w:u w:val="single"/>
          <w:lang w:val="en-US" w:eastAsia="zh-CN"/>
        </w:rPr>
        <w:t>开标截止日前一日</w:t>
      </w:r>
      <w:r>
        <w:rPr>
          <w:rFonts w:hint="eastAsia" w:ascii="宋体" w:hAnsi="宋体" w:cs="宋体"/>
          <w:b/>
          <w:bCs/>
          <w:color w:val="000000"/>
          <w:kern w:val="0"/>
          <w:sz w:val="24"/>
          <w:highlight w:val="none"/>
          <w:u w:val="single"/>
        </w:rPr>
        <w:t>下午16点前</w:t>
      </w:r>
    </w:p>
    <w:p>
      <w:pPr>
        <w:snapToGrid w:val="0"/>
        <w:spacing w:line="360" w:lineRule="auto"/>
        <w:ind w:firstLine="542" w:firstLineChars="225"/>
        <w:rPr>
          <w:rFonts w:hint="eastAsia" w:ascii="宋体" w:hAnsi="宋体" w:cs="宋体"/>
          <w:b/>
          <w:bCs/>
          <w:color w:val="auto"/>
          <w:sz w:val="24"/>
          <w:highlight w:val="none"/>
        </w:rPr>
      </w:pPr>
      <w:r>
        <w:rPr>
          <w:rFonts w:hint="eastAsia" w:ascii="宋体" w:hAnsi="宋体" w:cs="宋体"/>
          <w:b/>
          <w:color w:val="auto"/>
          <w:sz w:val="24"/>
          <w:highlight w:val="none"/>
        </w:rPr>
        <w:t>十、</w:t>
      </w:r>
      <w:r>
        <w:rPr>
          <w:rFonts w:hint="eastAsia" w:ascii="宋体" w:hAnsi="宋体" w:cs="宋体"/>
          <w:b/>
          <w:bCs/>
          <w:color w:val="auto"/>
          <w:sz w:val="24"/>
          <w:highlight w:val="none"/>
        </w:rPr>
        <w:t>公告、公示媒体：</w:t>
      </w:r>
    </w:p>
    <w:p>
      <w:pPr>
        <w:snapToGrid w:val="0"/>
        <w:spacing w:line="360" w:lineRule="auto"/>
        <w:ind w:firstLine="480" w:firstLineChars="200"/>
        <w:rPr>
          <w:rFonts w:hint="eastAsia" w:ascii="宋体" w:hAnsi="宋体" w:cs="Arial"/>
          <w:b/>
          <w:color w:val="auto"/>
          <w:sz w:val="24"/>
          <w:highlight w:val="none"/>
        </w:rPr>
      </w:pPr>
      <w:r>
        <w:rPr>
          <w:rFonts w:hint="eastAsia" w:ascii="宋体" w:hAnsi="宋体" w:cs="宋体"/>
          <w:sz w:val="24"/>
          <w:highlight w:val="none"/>
        </w:rPr>
        <w:t>公告网址：台州湾新区小额工程电子交易平台</w:t>
      </w:r>
      <w:r>
        <w:rPr>
          <w:rFonts w:ascii="宋体" w:hAnsi="宋体" w:cs="宋体"/>
          <w:sz w:val="24"/>
          <w:highlight w:val="none"/>
        </w:rPr>
        <w:t>”</w:t>
      </w:r>
      <w:r>
        <w:rPr>
          <w:rFonts w:hint="eastAsia" w:ascii="宋体" w:hAnsi="宋体" w:cs="宋体"/>
          <w:sz w:val="24"/>
          <w:highlight w:val="none"/>
        </w:rPr>
        <w:t>（http://www.tzwztb.com）</w:t>
      </w:r>
      <w:r>
        <w:rPr>
          <w:rFonts w:hint="eastAsia" w:ascii="宋体" w:hAnsi="宋体" w:cs="宋体"/>
          <w:sz w:val="24"/>
          <w:highlight w:val="none"/>
          <w:lang w:eastAsia="zh-CN"/>
        </w:rPr>
        <w:t>、</w:t>
      </w:r>
      <w:r>
        <w:rPr>
          <w:rFonts w:hint="eastAsia" w:ascii="宋体" w:hAnsi="宋体" w:cs="宋体"/>
          <w:kern w:val="0"/>
          <w:sz w:val="24"/>
          <w:highlight w:val="none"/>
        </w:rPr>
        <w:t>浙江政府采购网（</w:t>
      </w:r>
      <w:r>
        <w:rPr>
          <w:rFonts w:hint="eastAsia" w:ascii="宋体" w:hAnsi="宋体" w:cs="宋体"/>
          <w:sz w:val="24"/>
          <w:highlight w:val="none"/>
        </w:rPr>
        <w:t>https://zfcg.czt.zj.gov.cn</w:t>
      </w:r>
      <w:r>
        <w:rPr>
          <w:rFonts w:hint="eastAsia" w:ascii="宋体" w:hAnsi="宋体" w:cs="宋体"/>
          <w:kern w:val="0"/>
          <w:sz w:val="24"/>
          <w:highlight w:val="none"/>
        </w:rPr>
        <w:t>）</w:t>
      </w:r>
      <w:r>
        <w:rPr>
          <w:rFonts w:hint="eastAsia" w:ascii="宋体" w:hAnsi="宋体" w:cs="宋体"/>
          <w:color w:val="auto"/>
          <w:sz w:val="24"/>
          <w:highlight w:val="none"/>
        </w:rPr>
        <w:t>。</w:t>
      </w:r>
    </w:p>
    <w:p>
      <w:pPr>
        <w:snapToGrid w:val="0"/>
        <w:spacing w:line="360" w:lineRule="auto"/>
        <w:ind w:firstLine="482" w:firstLineChars="200"/>
        <w:rPr>
          <w:rFonts w:ascii="宋体" w:hAnsi="宋体" w:cs="Arial"/>
          <w:b/>
          <w:color w:val="auto"/>
          <w:sz w:val="24"/>
          <w:szCs w:val="20"/>
          <w:highlight w:val="none"/>
        </w:rPr>
      </w:pPr>
      <w:r>
        <w:rPr>
          <w:rFonts w:hint="eastAsia" w:ascii="宋体" w:hAnsi="宋体" w:cs="Arial"/>
          <w:b/>
          <w:color w:val="auto"/>
          <w:sz w:val="24"/>
          <w:highlight w:val="none"/>
        </w:rPr>
        <w:t>十一、联系方式：</w:t>
      </w:r>
    </w:p>
    <w:p>
      <w:pPr>
        <w:snapToGrid w:val="0"/>
        <w:spacing w:line="360" w:lineRule="auto"/>
        <w:ind w:firstLine="482" w:firstLineChars="200"/>
        <w:rPr>
          <w:rFonts w:ascii="宋体" w:hAnsi="宋体" w:cs="宋体"/>
          <w:b/>
          <w:bCs/>
          <w:sz w:val="24"/>
          <w:highlight w:val="none"/>
        </w:rPr>
      </w:pPr>
      <w:r>
        <w:rPr>
          <w:rFonts w:hint="eastAsia" w:ascii="宋体" w:hAnsi="宋体" w:cs="宋体"/>
          <w:b/>
          <w:bCs/>
          <w:sz w:val="24"/>
          <w:highlight w:val="none"/>
        </w:rPr>
        <w:t>（一）</w:t>
      </w:r>
      <w:r>
        <w:rPr>
          <w:rFonts w:hint="eastAsia" w:ascii="宋体" w:hAnsi="宋体" w:cs="宋体"/>
          <w:b/>
          <w:bCs/>
          <w:sz w:val="24"/>
          <w:highlight w:val="none"/>
          <w:lang w:val="en-US" w:eastAsia="zh-CN"/>
        </w:rPr>
        <w:t>招标人</w:t>
      </w:r>
      <w:r>
        <w:rPr>
          <w:rFonts w:hint="eastAsia" w:ascii="宋体" w:hAnsi="宋体" w:cs="宋体"/>
          <w:b/>
          <w:bCs/>
          <w:sz w:val="24"/>
          <w:highlight w:val="none"/>
        </w:rPr>
        <w:t xml:space="preserve">（受理招标文件相关质疑及答复） </w:t>
      </w:r>
    </w:p>
    <w:p>
      <w:pPr>
        <w:spacing w:line="360" w:lineRule="auto"/>
        <w:ind w:firstLine="600" w:firstLineChars="250"/>
        <w:rPr>
          <w:rFonts w:hint="eastAsia" w:hAnsi="宋体" w:cs="宋体"/>
          <w:b/>
          <w:bCs/>
          <w:color w:val="auto"/>
          <w:highlight w:val="none"/>
        </w:rPr>
      </w:pPr>
      <w:r>
        <w:rPr>
          <w:rFonts w:hint="eastAsia" w:ascii="宋体" w:hAnsi="宋体" w:cs="宋体"/>
          <w:color w:val="auto"/>
          <w:kern w:val="0"/>
          <w:sz w:val="24"/>
          <w:highlight w:val="none"/>
          <w:lang w:val="en-US" w:eastAsia="zh-CN"/>
        </w:rPr>
        <w:t>招标人</w:t>
      </w:r>
      <w:r>
        <w:rPr>
          <w:rFonts w:hint="eastAsia" w:ascii="宋体" w:hAnsi="宋体" w:cs="宋体"/>
          <w:color w:val="auto"/>
          <w:kern w:val="0"/>
          <w:sz w:val="24"/>
          <w:highlight w:val="none"/>
        </w:rPr>
        <w:t>：</w:t>
      </w:r>
      <w:r>
        <w:rPr>
          <w:rFonts w:hint="eastAsia" w:ascii="宋体" w:hAnsi="宋体" w:cs="宋体"/>
          <w:b w:val="0"/>
          <w:bCs w:val="0"/>
          <w:color w:val="auto"/>
          <w:kern w:val="0"/>
          <w:sz w:val="24"/>
          <w:highlight w:val="none"/>
          <w:u w:val="single"/>
          <w:lang w:eastAsia="zh-CN"/>
        </w:rPr>
        <w:t>台州东发建设集团有限公司</w:t>
      </w:r>
      <w:r>
        <w:rPr>
          <w:rFonts w:hint="eastAsia" w:hAnsi="宋体" w:cs="宋体"/>
          <w:b w:val="0"/>
          <w:bCs w:val="0"/>
          <w:color w:val="auto"/>
          <w:highlight w:val="none"/>
          <w:u w:val="single"/>
        </w:rPr>
        <w:t xml:space="preserve">  </w:t>
      </w:r>
    </w:p>
    <w:p>
      <w:pPr>
        <w:spacing w:line="360" w:lineRule="auto"/>
        <w:ind w:firstLine="600" w:firstLineChars="250"/>
        <w:rPr>
          <w:rFonts w:hint="eastAsia"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single"/>
          <w:lang w:val="en-US" w:eastAsia="zh-CN"/>
        </w:rPr>
        <w:t>朱女士</w:t>
      </w:r>
      <w:r>
        <w:rPr>
          <w:rFonts w:hint="eastAsia" w:ascii="宋体" w:hAnsi="宋体" w:cs="宋体"/>
          <w:color w:val="auto"/>
          <w:sz w:val="24"/>
          <w:highlight w:val="none"/>
          <w:u w:val="single"/>
        </w:rPr>
        <w:t xml:space="preserve">   </w:t>
      </w:r>
    </w:p>
    <w:p>
      <w:pPr>
        <w:spacing w:line="360" w:lineRule="auto"/>
        <w:ind w:firstLine="600" w:firstLineChars="250"/>
        <w:rPr>
          <w:rFonts w:hint="eastAsia"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bCs/>
          <w:color w:val="auto"/>
          <w:sz w:val="24"/>
          <w:highlight w:val="none"/>
          <w:u w:val="single"/>
        </w:rPr>
        <w:t>0576-88</w:t>
      </w:r>
      <w:r>
        <w:rPr>
          <w:rFonts w:hint="eastAsia" w:ascii="宋体" w:hAnsi="宋体" w:cs="宋体"/>
          <w:bCs/>
          <w:color w:val="auto"/>
          <w:sz w:val="24"/>
          <w:highlight w:val="none"/>
          <w:u w:val="single"/>
          <w:lang w:val="en-US" w:eastAsia="zh-CN"/>
        </w:rPr>
        <w:t>903253</w:t>
      </w:r>
      <w:r>
        <w:rPr>
          <w:rFonts w:hint="eastAsia" w:ascii="宋体" w:hAnsi="宋体" w:cs="宋体"/>
          <w:color w:val="auto"/>
          <w:sz w:val="24"/>
          <w:highlight w:val="none"/>
          <w:u w:val="single"/>
        </w:rPr>
        <w:t xml:space="preserve"> </w:t>
      </w:r>
    </w:p>
    <w:p>
      <w:pPr>
        <w:spacing w:line="360" w:lineRule="auto"/>
        <w:ind w:firstLine="600" w:firstLineChars="250"/>
        <w:rPr>
          <w:rFonts w:hint="eastAsia" w:hAnsi="宋体" w:eastAsia="宋体" w:cs="宋体"/>
          <w:b/>
          <w:bCs/>
          <w:color w:val="auto"/>
          <w:highlight w:val="none"/>
          <w:lang w:val="en-US" w:eastAsia="zh-CN"/>
        </w:rPr>
      </w:pPr>
      <w:r>
        <w:rPr>
          <w:rFonts w:hint="eastAsia" w:ascii="宋体" w:hAnsi="宋体" w:cs="宋体"/>
          <w:color w:val="auto"/>
          <w:sz w:val="24"/>
          <w:highlight w:val="none"/>
          <w:lang w:val="en-US" w:eastAsia="zh-CN"/>
        </w:rPr>
        <w:t>地址：</w:t>
      </w:r>
      <w:r>
        <w:rPr>
          <w:rFonts w:hint="eastAsia" w:ascii="宋体" w:hAnsi="宋体" w:cs="宋体"/>
          <w:sz w:val="24"/>
          <w:highlight w:val="none"/>
          <w:u w:val="single"/>
          <w:lang w:eastAsia="zh-CN"/>
        </w:rPr>
        <w:t>椒江区滨富东路999号东盛广场</w:t>
      </w:r>
    </w:p>
    <w:p>
      <w:pPr>
        <w:spacing w:line="360" w:lineRule="auto"/>
        <w:ind w:firstLine="482" w:firstLineChars="200"/>
        <w:rPr>
          <w:rFonts w:hint="eastAsia" w:ascii="宋体" w:hAnsi="宋体" w:cs="宋体"/>
          <w:color w:val="auto"/>
          <w:kern w:val="0"/>
          <w:sz w:val="24"/>
          <w:highlight w:val="none"/>
        </w:rPr>
      </w:pPr>
      <w:r>
        <w:rPr>
          <w:rFonts w:hint="eastAsia" w:ascii="宋体" w:hAnsi="宋体" w:cs="宋体"/>
          <w:b/>
          <w:bCs/>
          <w:sz w:val="24"/>
          <w:highlight w:val="none"/>
        </w:rPr>
        <w:t>（二）采购组织机构</w:t>
      </w:r>
    </w:p>
    <w:p>
      <w:pPr>
        <w:widowControl/>
        <w:spacing w:line="360" w:lineRule="auto"/>
        <w:ind w:firstLine="600" w:firstLineChars="250"/>
        <w:jc w:val="left"/>
        <w:rPr>
          <w:rFonts w:hint="eastAsia" w:ascii="宋体" w:hAnsi="宋体" w:cs="宋体"/>
          <w:color w:val="auto"/>
          <w:kern w:val="0"/>
          <w:sz w:val="24"/>
          <w:highlight w:val="none"/>
        </w:rPr>
      </w:pPr>
      <w:r>
        <w:rPr>
          <w:rFonts w:hint="eastAsia" w:ascii="宋体" w:hAnsi="宋体" w:cs="宋体"/>
          <w:color w:val="auto"/>
          <w:kern w:val="0"/>
          <w:sz w:val="24"/>
          <w:highlight w:val="none"/>
        </w:rPr>
        <w:t>代理机构：</w:t>
      </w:r>
      <w:r>
        <w:rPr>
          <w:rFonts w:hint="eastAsia" w:ascii="宋体" w:hAnsi="宋体" w:cs="宋体"/>
          <w:color w:val="auto"/>
          <w:kern w:val="0"/>
          <w:sz w:val="24"/>
          <w:highlight w:val="none"/>
          <w:u w:val="single"/>
        </w:rPr>
        <w:t xml:space="preserve">台州市建设咨询有限公司 </w:t>
      </w:r>
      <w:r>
        <w:rPr>
          <w:rFonts w:hint="eastAsia" w:ascii="宋体" w:hAnsi="宋体" w:cs="宋体"/>
          <w:color w:val="auto"/>
          <w:kern w:val="0"/>
          <w:sz w:val="24"/>
          <w:highlight w:val="none"/>
        </w:rPr>
        <w:t xml:space="preserve">      </w:t>
      </w:r>
    </w:p>
    <w:p>
      <w:pPr>
        <w:widowControl/>
        <w:spacing w:line="360" w:lineRule="auto"/>
        <w:ind w:firstLine="600" w:firstLineChars="250"/>
        <w:jc w:val="left"/>
        <w:rPr>
          <w:rFonts w:hint="eastAsia" w:ascii="宋体" w:hAnsi="宋体" w:cs="宋体"/>
          <w:color w:val="auto"/>
          <w:sz w:val="24"/>
          <w:highlight w:val="none"/>
        </w:rPr>
      </w:pPr>
      <w:r>
        <w:rPr>
          <w:rFonts w:hint="eastAsia" w:ascii="宋体" w:hAnsi="宋体" w:cs="宋体"/>
          <w:color w:val="auto"/>
          <w:kern w:val="0"/>
          <w:sz w:val="24"/>
          <w:highlight w:val="none"/>
        </w:rPr>
        <w:t>联系人：</w:t>
      </w:r>
      <w:r>
        <w:rPr>
          <w:rFonts w:hint="eastAsia" w:ascii="宋体" w:hAnsi="宋体" w:cs="宋体"/>
          <w:color w:val="auto"/>
          <w:kern w:val="0"/>
          <w:sz w:val="24"/>
          <w:highlight w:val="none"/>
          <w:u w:val="single"/>
          <w:lang w:val="en-US" w:eastAsia="zh-CN"/>
        </w:rPr>
        <w:t>章家炀</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p>
    <w:p>
      <w:pPr>
        <w:widowControl/>
        <w:spacing w:line="360" w:lineRule="auto"/>
        <w:ind w:firstLine="600" w:firstLineChars="250"/>
        <w:jc w:val="left"/>
        <w:rPr>
          <w:rFonts w:hint="eastAsia" w:ascii="宋体" w:hAnsi="宋体" w:cs="宋体"/>
          <w:color w:val="auto"/>
          <w:sz w:val="24"/>
          <w:highlight w:val="none"/>
        </w:rPr>
      </w:pPr>
      <w:r>
        <w:rPr>
          <w:rFonts w:hint="eastAsia" w:ascii="宋体" w:hAnsi="宋体" w:cs="宋体"/>
          <w:color w:val="auto"/>
          <w:kern w:val="0"/>
          <w:sz w:val="24"/>
          <w:highlight w:val="none"/>
        </w:rPr>
        <w:t>电  话：</w:t>
      </w:r>
      <w:r>
        <w:rPr>
          <w:rFonts w:hint="eastAsia" w:ascii="宋体" w:hAnsi="宋体" w:cs="宋体"/>
          <w:color w:val="auto"/>
          <w:sz w:val="24"/>
          <w:highlight w:val="none"/>
          <w:u w:val="single"/>
        </w:rPr>
        <w:t>0576-885177</w:t>
      </w:r>
      <w:r>
        <w:rPr>
          <w:rFonts w:hint="eastAsia" w:ascii="宋体" w:hAnsi="宋体" w:cs="宋体"/>
          <w:color w:val="auto"/>
          <w:sz w:val="24"/>
          <w:highlight w:val="none"/>
          <w:u w:val="single"/>
          <w:lang w:val="en-US" w:eastAsia="zh-CN"/>
        </w:rPr>
        <w:t>82</w:t>
      </w:r>
      <w:r>
        <w:rPr>
          <w:rFonts w:hint="eastAsia" w:ascii="宋体" w:hAnsi="宋体" w:cs="宋体"/>
          <w:color w:val="auto"/>
          <w:sz w:val="24"/>
          <w:highlight w:val="none"/>
          <w:u w:val="single"/>
        </w:rPr>
        <w:t xml:space="preserve"> </w:t>
      </w:r>
    </w:p>
    <w:p>
      <w:pPr>
        <w:spacing w:line="360" w:lineRule="auto"/>
        <w:ind w:firstLine="600" w:firstLineChars="250"/>
        <w:rPr>
          <w:rFonts w:hint="eastAsia" w:ascii="宋体" w:hAnsi="宋体" w:cs="宋体"/>
          <w:color w:val="auto"/>
          <w:sz w:val="24"/>
          <w:highlight w:val="none"/>
          <w:u w:val="single"/>
          <w:lang w:val="en-US" w:eastAsia="zh-CN"/>
        </w:rPr>
      </w:pPr>
      <w:r>
        <w:rPr>
          <w:rFonts w:hint="eastAsia" w:ascii="宋体" w:hAnsi="宋体" w:cs="宋体"/>
          <w:color w:val="auto"/>
          <w:kern w:val="0"/>
          <w:sz w:val="24"/>
          <w:highlight w:val="none"/>
        </w:rPr>
        <w:t>传  真：</w:t>
      </w:r>
      <w:r>
        <w:rPr>
          <w:rFonts w:hint="eastAsia" w:ascii="宋体" w:hAnsi="宋体" w:cs="宋体"/>
          <w:color w:val="auto"/>
          <w:sz w:val="24"/>
          <w:highlight w:val="none"/>
          <w:u w:val="single"/>
        </w:rPr>
        <w:t>0576-885177</w:t>
      </w:r>
      <w:r>
        <w:rPr>
          <w:rFonts w:hint="eastAsia" w:ascii="宋体" w:hAnsi="宋体" w:cs="宋体"/>
          <w:color w:val="auto"/>
          <w:sz w:val="24"/>
          <w:highlight w:val="none"/>
          <w:u w:val="single"/>
          <w:lang w:val="en-US" w:eastAsia="zh-CN"/>
        </w:rPr>
        <w:t>91</w:t>
      </w:r>
    </w:p>
    <w:p>
      <w:pPr>
        <w:spacing w:line="360" w:lineRule="auto"/>
        <w:ind w:firstLine="600" w:firstLineChars="250"/>
        <w:rPr>
          <w:rFonts w:hint="default" w:ascii="宋体" w:hAnsi="宋体" w:eastAsia="宋体" w:cs="宋体"/>
          <w:color w:val="auto"/>
          <w:kern w:val="0"/>
          <w:sz w:val="24"/>
          <w:highlight w:val="none"/>
          <w:lang w:val="en-US" w:eastAsia="zh-CN"/>
        </w:rPr>
      </w:pPr>
      <w:r>
        <w:rPr>
          <w:rFonts w:hint="eastAsia" w:ascii="宋体" w:hAnsi="宋体" w:cs="宋体"/>
          <w:color w:val="auto"/>
          <w:sz w:val="24"/>
          <w:highlight w:val="none"/>
          <w:lang w:val="en-US" w:eastAsia="zh-CN"/>
        </w:rPr>
        <w:t>地址：</w:t>
      </w:r>
      <w:r>
        <w:rPr>
          <w:rFonts w:hint="eastAsia" w:ascii="宋体" w:hAnsi="宋体" w:cs="宋体"/>
          <w:sz w:val="24"/>
          <w:highlight w:val="none"/>
          <w:u w:val="single"/>
          <w:lang w:val="en-US" w:eastAsia="zh-CN"/>
        </w:rPr>
        <w:t>浙江省台州市椒江区市府大道东段507号台州国际商务广场1幢11楼</w:t>
      </w:r>
    </w:p>
    <w:p>
      <w:pPr>
        <w:spacing w:line="360" w:lineRule="auto"/>
        <w:ind w:firstLine="482" w:firstLineChars="200"/>
        <w:rPr>
          <w:rFonts w:hint="eastAsia" w:ascii="宋体" w:hAnsi="宋体" w:eastAsia="宋体" w:cs="宋体"/>
          <w:sz w:val="24"/>
          <w:highlight w:val="none"/>
          <w:u w:val="single"/>
          <w:lang w:val="en-US" w:eastAsia="zh-CN"/>
        </w:rPr>
      </w:pPr>
      <w:r>
        <w:rPr>
          <w:rFonts w:hint="eastAsia" w:ascii="宋体" w:hAnsi="宋体" w:cs="宋体"/>
          <w:b/>
          <w:sz w:val="24"/>
          <w:highlight w:val="none"/>
        </w:rPr>
        <w:t>（三）同级采购监管机构</w:t>
      </w:r>
    </w:p>
    <w:p>
      <w:pPr>
        <w:widowControl/>
        <w:spacing w:line="360" w:lineRule="auto"/>
        <w:ind w:firstLine="600" w:firstLineChars="250"/>
        <w:jc w:val="left"/>
        <w:rPr>
          <w:rFonts w:hint="eastAsia" w:ascii="宋体" w:hAnsi="宋体" w:cs="宋体"/>
          <w:color w:val="auto"/>
          <w:kern w:val="0"/>
          <w:sz w:val="24"/>
          <w:highlight w:val="none"/>
          <w:u w:val="single"/>
        </w:rPr>
      </w:pPr>
      <w:r>
        <w:rPr>
          <w:rFonts w:hint="eastAsia" w:ascii="宋体" w:hAnsi="宋体" w:cs="宋体"/>
          <w:sz w:val="24"/>
          <w:highlight w:val="none"/>
        </w:rPr>
        <w:t>名 称：</w:t>
      </w:r>
      <w:r>
        <w:rPr>
          <w:rFonts w:hint="eastAsia" w:ascii="宋体" w:hAnsi="宋体" w:cs="宋体"/>
          <w:sz w:val="24"/>
          <w:highlight w:val="none"/>
          <w:u w:val="single"/>
        </w:rPr>
        <w:t>台州湾新区行政审批与投资服务局</w:t>
      </w:r>
    </w:p>
    <w:p>
      <w:pPr>
        <w:widowControl/>
        <w:spacing w:line="360" w:lineRule="auto"/>
        <w:ind w:firstLine="600" w:firstLineChars="250"/>
        <w:jc w:val="left"/>
        <w:rPr>
          <w:rFonts w:hint="eastAsia" w:ascii="宋体" w:hAnsi="宋体" w:eastAsia="宋体" w:cs="宋体"/>
          <w:color w:val="auto"/>
          <w:sz w:val="24"/>
          <w:highlight w:val="none"/>
          <w:lang w:eastAsia="zh-CN"/>
        </w:rPr>
      </w:pPr>
      <w:r>
        <w:rPr>
          <w:rFonts w:hint="eastAsia" w:ascii="宋体" w:hAnsi="宋体" w:cs="宋体"/>
          <w:color w:val="auto"/>
          <w:kern w:val="0"/>
          <w:sz w:val="24"/>
          <w:highlight w:val="none"/>
        </w:rPr>
        <w:t>地</w:t>
      </w:r>
      <w:r>
        <w:rPr>
          <w:rFonts w:hint="eastAsia" w:ascii="宋体" w:hAnsi="宋体" w:cs="宋体"/>
          <w:color w:val="auto"/>
          <w:kern w:val="0"/>
          <w:sz w:val="24"/>
          <w:highlight w:val="none"/>
          <w:lang w:val="en-US" w:eastAsia="zh-CN"/>
        </w:rPr>
        <w:t xml:space="preserve"> </w:t>
      </w:r>
      <w:r>
        <w:rPr>
          <w:rFonts w:hint="eastAsia" w:ascii="宋体" w:hAnsi="宋体" w:cs="宋体"/>
          <w:color w:val="auto"/>
          <w:kern w:val="0"/>
          <w:sz w:val="24"/>
          <w:highlight w:val="none"/>
        </w:rPr>
        <w:t>址：</w:t>
      </w:r>
      <w:r>
        <w:rPr>
          <w:rFonts w:hint="eastAsia" w:ascii="宋体" w:hAnsi="宋体" w:cs="宋体"/>
          <w:sz w:val="24"/>
          <w:highlight w:val="none"/>
          <w:u w:val="single"/>
          <w:lang w:eastAsia="zh-CN"/>
        </w:rPr>
        <w:t>椒江区滨富东路999号东盛广场</w:t>
      </w:r>
    </w:p>
    <w:p>
      <w:pPr>
        <w:widowControl/>
        <w:spacing w:line="360" w:lineRule="auto"/>
        <w:ind w:firstLine="600" w:firstLineChars="250"/>
        <w:jc w:val="left"/>
        <w:rPr>
          <w:rFonts w:hint="eastAsia" w:ascii="宋体" w:hAnsi="宋体" w:cs="宋体"/>
          <w:color w:val="auto"/>
          <w:sz w:val="24"/>
          <w:highlight w:val="none"/>
        </w:rPr>
      </w:pPr>
      <w:r>
        <w:rPr>
          <w:rFonts w:hint="eastAsia" w:ascii="宋体" w:hAnsi="宋体" w:cs="宋体"/>
          <w:color w:val="auto"/>
          <w:kern w:val="0"/>
          <w:sz w:val="24"/>
          <w:highlight w:val="none"/>
        </w:rPr>
        <w:t>联系人：</w:t>
      </w:r>
      <w:r>
        <w:rPr>
          <w:rFonts w:hint="eastAsia" w:ascii="宋体" w:hAnsi="宋体" w:cs="宋体"/>
          <w:color w:val="auto"/>
          <w:sz w:val="24"/>
          <w:highlight w:val="none"/>
          <w:u w:val="single"/>
          <w:lang w:val="en-US" w:eastAsia="zh-CN"/>
        </w:rPr>
        <w:t>徐先生</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p>
    <w:p>
      <w:pPr>
        <w:widowControl/>
        <w:spacing w:line="360" w:lineRule="auto"/>
        <w:ind w:firstLine="600" w:firstLineChars="250"/>
        <w:jc w:val="left"/>
        <w:rPr>
          <w:rFonts w:hint="eastAsia" w:ascii="宋体" w:hAnsi="宋体" w:cs="宋体"/>
          <w:color w:val="auto"/>
          <w:sz w:val="24"/>
          <w:highlight w:val="none"/>
        </w:rPr>
      </w:pPr>
      <w:r>
        <w:rPr>
          <w:rFonts w:hint="eastAsia" w:ascii="宋体" w:hAnsi="宋体" w:cs="宋体"/>
          <w:color w:val="auto"/>
          <w:kern w:val="0"/>
          <w:sz w:val="24"/>
          <w:highlight w:val="none"/>
        </w:rPr>
        <w:t>电  话：</w:t>
      </w:r>
      <w:r>
        <w:rPr>
          <w:rFonts w:hint="eastAsia" w:ascii="宋体" w:hAnsi="宋体" w:cs="宋体"/>
          <w:sz w:val="24"/>
          <w:highlight w:val="none"/>
          <w:u w:val="single"/>
        </w:rPr>
        <w:t>0576-</w:t>
      </w:r>
      <w:r>
        <w:rPr>
          <w:rFonts w:hint="eastAsia" w:ascii="宋体" w:hAnsi="宋体" w:cs="宋体"/>
          <w:sz w:val="24"/>
          <w:highlight w:val="none"/>
          <w:u w:val="single"/>
          <w:lang w:val="en-US" w:eastAsia="zh-CN"/>
        </w:rPr>
        <w:t>88538849</w:t>
      </w:r>
    </w:p>
    <w:p>
      <w:pPr>
        <w:pStyle w:val="111"/>
        <w:spacing w:line="360" w:lineRule="auto"/>
        <w:rPr>
          <w:rFonts w:hint="eastAsia" w:ascii="宋体" w:hAnsi="宋体" w:cs="宋体"/>
          <w:b/>
          <w:sz w:val="24"/>
          <w:highlight w:val="none"/>
        </w:rPr>
      </w:pPr>
      <w:r>
        <w:rPr>
          <w:rFonts w:hint="eastAsia" w:ascii="宋体" w:hAnsi="宋体" w:cs="宋体"/>
          <w:color w:val="auto"/>
          <w:sz w:val="24"/>
          <w:highlight w:val="none"/>
          <w:lang w:val="en-US" w:eastAsia="zh-CN"/>
        </w:rPr>
        <w:t xml:space="preserve">     </w:t>
      </w:r>
      <w:r>
        <w:rPr>
          <w:rFonts w:hint="eastAsia" w:ascii="宋体" w:hAnsi="宋体" w:cs="宋体"/>
          <w:b/>
          <w:sz w:val="24"/>
          <w:highlight w:val="none"/>
        </w:rPr>
        <w:t>（四）台州湾新区小额工程电子交易平台</w:t>
      </w:r>
    </w:p>
    <w:p>
      <w:pPr>
        <w:spacing w:line="360" w:lineRule="auto"/>
        <w:ind w:firstLine="480" w:firstLineChars="200"/>
        <w:rPr>
          <w:rFonts w:hint="default" w:ascii="宋体" w:hAnsi="宋体" w:cs="宋体"/>
          <w:sz w:val="24"/>
          <w:highlight w:val="none"/>
          <w:lang w:val="en-US" w:eastAsia="zh-CN"/>
        </w:rPr>
      </w:pPr>
      <w:r>
        <w:rPr>
          <w:rFonts w:hint="eastAsia" w:ascii="宋体" w:hAnsi="宋体" w:cs="宋体"/>
          <w:sz w:val="24"/>
          <w:highlight w:val="none"/>
          <w:lang w:val="en-US" w:eastAsia="zh-CN"/>
        </w:rPr>
        <w:t>联系人：</w:t>
      </w:r>
      <w:r>
        <w:rPr>
          <w:rFonts w:hint="eastAsia" w:ascii="宋体" w:hAnsi="宋体" w:cs="宋体"/>
          <w:sz w:val="24"/>
          <w:highlight w:val="none"/>
          <w:u w:val="single"/>
          <w:lang w:val="en-US" w:eastAsia="zh-CN"/>
        </w:rPr>
        <w:t>蔡永正、王明月</w:t>
      </w:r>
    </w:p>
    <w:p>
      <w:pPr>
        <w:spacing w:line="360" w:lineRule="auto"/>
        <w:ind w:firstLine="480" w:firstLineChars="200"/>
        <w:rPr>
          <w:rFonts w:hint="eastAsia"/>
          <w:highlight w:val="none"/>
        </w:rPr>
      </w:pPr>
      <w:r>
        <w:rPr>
          <w:rFonts w:hint="eastAsia" w:ascii="宋体" w:hAnsi="宋体" w:cs="宋体"/>
          <w:sz w:val="24"/>
          <w:highlight w:val="none"/>
        </w:rPr>
        <w:t>联系电话：</w:t>
      </w:r>
      <w:r>
        <w:rPr>
          <w:rFonts w:hint="eastAsia" w:ascii="宋体" w:hAnsi="宋体" w:cs="宋体"/>
          <w:sz w:val="24"/>
          <w:szCs w:val="24"/>
          <w:highlight w:val="none"/>
          <w:u w:val="single"/>
        </w:rPr>
        <w:t>13454667697</w:t>
      </w:r>
      <w:r>
        <w:rPr>
          <w:rFonts w:hint="eastAsia" w:ascii="宋体" w:hAnsi="宋体" w:cs="宋体"/>
          <w:sz w:val="24"/>
          <w:szCs w:val="24"/>
          <w:highlight w:val="none"/>
          <w:u w:val="single"/>
          <w:lang w:eastAsia="zh-CN"/>
        </w:rPr>
        <w:t>、</w:t>
      </w:r>
      <w:r>
        <w:rPr>
          <w:rFonts w:hint="eastAsia" w:ascii="宋体" w:hAnsi="宋体" w:cs="宋体"/>
          <w:sz w:val="24"/>
          <w:szCs w:val="24"/>
          <w:highlight w:val="none"/>
          <w:u w:val="single"/>
        </w:rPr>
        <w:t>13757680207</w:t>
      </w:r>
    </w:p>
    <w:p>
      <w:pPr>
        <w:snapToGrid w:val="0"/>
        <w:spacing w:line="360" w:lineRule="auto"/>
        <w:ind w:firstLine="723" w:firstLineChars="300"/>
        <w:rPr>
          <w:rFonts w:ascii="宋体" w:hAnsi="宋体" w:cs="Arial"/>
          <w:color w:val="auto"/>
          <w:sz w:val="24"/>
          <w:highlight w:val="none"/>
        </w:rPr>
      </w:pPr>
      <w:r>
        <w:rPr>
          <w:rFonts w:hint="eastAsia" w:ascii="宋体" w:hAnsi="宋体" w:eastAsia="宋体" w:cs="Arial"/>
          <w:b/>
          <w:bCs/>
          <w:kern w:val="2"/>
          <w:sz w:val="24"/>
          <w:szCs w:val="24"/>
          <w:highlight w:val="none"/>
          <w:lang w:val="en-US" w:eastAsia="zh-CN" w:bidi="ar-SA"/>
        </w:rPr>
        <w:t xml:space="preserve"> </w:t>
      </w:r>
      <w:r>
        <w:rPr>
          <w:rFonts w:hint="eastAsia" w:ascii="宋体" w:hAnsi="宋体" w:cs="Arial"/>
          <w:b/>
          <w:bCs/>
          <w:sz w:val="24"/>
          <w:highlight w:val="none"/>
        </w:rPr>
        <w:t xml:space="preserve">    </w:t>
      </w:r>
    </w:p>
    <w:p>
      <w:pPr>
        <w:snapToGrid w:val="0"/>
        <w:spacing w:line="360" w:lineRule="auto"/>
        <w:ind w:firstLine="420"/>
        <w:rPr>
          <w:rFonts w:hint="eastAsia" w:ascii="宋体" w:hAnsi="宋体" w:cs="Arial"/>
          <w:color w:val="0D0D0D"/>
          <w:sz w:val="24"/>
          <w:szCs w:val="20"/>
          <w:highlight w:val="none"/>
        </w:rPr>
      </w:pPr>
    </w:p>
    <w:p>
      <w:pPr>
        <w:snapToGrid w:val="0"/>
        <w:spacing w:line="360" w:lineRule="auto"/>
        <w:ind w:left="238"/>
        <w:jc w:val="center"/>
        <w:rPr>
          <w:rFonts w:ascii="宋体" w:hAnsi="宋体"/>
          <w:color w:val="0D0D0D"/>
          <w:sz w:val="24"/>
          <w:szCs w:val="20"/>
          <w:highlight w:val="none"/>
        </w:rPr>
      </w:pPr>
      <w:r>
        <w:rPr>
          <w:rFonts w:ascii="宋体" w:hAnsi="宋体"/>
          <w:color w:val="0D0D0D"/>
          <w:sz w:val="24"/>
          <w:highlight w:val="none"/>
        </w:rPr>
        <w:t xml:space="preserve">                                    </w:t>
      </w:r>
      <w:r>
        <w:rPr>
          <w:rFonts w:hint="eastAsia" w:ascii="宋体" w:hAnsi="宋体" w:cs="Arial"/>
          <w:color w:val="0D0D0D"/>
          <w:sz w:val="24"/>
          <w:highlight w:val="none"/>
        </w:rPr>
        <w:t>台州市建设咨询有限公司</w:t>
      </w:r>
    </w:p>
    <w:p>
      <w:pPr>
        <w:snapToGrid w:val="0"/>
        <w:spacing w:line="360" w:lineRule="auto"/>
        <w:ind w:left="238" w:firstLine="4980" w:firstLineChars="2075"/>
        <w:jc w:val="center"/>
        <w:rPr>
          <w:rFonts w:hint="eastAsia" w:ascii="黑体" w:hAnsi="宋体" w:eastAsia="黑体"/>
          <w:color w:val="0D0D0D"/>
          <w:sz w:val="30"/>
          <w:szCs w:val="30"/>
          <w:highlight w:val="none"/>
        </w:rPr>
      </w:pPr>
      <w:r>
        <w:rPr>
          <w:rFonts w:hint="eastAsia" w:ascii="宋体" w:hAnsi="宋体" w:cs="Arial"/>
          <w:color w:val="0D0D0D"/>
          <w:sz w:val="24"/>
          <w:highlight w:val="none"/>
          <w:lang w:val="en-US" w:eastAsia="zh-CN"/>
        </w:rPr>
        <w:t>2025</w:t>
      </w:r>
      <w:r>
        <w:rPr>
          <w:rFonts w:ascii="宋体" w:hAnsi="宋体" w:cs="Arial"/>
          <w:color w:val="0D0D0D"/>
          <w:sz w:val="24"/>
          <w:highlight w:val="none"/>
        </w:rPr>
        <w:t>年</w:t>
      </w:r>
      <w:r>
        <w:rPr>
          <w:rFonts w:hint="eastAsia" w:ascii="宋体" w:hAnsi="宋体" w:cs="Arial"/>
          <w:color w:val="0D0D0D"/>
          <w:sz w:val="24"/>
          <w:highlight w:val="none"/>
          <w:lang w:val="en-US" w:eastAsia="zh-CN"/>
        </w:rPr>
        <w:t>02</w:t>
      </w:r>
      <w:r>
        <w:rPr>
          <w:rFonts w:ascii="宋体" w:hAnsi="宋体" w:cs="Arial"/>
          <w:color w:val="0D0D0D"/>
          <w:sz w:val="24"/>
          <w:highlight w:val="none"/>
        </w:rPr>
        <w:t>月</w:t>
      </w:r>
      <w:r>
        <w:rPr>
          <w:rFonts w:hint="eastAsia" w:ascii="宋体" w:hAnsi="宋体" w:cs="Arial"/>
          <w:color w:val="0D0D0D"/>
          <w:sz w:val="24"/>
          <w:highlight w:val="none"/>
        </w:rPr>
        <w:t xml:space="preserve"> </w:t>
      </w:r>
      <w:r>
        <w:rPr>
          <w:rFonts w:ascii="宋体" w:hAnsi="宋体"/>
          <w:color w:val="0D0D0D"/>
          <w:highlight w:val="none"/>
        </w:rPr>
        <w:br w:type="page"/>
      </w:r>
      <w:r>
        <w:rPr>
          <w:rFonts w:hint="eastAsia" w:ascii="黑体" w:hAnsi="宋体" w:eastAsia="黑体"/>
          <w:color w:val="0D0D0D"/>
          <w:sz w:val="30"/>
          <w:szCs w:val="30"/>
          <w:highlight w:val="none"/>
        </w:rPr>
        <w:t xml:space="preserve">第二章  </w:t>
      </w:r>
      <w:r>
        <w:rPr>
          <w:rFonts w:hint="eastAsia" w:ascii="黑体" w:hAnsi="宋体" w:eastAsia="黑体"/>
          <w:bCs/>
          <w:color w:val="0D0D0D"/>
          <w:sz w:val="30"/>
          <w:szCs w:val="30"/>
          <w:highlight w:val="none"/>
        </w:rPr>
        <w:t>招</w:t>
      </w:r>
      <w:r>
        <w:rPr>
          <w:rFonts w:hint="eastAsia" w:ascii="黑体" w:hAnsi="宋体" w:eastAsia="黑体"/>
          <w:color w:val="0D0D0D"/>
          <w:sz w:val="30"/>
          <w:szCs w:val="30"/>
          <w:highlight w:val="none"/>
        </w:rPr>
        <w:t>标需求</w:t>
      </w:r>
    </w:p>
    <w:p>
      <w:pPr>
        <w:pStyle w:val="28"/>
        <w:snapToGrid w:val="0"/>
        <w:spacing w:before="120" w:beforeLines="0" w:after="120" w:afterLines="0" w:line="360" w:lineRule="auto"/>
        <w:ind w:firstLine="240" w:firstLineChars="100"/>
        <w:outlineLvl w:val="0"/>
        <w:rPr>
          <w:rFonts w:hAnsi="宋体"/>
          <w:color w:val="0D0D0D"/>
          <w:szCs w:val="21"/>
          <w:highlight w:val="none"/>
        </w:rPr>
      </w:pPr>
      <w:r>
        <w:rPr>
          <w:rFonts w:hAnsi="宋体"/>
          <w:color w:val="0D0D0D"/>
          <w:szCs w:val="21"/>
          <w:highlight w:val="none"/>
        </w:rPr>
        <w:t>一、项目要求</w:t>
      </w:r>
    </w:p>
    <w:tbl>
      <w:tblPr>
        <w:tblStyle w:val="46"/>
        <w:tblW w:w="0" w:type="auto"/>
        <w:tblInd w:w="339"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548"/>
        <w:gridCol w:w="722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548" w:type="dxa"/>
            <w:tcBorders>
              <w:top w:val="single" w:color="auto" w:sz="4" w:space="0"/>
              <w:left w:val="single" w:color="auto" w:sz="4" w:space="0"/>
              <w:bottom w:val="single" w:color="auto" w:sz="4" w:space="0"/>
              <w:right w:val="single" w:color="auto" w:sz="4" w:space="0"/>
            </w:tcBorders>
            <w:noWrap w:val="0"/>
            <w:vAlign w:val="center"/>
          </w:tcPr>
          <w:p>
            <w:pPr>
              <w:pStyle w:val="28"/>
              <w:snapToGrid w:val="0"/>
              <w:spacing w:before="120" w:beforeLines="0" w:after="120" w:afterLines="0" w:line="360" w:lineRule="auto"/>
              <w:outlineLvl w:val="0"/>
              <w:rPr>
                <w:rFonts w:hAnsi="宋体"/>
                <w:color w:val="0D0D0D"/>
                <w:sz w:val="21"/>
                <w:szCs w:val="21"/>
                <w:highlight w:val="none"/>
              </w:rPr>
            </w:pPr>
            <w:r>
              <w:rPr>
                <w:rFonts w:hAnsi="宋体"/>
                <w:color w:val="0D0D0D"/>
                <w:sz w:val="21"/>
                <w:szCs w:val="21"/>
                <w:highlight w:val="none"/>
              </w:rPr>
              <w:t>标项</w:t>
            </w:r>
          </w:p>
        </w:tc>
        <w:tc>
          <w:tcPr>
            <w:tcW w:w="7221" w:type="dxa"/>
            <w:tcBorders>
              <w:top w:val="single" w:color="auto" w:sz="4" w:space="0"/>
              <w:left w:val="single" w:color="auto" w:sz="4" w:space="0"/>
              <w:bottom w:val="single" w:color="auto" w:sz="4" w:space="0"/>
              <w:right w:val="single" w:color="auto" w:sz="4" w:space="0"/>
            </w:tcBorders>
            <w:noWrap w:val="0"/>
            <w:vAlign w:val="center"/>
          </w:tcPr>
          <w:p>
            <w:pPr>
              <w:pStyle w:val="28"/>
              <w:snapToGrid w:val="0"/>
              <w:spacing w:before="120" w:beforeLines="0" w:after="120" w:afterLines="0" w:line="360" w:lineRule="auto"/>
              <w:outlineLvl w:val="0"/>
              <w:rPr>
                <w:rFonts w:hAnsi="宋体"/>
                <w:color w:val="0D0D0D"/>
                <w:sz w:val="21"/>
                <w:szCs w:val="21"/>
                <w:highlight w:val="none"/>
              </w:rPr>
            </w:pPr>
            <w:r>
              <w:rPr>
                <w:rFonts w:hAnsi="宋体"/>
                <w:color w:val="0D0D0D"/>
                <w:sz w:val="21"/>
                <w:szCs w:val="21"/>
                <w:highlight w:val="none"/>
              </w:rPr>
              <w:t>01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548" w:type="dxa"/>
            <w:tcBorders>
              <w:top w:val="single" w:color="auto" w:sz="4" w:space="0"/>
              <w:left w:val="single" w:color="auto" w:sz="4" w:space="0"/>
              <w:bottom w:val="single" w:color="auto" w:sz="4" w:space="0"/>
              <w:right w:val="single" w:color="auto" w:sz="4" w:space="0"/>
            </w:tcBorders>
            <w:noWrap w:val="0"/>
            <w:vAlign w:val="center"/>
          </w:tcPr>
          <w:p>
            <w:pPr>
              <w:pStyle w:val="28"/>
              <w:snapToGrid w:val="0"/>
              <w:spacing w:before="120" w:beforeLines="0" w:after="120" w:afterLines="0" w:line="360" w:lineRule="auto"/>
              <w:outlineLvl w:val="0"/>
              <w:rPr>
                <w:rFonts w:hAnsi="宋体"/>
                <w:color w:val="0D0D0D"/>
                <w:sz w:val="21"/>
                <w:szCs w:val="21"/>
                <w:highlight w:val="none"/>
              </w:rPr>
            </w:pPr>
            <w:r>
              <w:rPr>
                <w:rFonts w:hAnsi="宋体"/>
                <w:color w:val="0D0D0D"/>
                <w:sz w:val="21"/>
                <w:szCs w:val="21"/>
                <w:highlight w:val="none"/>
              </w:rPr>
              <w:t>采购内容</w:t>
            </w:r>
          </w:p>
        </w:tc>
        <w:tc>
          <w:tcPr>
            <w:tcW w:w="7221" w:type="dxa"/>
            <w:tcBorders>
              <w:top w:val="single" w:color="auto" w:sz="4" w:space="0"/>
              <w:left w:val="single" w:color="auto" w:sz="4" w:space="0"/>
              <w:bottom w:val="single" w:color="auto" w:sz="4" w:space="0"/>
              <w:right w:val="single" w:color="auto" w:sz="4" w:space="0"/>
            </w:tcBorders>
            <w:noWrap w:val="0"/>
            <w:vAlign w:val="center"/>
          </w:tcPr>
          <w:p>
            <w:pPr>
              <w:pStyle w:val="28"/>
              <w:snapToGrid w:val="0"/>
              <w:spacing w:before="120" w:beforeLines="0" w:after="120" w:afterLines="0" w:line="360" w:lineRule="auto"/>
              <w:outlineLvl w:val="0"/>
              <w:rPr>
                <w:rFonts w:hint="eastAsia" w:hAnsi="宋体" w:eastAsia="宋体"/>
                <w:color w:val="0D0D0D"/>
                <w:sz w:val="21"/>
                <w:szCs w:val="21"/>
                <w:highlight w:val="none"/>
                <w:lang w:eastAsia="zh-CN"/>
              </w:rPr>
            </w:pPr>
            <w:r>
              <w:rPr>
                <w:rFonts w:hint="eastAsia" w:hAnsi="宋体"/>
                <w:color w:val="0D0D0D"/>
                <w:sz w:val="21"/>
                <w:szCs w:val="21"/>
                <w:highlight w:val="none"/>
                <w:lang w:eastAsia="zh-CN"/>
              </w:rPr>
              <w:t>台州湾新区规划支路二道路工程(星空教育地块内)（石粉采购）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548" w:type="dxa"/>
            <w:tcBorders>
              <w:top w:val="single" w:color="auto" w:sz="4" w:space="0"/>
              <w:left w:val="single" w:color="auto" w:sz="4" w:space="0"/>
              <w:bottom w:val="single" w:color="auto" w:sz="4" w:space="0"/>
              <w:right w:val="single" w:color="auto" w:sz="4" w:space="0"/>
            </w:tcBorders>
            <w:noWrap w:val="0"/>
            <w:vAlign w:val="center"/>
          </w:tcPr>
          <w:p>
            <w:pPr>
              <w:pStyle w:val="28"/>
              <w:snapToGrid w:val="0"/>
              <w:spacing w:before="120" w:beforeLines="0" w:after="120" w:afterLines="0" w:line="360" w:lineRule="auto"/>
              <w:outlineLvl w:val="0"/>
              <w:rPr>
                <w:rFonts w:hAnsi="宋体"/>
                <w:color w:val="0D0D0D"/>
                <w:sz w:val="21"/>
                <w:szCs w:val="21"/>
                <w:highlight w:val="none"/>
              </w:rPr>
            </w:pPr>
            <w:r>
              <w:rPr>
                <w:rFonts w:hAnsi="宋体"/>
                <w:color w:val="0D0D0D"/>
                <w:sz w:val="21"/>
                <w:szCs w:val="21"/>
                <w:highlight w:val="none"/>
              </w:rPr>
              <w:t>规格及型号</w:t>
            </w:r>
          </w:p>
        </w:tc>
        <w:tc>
          <w:tcPr>
            <w:tcW w:w="7221" w:type="dxa"/>
            <w:tcBorders>
              <w:top w:val="single" w:color="auto" w:sz="4" w:space="0"/>
              <w:left w:val="single" w:color="auto" w:sz="4" w:space="0"/>
              <w:bottom w:val="single" w:color="auto" w:sz="4" w:space="0"/>
              <w:right w:val="single" w:color="auto" w:sz="4" w:space="0"/>
            </w:tcBorders>
            <w:noWrap w:val="0"/>
            <w:vAlign w:val="center"/>
          </w:tcPr>
          <w:p>
            <w:pPr>
              <w:pStyle w:val="28"/>
              <w:snapToGrid w:val="0"/>
              <w:spacing w:before="120" w:beforeLines="0" w:after="120" w:afterLines="0" w:line="360" w:lineRule="auto"/>
              <w:outlineLvl w:val="0"/>
              <w:rPr>
                <w:rFonts w:hAnsi="宋体"/>
                <w:color w:val="0D0D0D"/>
                <w:sz w:val="21"/>
                <w:szCs w:val="21"/>
                <w:highlight w:val="none"/>
              </w:rPr>
            </w:pPr>
            <w:r>
              <w:rPr>
                <w:rFonts w:hAnsi="宋体"/>
                <w:color w:val="0D0D0D"/>
                <w:sz w:val="21"/>
                <w:szCs w:val="21"/>
                <w:highlight w:val="none"/>
              </w:rPr>
              <w:t>详见本章“主要技术规格及要求”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548" w:type="dxa"/>
            <w:tcBorders>
              <w:top w:val="single" w:color="auto" w:sz="4" w:space="0"/>
              <w:left w:val="single" w:color="auto" w:sz="4" w:space="0"/>
              <w:bottom w:val="single" w:color="auto" w:sz="4" w:space="0"/>
              <w:right w:val="single" w:color="auto" w:sz="4" w:space="0"/>
            </w:tcBorders>
            <w:noWrap w:val="0"/>
            <w:vAlign w:val="center"/>
          </w:tcPr>
          <w:p>
            <w:pPr>
              <w:pStyle w:val="28"/>
              <w:snapToGrid w:val="0"/>
              <w:spacing w:before="120" w:beforeLines="0" w:after="120" w:afterLines="0" w:line="360" w:lineRule="auto"/>
              <w:outlineLvl w:val="0"/>
              <w:rPr>
                <w:rFonts w:hAnsi="宋体"/>
                <w:color w:val="0D0D0D"/>
                <w:sz w:val="21"/>
                <w:szCs w:val="21"/>
                <w:highlight w:val="none"/>
              </w:rPr>
            </w:pPr>
            <w:r>
              <w:rPr>
                <w:rFonts w:hAnsi="宋体"/>
                <w:color w:val="0D0D0D"/>
                <w:sz w:val="21"/>
                <w:szCs w:val="21"/>
                <w:highlight w:val="none"/>
              </w:rPr>
              <w:t>单位及数量</w:t>
            </w:r>
          </w:p>
        </w:tc>
        <w:tc>
          <w:tcPr>
            <w:tcW w:w="7221" w:type="dxa"/>
            <w:tcBorders>
              <w:top w:val="single" w:color="auto" w:sz="4" w:space="0"/>
              <w:left w:val="single" w:color="auto" w:sz="4" w:space="0"/>
              <w:bottom w:val="single" w:color="auto" w:sz="4" w:space="0"/>
              <w:right w:val="single" w:color="auto" w:sz="4" w:space="0"/>
            </w:tcBorders>
            <w:noWrap w:val="0"/>
            <w:vAlign w:val="center"/>
          </w:tcPr>
          <w:p>
            <w:pPr>
              <w:pStyle w:val="28"/>
              <w:snapToGrid w:val="0"/>
              <w:spacing w:before="120" w:beforeLines="0" w:after="120" w:afterLines="0" w:line="360" w:lineRule="auto"/>
              <w:outlineLvl w:val="0"/>
              <w:rPr>
                <w:rFonts w:hAnsi="宋体"/>
                <w:color w:val="0D0D0D"/>
                <w:sz w:val="21"/>
                <w:szCs w:val="21"/>
                <w:highlight w:val="none"/>
              </w:rPr>
            </w:pPr>
            <w:r>
              <w:rPr>
                <w:rFonts w:hAnsi="宋体"/>
                <w:color w:val="0D0D0D"/>
                <w:sz w:val="21"/>
                <w:szCs w:val="21"/>
                <w:highlight w:val="none"/>
              </w:rPr>
              <w:t>详见本章“主要技术规格及要求”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548" w:type="dxa"/>
            <w:tcBorders>
              <w:top w:val="single" w:color="auto" w:sz="4" w:space="0"/>
              <w:left w:val="single" w:color="auto" w:sz="4" w:space="0"/>
              <w:bottom w:val="single" w:color="auto" w:sz="4" w:space="0"/>
              <w:right w:val="single" w:color="auto" w:sz="4" w:space="0"/>
            </w:tcBorders>
            <w:noWrap w:val="0"/>
            <w:vAlign w:val="center"/>
          </w:tcPr>
          <w:p>
            <w:pPr>
              <w:pStyle w:val="28"/>
              <w:snapToGrid w:val="0"/>
              <w:spacing w:before="120" w:beforeLines="0" w:after="120" w:afterLines="0" w:line="360" w:lineRule="auto"/>
              <w:outlineLvl w:val="0"/>
              <w:rPr>
                <w:rFonts w:hAnsi="宋体"/>
                <w:color w:val="0D0D0D"/>
                <w:sz w:val="21"/>
                <w:szCs w:val="21"/>
                <w:highlight w:val="none"/>
              </w:rPr>
            </w:pPr>
            <w:r>
              <w:rPr>
                <w:rFonts w:hAnsi="宋体"/>
                <w:color w:val="0D0D0D"/>
                <w:sz w:val="21"/>
                <w:szCs w:val="21"/>
                <w:highlight w:val="none"/>
              </w:rPr>
              <w:t>用途</w:t>
            </w:r>
          </w:p>
        </w:tc>
        <w:tc>
          <w:tcPr>
            <w:tcW w:w="7221" w:type="dxa"/>
            <w:tcBorders>
              <w:top w:val="single" w:color="auto" w:sz="4" w:space="0"/>
              <w:left w:val="single" w:color="auto" w:sz="4" w:space="0"/>
              <w:bottom w:val="single" w:color="auto" w:sz="4" w:space="0"/>
              <w:right w:val="single" w:color="auto" w:sz="4" w:space="0"/>
            </w:tcBorders>
            <w:noWrap w:val="0"/>
            <w:vAlign w:val="center"/>
          </w:tcPr>
          <w:p>
            <w:pPr>
              <w:pStyle w:val="28"/>
              <w:snapToGrid w:val="0"/>
              <w:spacing w:before="120" w:beforeLines="0" w:after="120" w:afterLines="0" w:line="360" w:lineRule="auto"/>
              <w:outlineLvl w:val="0"/>
              <w:rPr>
                <w:rFonts w:hint="eastAsia" w:hAnsi="宋体" w:eastAsia="宋体"/>
                <w:color w:val="0D0D0D"/>
                <w:sz w:val="21"/>
                <w:szCs w:val="21"/>
                <w:highlight w:val="none"/>
                <w:lang w:eastAsia="zh-CN"/>
              </w:rPr>
            </w:pPr>
            <w:r>
              <w:rPr>
                <w:rFonts w:hint="eastAsia" w:hAnsi="宋体"/>
                <w:color w:val="0D0D0D"/>
                <w:sz w:val="21"/>
                <w:szCs w:val="21"/>
                <w:highlight w:val="none"/>
                <w:lang w:eastAsia="zh-CN"/>
              </w:rPr>
              <w:t>台州湾新区规划支路二道路工程(星空教育地块内)（石粉采购）</w:t>
            </w:r>
          </w:p>
        </w:tc>
      </w:tr>
    </w:tbl>
    <w:p>
      <w:pPr>
        <w:pStyle w:val="28"/>
        <w:numPr>
          <w:ilvl w:val="0"/>
          <w:numId w:val="7"/>
        </w:numPr>
        <w:snapToGrid w:val="0"/>
        <w:spacing w:before="120" w:beforeLines="0" w:after="120" w:afterLines="0" w:line="360" w:lineRule="auto"/>
        <w:ind w:firstLine="240" w:firstLineChars="100"/>
        <w:outlineLvl w:val="0"/>
        <w:rPr>
          <w:rFonts w:hAnsi="宋体"/>
          <w:color w:val="0D0D0D"/>
          <w:szCs w:val="21"/>
          <w:highlight w:val="none"/>
        </w:rPr>
      </w:pPr>
      <w:r>
        <w:rPr>
          <w:rFonts w:hAnsi="宋体"/>
          <w:color w:val="0D0D0D"/>
          <w:szCs w:val="21"/>
          <w:highlight w:val="none"/>
        </w:rPr>
        <w:t>主要技术规格及要求：</w:t>
      </w:r>
    </w:p>
    <w:tbl>
      <w:tblPr>
        <w:tblStyle w:val="46"/>
        <w:tblW w:w="8798" w:type="dxa"/>
        <w:tblInd w:w="28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54"/>
        <w:gridCol w:w="4978"/>
        <w:gridCol w:w="1658"/>
        <w:gridCol w:w="140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85" w:hRule="atLeast"/>
        </w:trPr>
        <w:tc>
          <w:tcPr>
            <w:tcW w:w="75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360" w:lineRule="auto"/>
              <w:jc w:val="center"/>
              <w:textAlignment w:val="center"/>
              <w:rPr>
                <w:rFonts w:hint="eastAsia" w:ascii="宋体" w:hAnsi="宋体" w:cs="Arial"/>
                <w:bCs/>
                <w:color w:val="0C0C0C"/>
                <w:sz w:val="21"/>
                <w:szCs w:val="21"/>
                <w:highlight w:val="none"/>
              </w:rPr>
            </w:pPr>
            <w:r>
              <w:rPr>
                <w:rFonts w:hint="eastAsia" w:ascii="宋体" w:hAnsi="宋体" w:eastAsia="宋体" w:cs="宋体"/>
                <w:i w:val="0"/>
                <w:color w:val="000000"/>
                <w:kern w:val="0"/>
                <w:sz w:val="22"/>
                <w:szCs w:val="22"/>
                <w:highlight w:val="none"/>
                <w:u w:val="none"/>
                <w:lang w:val="en-US" w:eastAsia="zh-CN" w:bidi="ar"/>
              </w:rPr>
              <w:t>序号</w:t>
            </w:r>
          </w:p>
        </w:tc>
        <w:tc>
          <w:tcPr>
            <w:tcW w:w="49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cs="Arial"/>
                <w:bCs/>
                <w:color w:val="0C0C0C"/>
                <w:sz w:val="21"/>
                <w:szCs w:val="21"/>
                <w:highlight w:val="none"/>
              </w:rPr>
            </w:pPr>
            <w:r>
              <w:rPr>
                <w:rFonts w:hint="eastAsia" w:ascii="宋体" w:hAnsi="宋体" w:eastAsia="宋体" w:cs="宋体"/>
                <w:i w:val="0"/>
                <w:color w:val="000000"/>
                <w:kern w:val="0"/>
                <w:sz w:val="22"/>
                <w:szCs w:val="22"/>
                <w:highlight w:val="none"/>
                <w:u w:val="none"/>
                <w:lang w:val="en-US" w:eastAsia="zh-CN" w:bidi="ar"/>
              </w:rPr>
              <w:t>材料名称</w:t>
            </w:r>
          </w:p>
        </w:tc>
        <w:tc>
          <w:tcPr>
            <w:tcW w:w="1658" w:type="dxa"/>
            <w:tcBorders>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cs="Arial"/>
                <w:bCs/>
                <w:color w:val="0C0C0C"/>
                <w:sz w:val="21"/>
                <w:szCs w:val="21"/>
                <w:highlight w:val="none"/>
              </w:rPr>
            </w:pPr>
            <w:r>
              <w:rPr>
                <w:rFonts w:hint="eastAsia" w:ascii="宋体" w:hAnsi="宋体" w:eastAsia="宋体" w:cs="宋体"/>
                <w:i w:val="0"/>
                <w:color w:val="000000"/>
                <w:kern w:val="0"/>
                <w:sz w:val="22"/>
                <w:szCs w:val="22"/>
                <w:highlight w:val="none"/>
                <w:u w:val="none"/>
                <w:lang w:val="en-US" w:eastAsia="zh-CN" w:bidi="ar"/>
              </w:rPr>
              <w:t>规格</w:t>
            </w:r>
          </w:p>
        </w:tc>
        <w:tc>
          <w:tcPr>
            <w:tcW w:w="1408" w:type="dxa"/>
            <w:tcBorders>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cs="Arial"/>
                <w:bCs/>
                <w:color w:val="0C0C0C"/>
                <w:sz w:val="21"/>
                <w:szCs w:val="21"/>
                <w:highlight w:val="none"/>
              </w:rPr>
            </w:pPr>
            <w:r>
              <w:rPr>
                <w:rFonts w:hint="eastAsia" w:ascii="宋体" w:hAnsi="宋体" w:eastAsia="宋体" w:cs="宋体"/>
                <w:i w:val="0"/>
                <w:color w:val="000000"/>
                <w:kern w:val="0"/>
                <w:sz w:val="22"/>
                <w:szCs w:val="22"/>
                <w:highlight w:val="none"/>
                <w:u w:val="none"/>
                <w:lang w:val="en-US" w:eastAsia="zh-CN" w:bidi="ar"/>
              </w:rPr>
              <w:t>工程量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75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color w:val="000000"/>
                <w:kern w:val="0"/>
                <w:sz w:val="24"/>
                <w:szCs w:val="24"/>
                <w:highlight w:val="none"/>
                <w:u w:val="none"/>
                <w:lang w:val="en-US" w:eastAsia="zh-CN" w:bidi="ar"/>
              </w:rPr>
              <w:t>1</w:t>
            </w:r>
          </w:p>
        </w:tc>
        <w:tc>
          <w:tcPr>
            <w:tcW w:w="49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color w:val="000000"/>
                <w:kern w:val="0"/>
                <w:sz w:val="22"/>
                <w:szCs w:val="22"/>
                <w:highlight w:val="none"/>
                <w:u w:val="none"/>
                <w:lang w:val="en-US" w:eastAsia="zh-CN" w:bidi="ar"/>
              </w:rPr>
              <w:t>石粉（水泥稳定层用料）</w:t>
            </w:r>
          </w:p>
        </w:tc>
        <w:tc>
          <w:tcPr>
            <w:tcW w:w="165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color w:val="000000"/>
                <w:kern w:val="0"/>
                <w:sz w:val="22"/>
                <w:szCs w:val="22"/>
                <w:highlight w:val="none"/>
                <w:u w:val="none"/>
                <w:lang w:val="en-US" w:eastAsia="zh-CN" w:bidi="ar"/>
              </w:rPr>
              <w:t>含泥量≤3％</w:t>
            </w:r>
          </w:p>
        </w:tc>
        <w:tc>
          <w:tcPr>
            <w:tcW w:w="14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cs="宋体"/>
                <w:i w:val="0"/>
                <w:color w:val="000000"/>
                <w:kern w:val="0"/>
                <w:sz w:val="22"/>
                <w:szCs w:val="22"/>
                <w:highlight w:val="none"/>
                <w:u w:val="none"/>
                <w:lang w:val="en-US" w:eastAsia="zh-CN" w:bidi="ar"/>
              </w:rPr>
              <w:t>1500</w:t>
            </w:r>
            <w:r>
              <w:rPr>
                <w:rFonts w:hint="eastAsia" w:ascii="宋体" w:hAnsi="宋体" w:eastAsia="宋体" w:cs="宋体"/>
                <w:i w:val="0"/>
                <w:color w:val="000000"/>
                <w:kern w:val="0"/>
                <w:sz w:val="22"/>
                <w:szCs w:val="22"/>
                <w:highlight w:val="none"/>
                <w:u w:val="none"/>
                <w:lang w:val="en-US" w:eastAsia="zh-CN" w:bidi="ar"/>
              </w:rPr>
              <w:t>t</w:t>
            </w:r>
          </w:p>
        </w:tc>
      </w:tr>
    </w:tbl>
    <w:p>
      <w:pPr>
        <w:pStyle w:val="28"/>
        <w:snapToGrid w:val="0"/>
        <w:spacing w:before="120" w:beforeLines="0" w:after="120" w:afterLines="0" w:line="240" w:lineRule="auto"/>
        <w:ind w:firstLine="240" w:firstLineChars="100"/>
        <w:outlineLvl w:val="0"/>
        <w:rPr>
          <w:rFonts w:hint="eastAsia" w:hAnsi="宋体"/>
          <w:color w:val="0C0C0C"/>
          <w:szCs w:val="21"/>
          <w:highlight w:val="none"/>
          <w:lang w:val="en-US" w:eastAsia="zh-CN"/>
        </w:rPr>
      </w:pPr>
      <w:r>
        <w:rPr>
          <w:rFonts w:hint="eastAsia" w:hAnsi="宋体"/>
          <w:color w:val="0C0C0C"/>
          <w:szCs w:val="21"/>
          <w:highlight w:val="none"/>
          <w:lang w:val="en-US" w:eastAsia="zh-CN"/>
        </w:rPr>
        <w:t>注：</w:t>
      </w:r>
    </w:p>
    <w:p>
      <w:pPr>
        <w:pStyle w:val="28"/>
        <w:snapToGrid w:val="0"/>
        <w:spacing w:before="120" w:beforeLines="0" w:after="120" w:afterLines="0" w:line="240" w:lineRule="auto"/>
        <w:ind w:firstLine="240" w:firstLineChars="100"/>
        <w:outlineLvl w:val="0"/>
        <w:rPr>
          <w:rFonts w:hint="eastAsia" w:hAnsi="宋体"/>
          <w:color w:val="0C0C0C"/>
          <w:szCs w:val="21"/>
          <w:highlight w:val="none"/>
          <w:lang w:val="en-US" w:eastAsia="zh-CN"/>
        </w:rPr>
      </w:pPr>
      <w:r>
        <w:rPr>
          <w:rFonts w:hint="eastAsia" w:hAnsi="宋体"/>
          <w:color w:val="0C0C0C"/>
          <w:szCs w:val="21"/>
          <w:highlight w:val="none"/>
          <w:lang w:val="en-US" w:eastAsia="zh-CN"/>
        </w:rPr>
        <w:t>1、其余未详事宜，按国家现行有关规范、规定执行。</w:t>
      </w:r>
    </w:p>
    <w:p>
      <w:pPr>
        <w:pStyle w:val="28"/>
        <w:snapToGrid w:val="0"/>
        <w:spacing w:before="120" w:beforeLines="0" w:after="120" w:afterLines="0" w:line="240" w:lineRule="auto"/>
        <w:ind w:firstLine="240" w:firstLineChars="100"/>
        <w:outlineLvl w:val="0"/>
        <w:rPr>
          <w:rFonts w:hint="eastAsia" w:hAnsi="宋体"/>
          <w:color w:val="0C0C0C"/>
          <w:szCs w:val="21"/>
          <w:highlight w:val="none"/>
          <w:lang w:val="en-US" w:eastAsia="zh-CN"/>
        </w:rPr>
      </w:pPr>
      <w:r>
        <w:rPr>
          <w:rFonts w:hint="eastAsia" w:hAnsi="宋体"/>
          <w:color w:val="0C0C0C"/>
          <w:szCs w:val="21"/>
          <w:highlight w:val="none"/>
          <w:lang w:val="en-US" w:eastAsia="zh-CN"/>
        </w:rPr>
        <w:t>2、工程量暂估，按实结算。</w:t>
      </w:r>
    </w:p>
    <w:p>
      <w:pPr>
        <w:pStyle w:val="28"/>
        <w:snapToGrid w:val="0"/>
        <w:spacing w:before="120" w:beforeLines="0" w:after="120" w:afterLines="0" w:line="240" w:lineRule="auto"/>
        <w:ind w:firstLine="240" w:firstLineChars="100"/>
        <w:outlineLvl w:val="0"/>
        <w:rPr>
          <w:rFonts w:hint="eastAsia" w:hAnsi="宋体"/>
          <w:color w:val="0C0C0C"/>
          <w:szCs w:val="21"/>
          <w:highlight w:val="none"/>
          <w:lang w:val="en-US" w:eastAsia="zh-CN"/>
        </w:rPr>
      </w:pPr>
      <w:r>
        <w:rPr>
          <w:rFonts w:hint="eastAsia" w:hAnsi="宋体"/>
          <w:color w:val="0C0C0C"/>
          <w:szCs w:val="21"/>
          <w:highlight w:val="none"/>
          <w:lang w:val="en-US" w:eastAsia="zh-CN"/>
        </w:rPr>
        <w:t>3、</w:t>
      </w:r>
      <w:r>
        <w:rPr>
          <w:rFonts w:hint="eastAsia" w:hAnsi="宋体" w:eastAsia="宋体" w:cs="Times New Roman"/>
          <w:color w:val="0C0C0C"/>
          <w:highlight w:val="none"/>
          <w:lang w:val="en-US" w:eastAsia="zh-CN"/>
        </w:rPr>
        <w:t>合同期内，</w:t>
      </w:r>
      <w:r>
        <w:rPr>
          <w:rFonts w:hint="eastAsia" w:hAnsi="宋体" w:cs="Times New Roman"/>
          <w:color w:val="0C0C0C"/>
          <w:highlight w:val="none"/>
          <w:lang w:val="en-US" w:eastAsia="zh-CN"/>
        </w:rPr>
        <w:t>如石粉</w:t>
      </w:r>
      <w:r>
        <w:rPr>
          <w:rFonts w:hint="eastAsia" w:hAnsi="宋体" w:eastAsia="宋体" w:cs="Times New Roman"/>
          <w:color w:val="0C0C0C"/>
          <w:highlight w:val="none"/>
          <w:lang w:val="en-US" w:eastAsia="zh-CN"/>
        </w:rPr>
        <w:t>市场价格有波动调整合同结算综合单价，采用以下造价信息对合同结算综合单价进行调整</w:t>
      </w:r>
      <w:r>
        <w:rPr>
          <w:rFonts w:hint="eastAsia" w:hAnsi="宋体"/>
          <w:color w:val="0C0C0C"/>
          <w:szCs w:val="21"/>
          <w:highlight w:val="none"/>
          <w:lang w:val="en-US" w:eastAsia="zh-CN"/>
        </w:rPr>
        <w:t>：</w:t>
      </w:r>
    </w:p>
    <w:p>
      <w:pPr>
        <w:pStyle w:val="28"/>
        <w:snapToGrid w:val="0"/>
        <w:spacing w:before="120" w:beforeLines="0" w:after="120" w:afterLines="0" w:line="240" w:lineRule="auto"/>
        <w:outlineLvl w:val="0"/>
        <w:rPr>
          <w:rFonts w:hint="eastAsia" w:hAnsi="宋体"/>
          <w:color w:val="0C0C0C"/>
          <w:szCs w:val="21"/>
          <w:highlight w:val="none"/>
          <w:lang w:val="en-US" w:eastAsia="zh-CN"/>
        </w:rPr>
      </w:pPr>
      <w:r>
        <w:rPr>
          <w:rFonts w:hint="eastAsia" w:hAnsi="宋体"/>
          <w:color w:val="0C0C0C"/>
          <w:szCs w:val="21"/>
          <w:highlight w:val="none"/>
          <w:lang w:val="en-US" w:eastAsia="zh-CN"/>
        </w:rPr>
        <w:t>（1）关于基准价格的约定：</w:t>
      </w:r>
      <w:r>
        <w:rPr>
          <w:rFonts w:hint="eastAsia" w:hAnsi="宋体"/>
          <w:color w:val="auto"/>
          <w:szCs w:val="21"/>
          <w:highlight w:val="none"/>
          <w:lang w:val="en-US" w:eastAsia="zh-CN"/>
        </w:rPr>
        <w:t>A1=采用《台州造价》（正刊）（工程所在地2024年第11期）</w:t>
      </w:r>
      <w:r>
        <w:rPr>
          <w:rFonts w:hint="eastAsia" w:hAnsi="宋体"/>
          <w:color w:val="0C0C0C"/>
          <w:szCs w:val="21"/>
          <w:highlight w:val="none"/>
          <w:lang w:val="en-US" w:eastAsia="zh-CN"/>
        </w:rPr>
        <w:t>对应材料信息价（含税）</w:t>
      </w:r>
    </w:p>
    <w:p>
      <w:pPr>
        <w:pStyle w:val="28"/>
        <w:snapToGrid w:val="0"/>
        <w:spacing w:before="120" w:beforeLines="0" w:after="120" w:afterLines="0" w:line="240" w:lineRule="auto"/>
        <w:outlineLvl w:val="0"/>
        <w:rPr>
          <w:rFonts w:hint="eastAsia" w:hAnsi="宋体"/>
          <w:color w:val="0C0C0C"/>
          <w:szCs w:val="21"/>
          <w:highlight w:val="none"/>
          <w:lang w:val="en-US" w:eastAsia="zh-CN"/>
        </w:rPr>
      </w:pPr>
      <w:r>
        <w:rPr>
          <w:rFonts w:hint="eastAsia" w:hAnsi="宋体"/>
          <w:color w:val="0C0C0C"/>
          <w:szCs w:val="21"/>
          <w:highlight w:val="none"/>
          <w:lang w:val="en-US" w:eastAsia="zh-CN"/>
        </w:rPr>
        <w:t>（2）市场价格约定：A2=每批次材料供应时，《台州造价》（正刊）（工程所在地）对应材料信息价（含税）；（具体时间以每批次材料供应清单时间为准）</w:t>
      </w:r>
    </w:p>
    <w:p>
      <w:pPr>
        <w:pStyle w:val="28"/>
        <w:snapToGrid w:val="0"/>
        <w:spacing w:before="120" w:beforeLines="0" w:after="120" w:afterLines="0" w:line="240" w:lineRule="auto"/>
        <w:outlineLvl w:val="0"/>
        <w:rPr>
          <w:rFonts w:hint="eastAsia" w:hAnsi="宋体"/>
          <w:color w:val="0C0C0C"/>
          <w:szCs w:val="21"/>
          <w:highlight w:val="none"/>
          <w:lang w:val="en-US" w:eastAsia="zh-CN"/>
        </w:rPr>
      </w:pPr>
      <w:r>
        <w:rPr>
          <w:rFonts w:hint="eastAsia" w:hAnsi="宋体"/>
          <w:color w:val="0C0C0C"/>
          <w:szCs w:val="21"/>
          <w:highlight w:val="none"/>
          <w:lang w:val="en-US" w:eastAsia="zh-CN"/>
        </w:rPr>
        <w:t>（3）调整方法</w:t>
      </w:r>
    </w:p>
    <w:p>
      <w:pPr>
        <w:pStyle w:val="28"/>
        <w:snapToGrid w:val="0"/>
        <w:spacing w:before="120" w:beforeLines="0" w:after="120" w:afterLines="0" w:line="240" w:lineRule="auto"/>
        <w:outlineLvl w:val="0"/>
        <w:rPr>
          <w:rFonts w:hint="eastAsia" w:hAnsi="宋体"/>
          <w:color w:val="0C0C0C"/>
          <w:szCs w:val="21"/>
          <w:highlight w:val="none"/>
          <w:lang w:val="en-US" w:eastAsia="zh-CN"/>
        </w:rPr>
      </w:pPr>
      <w:r>
        <w:rPr>
          <w:rFonts w:hint="eastAsia" w:hAnsi="宋体"/>
          <w:color w:val="0C0C0C"/>
          <w:szCs w:val="21"/>
          <w:highlight w:val="none"/>
          <w:lang w:val="en-US" w:eastAsia="zh-CN"/>
        </w:rPr>
        <w:t>a、当A2＞A1时，结算综合单价按超出的金额调增，即该材料结算综合单价=中标综合单价+（A2-A1)；</w:t>
      </w:r>
    </w:p>
    <w:p>
      <w:pPr>
        <w:pStyle w:val="28"/>
        <w:snapToGrid w:val="0"/>
        <w:spacing w:before="120" w:beforeLines="0" w:after="120" w:afterLines="0" w:line="240" w:lineRule="auto"/>
        <w:outlineLvl w:val="0"/>
        <w:rPr>
          <w:rFonts w:hint="eastAsia" w:hAnsi="宋体"/>
          <w:color w:val="0C0C0C"/>
          <w:szCs w:val="21"/>
          <w:highlight w:val="none"/>
          <w:lang w:val="en-US" w:eastAsia="zh-CN"/>
        </w:rPr>
      </w:pPr>
      <w:r>
        <w:rPr>
          <w:rFonts w:hint="eastAsia" w:hAnsi="宋体"/>
          <w:color w:val="0C0C0C"/>
          <w:szCs w:val="21"/>
          <w:highlight w:val="none"/>
          <w:lang w:val="en-US" w:eastAsia="zh-CN"/>
        </w:rPr>
        <w:t>b、当A2＜A1时，结算综合单价按低于的金额调减，即该材料结算综合单价=中标综合单价-（A1-A2)；</w:t>
      </w:r>
    </w:p>
    <w:p>
      <w:pPr>
        <w:pStyle w:val="28"/>
        <w:snapToGrid w:val="0"/>
        <w:spacing w:before="120" w:beforeLines="0" w:after="120" w:afterLines="0" w:line="240" w:lineRule="auto"/>
        <w:outlineLvl w:val="0"/>
        <w:rPr>
          <w:rFonts w:hint="eastAsia" w:hAnsi="宋体"/>
          <w:color w:val="0C0C0C"/>
          <w:szCs w:val="21"/>
          <w:highlight w:val="none"/>
          <w:lang w:val="en-US" w:eastAsia="zh-CN"/>
        </w:rPr>
      </w:pPr>
      <w:r>
        <w:rPr>
          <w:rFonts w:hint="eastAsia" w:hAnsi="宋体"/>
          <w:color w:val="0C0C0C"/>
          <w:szCs w:val="21"/>
          <w:highlight w:val="none"/>
          <w:lang w:val="en-US" w:eastAsia="zh-CN"/>
        </w:rPr>
        <w:t>c、当A2=A1时，结算单价不作调整；</w:t>
      </w:r>
    </w:p>
    <w:p>
      <w:pPr>
        <w:pStyle w:val="28"/>
        <w:snapToGrid w:val="0"/>
        <w:spacing w:before="120" w:beforeLines="0" w:after="120" w:afterLines="0" w:line="240" w:lineRule="auto"/>
        <w:outlineLvl w:val="0"/>
        <w:rPr>
          <w:rFonts w:hint="eastAsia" w:hAnsi="宋体"/>
          <w:color w:val="0C0C0C"/>
          <w:szCs w:val="21"/>
          <w:highlight w:val="none"/>
          <w:lang w:val="en-US" w:eastAsia="zh-CN"/>
        </w:rPr>
      </w:pPr>
      <w:r>
        <w:rPr>
          <w:rFonts w:hint="eastAsia" w:hAnsi="宋体"/>
          <w:color w:val="0C0C0C"/>
          <w:szCs w:val="21"/>
          <w:highlight w:val="none"/>
          <w:lang w:val="en-US" w:eastAsia="zh-CN"/>
        </w:rPr>
        <w:t>（4）如因中标人原因引起的供货延期，延期期间的材料价格上涨时（与合同工期价格比较），价格不予调整；下跌时，按下跌后的价格调整。</w:t>
      </w:r>
    </w:p>
    <w:p>
      <w:pPr>
        <w:pStyle w:val="28"/>
        <w:snapToGrid w:val="0"/>
        <w:spacing w:before="120" w:beforeLines="0" w:after="120" w:afterLines="0" w:line="240" w:lineRule="auto"/>
        <w:outlineLvl w:val="0"/>
        <w:rPr>
          <w:rFonts w:hAnsi="宋体"/>
          <w:color w:val="0D0D0D"/>
          <w:szCs w:val="21"/>
          <w:highlight w:val="none"/>
        </w:rPr>
      </w:pPr>
      <w:r>
        <w:rPr>
          <w:rFonts w:hint="eastAsia" w:hAnsi="宋体"/>
          <w:color w:val="0C0C0C"/>
          <w:szCs w:val="21"/>
          <w:highlight w:val="none"/>
          <w:lang w:val="en-US" w:eastAsia="zh-CN"/>
        </w:rPr>
        <w:t>结算单价均保留整数，小数点前取整数。</w:t>
      </w:r>
    </w:p>
    <w:p>
      <w:pPr>
        <w:pStyle w:val="28"/>
        <w:snapToGrid w:val="0"/>
        <w:spacing w:before="120" w:beforeLines="0" w:after="120" w:afterLines="0" w:line="360" w:lineRule="auto"/>
        <w:ind w:firstLine="240" w:firstLineChars="100"/>
        <w:outlineLvl w:val="0"/>
        <w:rPr>
          <w:rFonts w:hAnsi="宋体"/>
          <w:color w:val="0D0D0D"/>
          <w:szCs w:val="21"/>
          <w:highlight w:val="none"/>
        </w:rPr>
      </w:pPr>
      <w:r>
        <w:rPr>
          <w:rFonts w:hAnsi="宋体"/>
          <w:color w:val="0D0D0D"/>
          <w:szCs w:val="21"/>
          <w:highlight w:val="none"/>
        </w:rPr>
        <w:t>三、商务需求表</w:t>
      </w:r>
    </w:p>
    <w:tbl>
      <w:tblPr>
        <w:tblStyle w:val="46"/>
        <w:tblW w:w="4999"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658"/>
        <w:gridCol w:w="774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26" w:hRule="atLeast"/>
        </w:trPr>
        <w:tc>
          <w:tcPr>
            <w:tcW w:w="882" w:type="pct"/>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ascii="宋体" w:hAnsi="宋体"/>
                <w:color w:val="0D0D0D"/>
                <w:sz w:val="21"/>
                <w:szCs w:val="21"/>
                <w:highlight w:val="none"/>
              </w:rPr>
            </w:pPr>
            <w:r>
              <w:rPr>
                <w:rFonts w:hint="eastAsia" w:ascii="宋体" w:hAnsi="宋体"/>
                <w:color w:val="0D0D0D"/>
                <w:sz w:val="21"/>
                <w:szCs w:val="21"/>
                <w:highlight w:val="none"/>
              </w:rPr>
              <w:t>总体要求</w:t>
            </w:r>
          </w:p>
        </w:tc>
        <w:tc>
          <w:tcPr>
            <w:tcW w:w="4117" w:type="pct"/>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hint="eastAsia" w:ascii="宋体" w:hAnsi="宋体" w:eastAsia="宋体" w:cs="Times New Roman"/>
                <w:color w:val="0D0D0D"/>
                <w:sz w:val="21"/>
                <w:highlight w:val="none"/>
                <w:lang w:eastAsia="zh-CN"/>
              </w:rPr>
            </w:pPr>
            <w:r>
              <w:rPr>
                <w:rFonts w:hint="eastAsia" w:ascii="宋体" w:hAnsi="宋体"/>
                <w:color w:val="0D0D0D"/>
                <w:sz w:val="21"/>
                <w:szCs w:val="21"/>
                <w:highlight w:val="none"/>
              </w:rPr>
              <w:t>投标人需按本技术规格书的要求完成材料采购、运输、装车等工作，按工作顺序提交所需的资料，所有资料必须符合本技术规格书的要求。费用应全部包含在总报价中。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882" w:type="pct"/>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hint="eastAsia" w:ascii="宋体" w:hAnsi="宋体"/>
                <w:color w:val="0D0D0D"/>
                <w:sz w:val="21"/>
                <w:szCs w:val="21"/>
                <w:highlight w:val="none"/>
              </w:rPr>
            </w:pPr>
            <w:r>
              <w:rPr>
                <w:rFonts w:hint="eastAsia" w:ascii="宋体" w:hAnsi="宋体"/>
                <w:color w:val="0D0D0D"/>
                <w:sz w:val="21"/>
                <w:szCs w:val="21"/>
                <w:highlight w:val="none"/>
              </w:rPr>
              <w:t>投标总报价</w:t>
            </w:r>
          </w:p>
        </w:tc>
        <w:tc>
          <w:tcPr>
            <w:tcW w:w="4117" w:type="pct"/>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hint="eastAsia" w:ascii="宋体" w:hAnsi="宋体" w:eastAsia="宋体" w:cs="Times New Roman"/>
                <w:color w:val="0D0D0D"/>
                <w:sz w:val="21"/>
                <w:highlight w:val="none"/>
                <w:lang w:eastAsia="zh-CN"/>
              </w:rPr>
            </w:pPr>
            <w:r>
              <w:rPr>
                <w:rFonts w:hint="eastAsia" w:ascii="宋体" w:hAnsi="宋体"/>
                <w:color w:val="0D0D0D"/>
                <w:sz w:val="21"/>
                <w:szCs w:val="21"/>
                <w:highlight w:val="none"/>
              </w:rPr>
              <w:t>投标总报价应是招标文件所确定的招标范围内全部工作内容的价格表现。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89" w:hRule="atLeast"/>
        </w:trPr>
        <w:tc>
          <w:tcPr>
            <w:tcW w:w="882" w:type="pct"/>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ascii="宋体" w:hAnsi="宋体"/>
                <w:color w:val="0D0D0D"/>
                <w:sz w:val="21"/>
                <w:szCs w:val="21"/>
                <w:highlight w:val="none"/>
              </w:rPr>
            </w:pPr>
            <w:r>
              <w:rPr>
                <w:rFonts w:hint="eastAsia" w:ascii="宋体" w:hAnsi="宋体"/>
                <w:color w:val="0D0D0D"/>
                <w:sz w:val="21"/>
                <w:highlight w:val="none"/>
              </w:rPr>
              <w:t>招标范围</w:t>
            </w:r>
          </w:p>
        </w:tc>
        <w:tc>
          <w:tcPr>
            <w:tcW w:w="4117" w:type="pct"/>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hint="eastAsia" w:ascii="宋体" w:hAnsi="宋体"/>
                <w:color w:val="0D0D0D"/>
                <w:sz w:val="21"/>
                <w:szCs w:val="21"/>
                <w:highlight w:val="none"/>
              </w:rPr>
            </w:pPr>
            <w:r>
              <w:rPr>
                <w:rFonts w:hint="eastAsia" w:ascii="宋体" w:hAnsi="宋体"/>
                <w:color w:val="0D0D0D"/>
                <w:sz w:val="21"/>
                <w:highlight w:val="none"/>
              </w:rPr>
              <w:t>招标范围为招标人提供的</w:t>
            </w:r>
            <w:r>
              <w:rPr>
                <w:rFonts w:hint="eastAsia" w:ascii="宋体" w:hAnsi="宋体"/>
                <w:color w:val="0D0D0D"/>
                <w:sz w:val="21"/>
                <w:highlight w:val="none"/>
                <w:lang w:eastAsia="zh-CN"/>
              </w:rPr>
              <w:t>台州湾新区规划支路二道路工程(星空教育地块内)（石粉采购）</w:t>
            </w:r>
            <w:r>
              <w:rPr>
                <w:rFonts w:hint="eastAsia" w:ascii="宋体" w:hAnsi="宋体"/>
                <w:color w:val="0D0D0D"/>
                <w:sz w:val="21"/>
                <w:highlight w:val="none"/>
              </w:rPr>
              <w:t>等所有内容。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4" w:hRule="atLeast"/>
        </w:trPr>
        <w:tc>
          <w:tcPr>
            <w:tcW w:w="882" w:type="pct"/>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ascii="宋体" w:hAnsi="宋体"/>
                <w:color w:val="0D0D0D"/>
                <w:sz w:val="21"/>
                <w:highlight w:val="none"/>
              </w:rPr>
            </w:pPr>
            <w:r>
              <w:rPr>
                <w:rFonts w:hint="eastAsia" w:ascii="宋体" w:hAnsi="宋体"/>
                <w:color w:val="0D0D0D"/>
                <w:sz w:val="21"/>
                <w:highlight w:val="none"/>
              </w:rPr>
              <w:t>交货时间及地点</w:t>
            </w:r>
          </w:p>
        </w:tc>
        <w:tc>
          <w:tcPr>
            <w:tcW w:w="4117" w:type="pct"/>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hint="eastAsia" w:ascii="宋体" w:hAnsi="宋体"/>
                <w:color w:val="0D0D0D"/>
                <w:sz w:val="21"/>
                <w:highlight w:val="none"/>
              </w:rPr>
            </w:pPr>
            <w:r>
              <w:rPr>
                <w:rFonts w:hint="eastAsia" w:ascii="宋体" w:hAnsi="宋体"/>
                <w:color w:val="0D0D0D"/>
                <w:sz w:val="21"/>
                <w:highlight w:val="none"/>
              </w:rPr>
              <w:t>完成时间：</w:t>
            </w:r>
            <w:r>
              <w:rPr>
                <w:rFonts w:hint="eastAsia" w:ascii="宋体" w:hAnsi="宋体"/>
                <w:color w:val="0D0D0D"/>
                <w:sz w:val="21"/>
                <w:highlight w:val="none"/>
                <w:lang w:eastAsia="zh-CN"/>
              </w:rPr>
              <w:t>自收到中标通知书后15个工作日内完成供货；如因项目需要分批次供货的，则每批次货物自接到</w:t>
            </w:r>
            <w:r>
              <w:rPr>
                <w:rFonts w:hint="eastAsia" w:ascii="宋体" w:hAnsi="宋体"/>
                <w:color w:val="0D0D0D"/>
                <w:sz w:val="21"/>
                <w:highlight w:val="none"/>
                <w:lang w:val="en-US" w:eastAsia="zh-CN"/>
              </w:rPr>
              <w:t>招标人</w:t>
            </w:r>
            <w:r>
              <w:rPr>
                <w:rFonts w:hint="eastAsia" w:ascii="宋体" w:hAnsi="宋体"/>
                <w:color w:val="0D0D0D"/>
                <w:sz w:val="21"/>
                <w:highlight w:val="none"/>
                <w:lang w:eastAsia="zh-CN"/>
              </w:rPr>
              <w:t>通知后3个工作日内完成供货</w:t>
            </w:r>
            <w:r>
              <w:rPr>
                <w:rFonts w:hint="eastAsia" w:ascii="宋体" w:hAnsi="宋体"/>
                <w:color w:val="0D0D0D"/>
                <w:sz w:val="21"/>
                <w:highlight w:val="none"/>
              </w:rPr>
              <w:t>；</w:t>
            </w:r>
          </w:p>
          <w:p>
            <w:pPr>
              <w:snapToGrid w:val="0"/>
              <w:spacing w:line="360" w:lineRule="auto"/>
              <w:rPr>
                <w:rFonts w:ascii="宋体" w:hAnsi="宋体"/>
                <w:color w:val="0D0D0D"/>
                <w:sz w:val="21"/>
                <w:highlight w:val="none"/>
              </w:rPr>
            </w:pPr>
            <w:r>
              <w:rPr>
                <w:rFonts w:hint="eastAsia" w:ascii="宋体" w:hAnsi="宋体"/>
                <w:color w:val="0D0D0D"/>
                <w:sz w:val="21"/>
                <w:highlight w:val="none"/>
              </w:rPr>
              <w:t>交货地点：</w:t>
            </w:r>
            <w:r>
              <w:rPr>
                <w:rFonts w:hint="eastAsia" w:ascii="宋体" w:hAnsi="宋体"/>
                <w:color w:val="0D0D0D"/>
                <w:sz w:val="21"/>
                <w:highlight w:val="none"/>
                <w:lang w:val="en-US" w:eastAsia="zh-CN"/>
              </w:rPr>
              <w:t>招标人</w:t>
            </w:r>
            <w:r>
              <w:rPr>
                <w:rFonts w:hint="eastAsia" w:ascii="宋体" w:hAnsi="宋体"/>
                <w:color w:val="0D0D0D"/>
                <w:sz w:val="21"/>
                <w:highlight w:val="none"/>
              </w:rPr>
              <w:t>指定地点</w:t>
            </w:r>
            <w:r>
              <w:rPr>
                <w:rFonts w:hint="eastAsia" w:ascii="宋体" w:hAnsi="宋体"/>
                <w:color w:val="0D0D0D"/>
                <w:sz w:val="21"/>
                <w:highlight w:val="none"/>
                <w:lang w:eastAsia="zh-CN"/>
              </w:rPr>
              <w:t>。</w:t>
            </w:r>
            <w:r>
              <w:rPr>
                <w:rFonts w:hint="eastAsia" w:ascii="宋体" w:hAnsi="宋体"/>
                <w:color w:val="0D0D0D"/>
                <w:sz w:val="21"/>
                <w:highlight w:val="none"/>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5" w:hRule="atLeast"/>
        </w:trPr>
        <w:tc>
          <w:tcPr>
            <w:tcW w:w="882" w:type="pct"/>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ascii="宋体" w:hAnsi="宋体"/>
                <w:color w:val="0D0D0D"/>
                <w:sz w:val="21"/>
                <w:szCs w:val="21"/>
                <w:highlight w:val="none"/>
              </w:rPr>
            </w:pPr>
            <w:r>
              <w:rPr>
                <w:rFonts w:hint="eastAsia" w:ascii="宋体" w:hAnsi="宋体"/>
                <w:color w:val="0D0D0D"/>
                <w:sz w:val="21"/>
                <w:szCs w:val="21"/>
                <w:highlight w:val="none"/>
              </w:rPr>
              <w:t>付款条件</w:t>
            </w:r>
          </w:p>
        </w:tc>
        <w:tc>
          <w:tcPr>
            <w:tcW w:w="4117" w:type="pct"/>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hint="eastAsia" w:ascii="宋体" w:hAnsi="宋体"/>
                <w:b/>
                <w:color w:val="0D0D0D"/>
                <w:sz w:val="21"/>
                <w:szCs w:val="21"/>
                <w:highlight w:val="none"/>
              </w:rPr>
            </w:pPr>
            <w:r>
              <w:rPr>
                <w:rFonts w:hint="eastAsia" w:ascii="宋体" w:hAnsi="宋体"/>
                <w:color w:val="0D0D0D"/>
                <w:sz w:val="21"/>
                <w:szCs w:val="21"/>
                <w:highlight w:val="none"/>
              </w:rPr>
              <w:t>见合同条款</w:t>
            </w:r>
          </w:p>
        </w:tc>
      </w:tr>
    </w:tbl>
    <w:p>
      <w:pPr>
        <w:snapToGrid w:val="0"/>
        <w:spacing w:before="120" w:beforeLines="50" w:after="120" w:afterLines="50" w:line="360" w:lineRule="auto"/>
        <w:ind w:left="238"/>
        <w:jc w:val="center"/>
        <w:rPr>
          <w:b/>
          <w:color w:val="0D0D0D"/>
          <w:highlight w:val="none"/>
        </w:rPr>
        <w:sectPr>
          <w:footerReference r:id="rId8" w:type="first"/>
          <w:headerReference r:id="rId6" w:type="default"/>
          <w:footerReference r:id="rId7" w:type="default"/>
          <w:footnotePr>
            <w:numRestart w:val="eachPage"/>
          </w:footnotePr>
          <w:endnotePr>
            <w:numRestart w:val="eachSect"/>
          </w:endnotePr>
          <w:pgSz w:w="11907" w:h="16840"/>
          <w:pgMar w:top="1247" w:right="1361" w:bottom="1247" w:left="1361" w:header="851" w:footer="824" w:gutter="0"/>
          <w:cols w:space="720" w:num="1"/>
          <w:docGrid w:linePitch="435" w:charSpace="-6554"/>
        </w:sectPr>
      </w:pPr>
    </w:p>
    <w:p>
      <w:pPr>
        <w:snapToGrid w:val="0"/>
        <w:spacing w:before="120" w:beforeLines="50" w:after="120" w:afterLines="50" w:line="360" w:lineRule="auto"/>
        <w:ind w:left="238"/>
        <w:jc w:val="center"/>
        <w:rPr>
          <w:rFonts w:eastAsia="仿宋_GB2312"/>
          <w:b/>
          <w:color w:val="0D0D0D"/>
          <w:sz w:val="32"/>
          <w:szCs w:val="20"/>
          <w:highlight w:val="none"/>
        </w:rPr>
      </w:pPr>
      <w:r>
        <w:rPr>
          <w:b/>
          <w:color w:val="0D0D0D"/>
          <w:highlight w:val="none"/>
        </w:rPr>
        <w:t>第三章  投标人须知</w:t>
      </w:r>
    </w:p>
    <w:p>
      <w:pPr>
        <w:snapToGrid w:val="0"/>
        <w:spacing w:before="120" w:beforeLines="50" w:after="120" w:afterLines="50" w:line="360" w:lineRule="auto"/>
        <w:ind w:left="238"/>
        <w:jc w:val="center"/>
        <w:outlineLvl w:val="1"/>
        <w:rPr>
          <w:rFonts w:ascii="宋体" w:hAnsi="宋体" w:eastAsia="仿宋_GB2312"/>
          <w:b/>
          <w:color w:val="0D0D0D"/>
          <w:szCs w:val="28"/>
          <w:highlight w:val="none"/>
        </w:rPr>
      </w:pPr>
      <w:r>
        <w:rPr>
          <w:rFonts w:hint="eastAsia" w:ascii="宋体" w:hAnsi="宋体"/>
          <w:b/>
          <w:color w:val="0D0D0D"/>
          <w:szCs w:val="28"/>
          <w:highlight w:val="none"/>
        </w:rPr>
        <w:t>前 附 表</w:t>
      </w:r>
    </w:p>
    <w:tbl>
      <w:tblPr>
        <w:tblStyle w:val="46"/>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69"/>
        <w:gridCol w:w="837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869"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宋体" w:hAnsi="宋体"/>
                <w:color w:val="0D0D0D"/>
                <w:sz w:val="21"/>
                <w:szCs w:val="21"/>
                <w:highlight w:val="none"/>
              </w:rPr>
            </w:pPr>
            <w:r>
              <w:rPr>
                <w:rFonts w:hint="eastAsia" w:ascii="宋体" w:hAnsi="宋体"/>
                <w:color w:val="0D0D0D"/>
                <w:sz w:val="21"/>
                <w:szCs w:val="21"/>
                <w:highlight w:val="none"/>
              </w:rPr>
              <w:t>序号</w:t>
            </w:r>
          </w:p>
        </w:tc>
        <w:tc>
          <w:tcPr>
            <w:tcW w:w="8371"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宋体" w:hAnsi="宋体"/>
                <w:color w:val="0D0D0D"/>
                <w:sz w:val="21"/>
                <w:szCs w:val="21"/>
                <w:highlight w:val="none"/>
              </w:rPr>
            </w:pPr>
            <w:r>
              <w:rPr>
                <w:rFonts w:hint="eastAsia" w:ascii="宋体" w:hAnsi="宋体"/>
                <w:color w:val="0D0D0D"/>
                <w:sz w:val="21"/>
                <w:szCs w:val="21"/>
                <w:highlight w:val="none"/>
              </w:rPr>
              <w:t>内容、要求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869"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宋体" w:hAnsi="宋体"/>
                <w:color w:val="0D0D0D"/>
                <w:sz w:val="21"/>
                <w:szCs w:val="21"/>
                <w:highlight w:val="none"/>
              </w:rPr>
            </w:pPr>
            <w:r>
              <w:rPr>
                <w:rFonts w:ascii="宋体" w:hAnsi="宋体"/>
                <w:color w:val="0C0C0C"/>
                <w:sz w:val="21"/>
                <w:szCs w:val="21"/>
                <w:highlight w:val="none"/>
              </w:rPr>
              <w:t>1</w:t>
            </w:r>
          </w:p>
        </w:tc>
        <w:tc>
          <w:tcPr>
            <w:tcW w:w="8371"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ind w:left="1050" w:hanging="1050" w:hangingChars="500"/>
              <w:rPr>
                <w:rFonts w:hint="eastAsia" w:ascii="宋体" w:hAnsi="宋体" w:eastAsia="宋体"/>
                <w:color w:val="0D0D0D"/>
                <w:sz w:val="21"/>
                <w:szCs w:val="21"/>
                <w:highlight w:val="none"/>
                <w:lang w:eastAsia="zh-CN"/>
              </w:rPr>
            </w:pPr>
            <w:r>
              <w:rPr>
                <w:rFonts w:hint="eastAsia" w:ascii="宋体" w:hAnsi="宋体"/>
                <w:color w:val="0D0D0D"/>
                <w:sz w:val="21"/>
                <w:szCs w:val="21"/>
                <w:highlight w:val="none"/>
              </w:rPr>
              <w:t>项目名称：</w:t>
            </w:r>
            <w:r>
              <w:rPr>
                <w:rFonts w:hint="eastAsia" w:ascii="宋体" w:hAnsi="宋体"/>
                <w:bCs/>
                <w:color w:val="0D0D0D"/>
                <w:sz w:val="21"/>
                <w:szCs w:val="21"/>
                <w:highlight w:val="none"/>
                <w:lang w:eastAsia="zh-CN"/>
              </w:rPr>
              <w:t>台州湾新区规划支路二道路工程(星空教育地块内)（石粉采购）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869"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宋体" w:hAnsi="宋体"/>
                <w:color w:val="0D0D0D"/>
                <w:sz w:val="21"/>
                <w:szCs w:val="21"/>
                <w:highlight w:val="none"/>
              </w:rPr>
            </w:pPr>
            <w:r>
              <w:rPr>
                <w:rFonts w:ascii="宋体" w:hAnsi="宋体"/>
                <w:color w:val="0C0C0C"/>
                <w:sz w:val="21"/>
                <w:szCs w:val="21"/>
                <w:highlight w:val="none"/>
              </w:rPr>
              <w:t>2</w:t>
            </w:r>
          </w:p>
        </w:tc>
        <w:tc>
          <w:tcPr>
            <w:tcW w:w="8371"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hint="eastAsia" w:ascii="宋体" w:hAnsi="宋体" w:eastAsia="宋体"/>
                <w:color w:val="0D0D0D"/>
                <w:sz w:val="21"/>
                <w:szCs w:val="21"/>
                <w:highlight w:val="none"/>
                <w:lang w:eastAsia="zh-CN"/>
              </w:rPr>
            </w:pPr>
            <w:r>
              <w:rPr>
                <w:rFonts w:hint="eastAsia" w:ascii="宋体" w:hAnsi="宋体"/>
                <w:color w:val="0D0D0D"/>
                <w:sz w:val="21"/>
                <w:szCs w:val="21"/>
                <w:highlight w:val="none"/>
              </w:rPr>
              <w:t>采购单位：</w:t>
            </w:r>
            <w:r>
              <w:rPr>
                <w:rFonts w:hint="eastAsia" w:ascii="宋体" w:hAnsi="宋体"/>
                <w:bCs/>
                <w:color w:val="0D0D0D"/>
                <w:sz w:val="21"/>
                <w:szCs w:val="21"/>
                <w:highlight w:val="none"/>
                <w:lang w:eastAsia="zh-CN"/>
              </w:rPr>
              <w:t>台州东发建设集团有限公司</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869"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宋体" w:hAnsi="宋体"/>
                <w:color w:val="0D0D0D"/>
                <w:sz w:val="21"/>
                <w:szCs w:val="21"/>
                <w:highlight w:val="none"/>
              </w:rPr>
            </w:pPr>
            <w:r>
              <w:rPr>
                <w:rFonts w:ascii="宋体" w:hAnsi="宋体"/>
                <w:color w:val="0C0C0C"/>
                <w:sz w:val="21"/>
                <w:szCs w:val="21"/>
                <w:highlight w:val="none"/>
              </w:rPr>
              <w:t>3</w:t>
            </w:r>
          </w:p>
        </w:tc>
        <w:tc>
          <w:tcPr>
            <w:tcW w:w="8371"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hint="default" w:ascii="宋体" w:hAnsi="宋体" w:eastAsia="宋体"/>
                <w:color w:val="0D0D0D"/>
                <w:sz w:val="21"/>
                <w:szCs w:val="21"/>
                <w:highlight w:val="none"/>
                <w:lang w:val="en-US" w:eastAsia="zh-CN"/>
              </w:rPr>
            </w:pPr>
            <w:r>
              <w:rPr>
                <w:rFonts w:hint="eastAsia" w:ascii="宋体" w:hAnsi="宋体"/>
                <w:color w:val="0D0D0D"/>
                <w:sz w:val="21"/>
                <w:szCs w:val="21"/>
                <w:highlight w:val="none"/>
              </w:rPr>
              <w:t>投标报价</w:t>
            </w:r>
            <w:r>
              <w:rPr>
                <w:rFonts w:hint="eastAsia" w:ascii="宋体" w:hAnsi="宋体" w:eastAsia="宋体" w:cs="Times New Roman"/>
                <w:color w:val="0D0D0D"/>
                <w:sz w:val="21"/>
                <w:szCs w:val="21"/>
                <w:highlight w:val="none"/>
              </w:rPr>
              <w:t>及费用：1、本项目投标应以人民币报价；2、不论投标结果如何，投标人均应自行承担所有与投标有关的全部费用；</w:t>
            </w:r>
            <w:r>
              <w:rPr>
                <w:rFonts w:hint="eastAsia" w:ascii="宋体" w:hAnsi="宋体" w:eastAsia="宋体" w:cs="Times New Roman"/>
                <w:color w:val="0D0D0D"/>
                <w:sz w:val="21"/>
                <w:szCs w:val="21"/>
                <w:highlight w:val="none"/>
                <w:lang w:val="en-US" w:eastAsia="zh-CN"/>
              </w:rPr>
              <w:t>3、本项目交易服务费由中标单位支付，各投标单位自行考虑报价，相关费用详见https://www.tzwztb.com/web/PubNews/viewinfo.aspx?nid=73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8" w:hRule="atLeast"/>
        </w:trPr>
        <w:tc>
          <w:tcPr>
            <w:tcW w:w="869"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宋体" w:hAnsi="宋体"/>
                <w:color w:val="0D0D0D"/>
                <w:sz w:val="21"/>
                <w:szCs w:val="21"/>
                <w:highlight w:val="none"/>
              </w:rPr>
            </w:pPr>
            <w:r>
              <w:rPr>
                <w:rFonts w:hint="eastAsia" w:ascii="宋体" w:hAnsi="宋体"/>
                <w:color w:val="0C0C0C"/>
                <w:sz w:val="21"/>
                <w:szCs w:val="21"/>
                <w:highlight w:val="none"/>
                <w:lang w:val="en-US" w:eastAsia="zh-CN"/>
              </w:rPr>
              <w:t>4</w:t>
            </w:r>
          </w:p>
        </w:tc>
        <w:tc>
          <w:tcPr>
            <w:tcW w:w="8371"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ascii="宋体" w:hAnsi="宋体"/>
                <w:color w:val="0D0D0D"/>
                <w:sz w:val="21"/>
                <w:szCs w:val="21"/>
                <w:highlight w:val="none"/>
              </w:rPr>
            </w:pPr>
            <w:r>
              <w:rPr>
                <w:rFonts w:hint="eastAsia" w:ascii="宋体" w:hAnsi="宋体"/>
                <w:color w:val="0D0D0D"/>
                <w:sz w:val="21"/>
                <w:szCs w:val="21"/>
                <w:highlight w:val="none"/>
              </w:rPr>
              <w:t>现场踏勘：自行踏勘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869"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color w:val="0D0D0D"/>
                <w:sz w:val="21"/>
                <w:szCs w:val="21"/>
                <w:highlight w:val="none"/>
              </w:rPr>
            </w:pPr>
            <w:r>
              <w:rPr>
                <w:rFonts w:hint="eastAsia" w:ascii="宋体" w:hAnsi="宋体"/>
                <w:color w:val="0C0C0C"/>
                <w:sz w:val="21"/>
                <w:szCs w:val="21"/>
                <w:highlight w:val="none"/>
                <w:lang w:val="en-US" w:eastAsia="zh-CN"/>
              </w:rPr>
              <w:t>5</w:t>
            </w:r>
          </w:p>
        </w:tc>
        <w:tc>
          <w:tcPr>
            <w:tcW w:w="8371"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ascii="宋体" w:hAnsi="宋体"/>
                <w:color w:val="0D0D0D"/>
                <w:sz w:val="21"/>
                <w:szCs w:val="21"/>
                <w:highlight w:val="none"/>
              </w:rPr>
            </w:pPr>
            <w:r>
              <w:rPr>
                <w:rFonts w:hint="eastAsia" w:ascii="宋体" w:hAnsi="宋体"/>
                <w:color w:val="0D0D0D"/>
                <w:sz w:val="21"/>
                <w:szCs w:val="21"/>
                <w:highlight w:val="none"/>
              </w:rPr>
              <w:t>招标文件的澄清：投标人获取招标文件后，若有问题需要澄清，应自招标文件发布在交易场所（发布招标公告的媒体上）3日内，向招标人（招标代理）提出。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869"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eastAsia="宋体" w:cs="Times New Roman"/>
                <w:color w:val="0D0D0D"/>
                <w:sz w:val="21"/>
                <w:szCs w:val="21"/>
                <w:highlight w:val="none"/>
                <w:lang w:eastAsia="zh-CN"/>
              </w:rPr>
            </w:pPr>
            <w:r>
              <w:rPr>
                <w:rFonts w:hint="eastAsia" w:ascii="宋体" w:hAnsi="宋体" w:eastAsia="宋体" w:cs="Times New Roman"/>
                <w:color w:val="0D0D0D"/>
                <w:sz w:val="21"/>
                <w:szCs w:val="21"/>
                <w:highlight w:val="none"/>
                <w:lang w:val="en-US" w:eastAsia="zh-CN"/>
              </w:rPr>
              <w:t>6</w:t>
            </w:r>
          </w:p>
        </w:tc>
        <w:tc>
          <w:tcPr>
            <w:tcW w:w="8371"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hint="eastAsia" w:ascii="宋体" w:hAnsi="宋体" w:eastAsia="宋体" w:cs="Times New Roman"/>
                <w:color w:val="0D0D0D"/>
                <w:sz w:val="21"/>
                <w:szCs w:val="21"/>
                <w:highlight w:val="none"/>
              </w:rPr>
            </w:pPr>
            <w:r>
              <w:rPr>
                <w:rFonts w:hint="eastAsia" w:ascii="宋体" w:hAnsi="宋体" w:eastAsia="宋体" w:cs="Times New Roman"/>
                <w:color w:val="0D0D0D"/>
                <w:sz w:val="21"/>
                <w:szCs w:val="21"/>
                <w:highlight w:val="none"/>
              </w:rPr>
              <w:t>投标保证金：人民币</w:t>
            </w:r>
            <w:r>
              <w:rPr>
                <w:rFonts w:hint="eastAsia" w:ascii="宋体" w:hAnsi="宋体" w:eastAsia="宋体" w:cs="Times New Roman"/>
                <w:color w:val="0D0D0D"/>
                <w:sz w:val="21"/>
                <w:szCs w:val="21"/>
                <w:highlight w:val="none"/>
                <w:lang w:val="en-US" w:eastAsia="zh-CN"/>
              </w:rPr>
              <w:t>0.</w:t>
            </w:r>
            <w:r>
              <w:rPr>
                <w:rFonts w:hint="eastAsia" w:ascii="宋体" w:hAnsi="宋体" w:cs="Times New Roman"/>
                <w:color w:val="0D0D0D"/>
                <w:sz w:val="21"/>
                <w:szCs w:val="21"/>
                <w:highlight w:val="none"/>
                <w:lang w:val="en-US" w:eastAsia="zh-CN"/>
              </w:rPr>
              <w:t>2</w:t>
            </w:r>
            <w:r>
              <w:rPr>
                <w:rFonts w:hint="eastAsia" w:ascii="宋体" w:hAnsi="宋体" w:eastAsia="宋体" w:cs="Times New Roman"/>
                <w:color w:val="0D0D0D"/>
                <w:sz w:val="21"/>
                <w:szCs w:val="21"/>
                <w:highlight w:val="none"/>
                <w:lang w:val="en-US" w:eastAsia="zh-CN"/>
              </w:rPr>
              <w:t>万</w:t>
            </w:r>
            <w:r>
              <w:rPr>
                <w:rFonts w:hint="eastAsia" w:ascii="宋体" w:hAnsi="宋体" w:eastAsia="宋体" w:cs="Times New Roman"/>
                <w:color w:val="0D0D0D"/>
                <w:sz w:val="21"/>
                <w:szCs w:val="21"/>
                <w:highlight w:val="none"/>
              </w:rPr>
              <w:t>元</w:t>
            </w:r>
          </w:p>
          <w:p>
            <w:pPr>
              <w:snapToGrid w:val="0"/>
              <w:spacing w:line="360" w:lineRule="auto"/>
              <w:rPr>
                <w:rFonts w:hint="eastAsia" w:ascii="宋体" w:hAnsi="宋体" w:eastAsia="宋体" w:cs="Times New Roman"/>
                <w:color w:val="0D0D0D"/>
                <w:sz w:val="21"/>
                <w:szCs w:val="21"/>
                <w:highlight w:val="none"/>
              </w:rPr>
            </w:pPr>
            <w:r>
              <w:rPr>
                <w:rFonts w:hint="eastAsia" w:ascii="宋体" w:hAnsi="宋体" w:eastAsia="宋体" w:cs="Times New Roman"/>
                <w:color w:val="0D0D0D"/>
                <w:sz w:val="21"/>
                <w:szCs w:val="21"/>
                <w:highlight w:val="none"/>
              </w:rPr>
              <w:t>投标保证金缴纳方式：现金转账、银行保函、保险机构保证保险保单、融资担保公司保函。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34" w:hRule="atLeast"/>
        </w:trPr>
        <w:tc>
          <w:tcPr>
            <w:tcW w:w="869"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default" w:ascii="宋体" w:hAnsi="宋体" w:eastAsia="宋体" w:cs="Times New Roman"/>
                <w:color w:val="0D0D0D"/>
                <w:sz w:val="21"/>
                <w:szCs w:val="21"/>
                <w:highlight w:val="none"/>
                <w:lang w:val="en-US" w:eastAsia="zh-CN"/>
              </w:rPr>
            </w:pPr>
            <w:r>
              <w:rPr>
                <w:rFonts w:hint="eastAsia" w:ascii="宋体" w:hAnsi="宋体"/>
                <w:color w:val="0C0C0C"/>
                <w:sz w:val="21"/>
                <w:szCs w:val="21"/>
                <w:highlight w:val="none"/>
                <w:lang w:val="en-US" w:eastAsia="zh-CN"/>
              </w:rPr>
              <w:t>7</w:t>
            </w:r>
          </w:p>
        </w:tc>
        <w:tc>
          <w:tcPr>
            <w:tcW w:w="8371"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hint="eastAsia" w:ascii="宋体" w:hAnsi="宋体" w:eastAsia="宋体" w:cs="Times New Roman"/>
                <w:color w:val="0D0D0D"/>
                <w:sz w:val="21"/>
                <w:szCs w:val="21"/>
                <w:highlight w:val="none"/>
                <w:lang w:val="en-US" w:eastAsia="zh-CN"/>
              </w:rPr>
            </w:pPr>
            <w:r>
              <w:rPr>
                <w:rFonts w:hint="eastAsia" w:ascii="宋体" w:hAnsi="宋体" w:eastAsia="宋体" w:cs="Times New Roman"/>
                <w:color w:val="0D0D0D"/>
                <w:sz w:val="21"/>
                <w:szCs w:val="21"/>
                <w:highlight w:val="none"/>
                <w:lang w:val="en-US" w:eastAsia="zh-CN"/>
              </w:rPr>
              <w:t>投标文件组成：</w:t>
            </w:r>
          </w:p>
          <w:p>
            <w:pPr>
              <w:snapToGrid w:val="0"/>
              <w:spacing w:line="360" w:lineRule="auto"/>
              <w:rPr>
                <w:rFonts w:hint="default" w:ascii="宋体" w:hAnsi="宋体" w:eastAsia="宋体" w:cs="Times New Roman"/>
                <w:color w:val="0D0D0D"/>
                <w:sz w:val="21"/>
                <w:szCs w:val="21"/>
                <w:highlight w:val="none"/>
                <w:lang w:val="en-US" w:eastAsia="zh-CN"/>
              </w:rPr>
            </w:pPr>
            <w:r>
              <w:rPr>
                <w:rFonts w:hint="eastAsia" w:ascii="宋体" w:hAnsi="宋体" w:eastAsia="宋体" w:cs="Times New Roman"/>
                <w:color w:val="0D0D0D"/>
                <w:sz w:val="21"/>
                <w:szCs w:val="21"/>
                <w:highlight w:val="none"/>
                <w:lang w:val="en-US" w:eastAsia="zh-CN"/>
              </w:rPr>
              <w:t>电子投标文件：商务标（上传至交易平台）。</w:t>
            </w:r>
            <w:r>
              <w:rPr>
                <w:rFonts w:hint="eastAsia" w:ascii="宋体" w:hAnsi="宋体" w:eastAsia="宋体" w:cs="Times New Roman"/>
                <w:b/>
                <w:bCs/>
                <w:color w:val="0D0D0D"/>
                <w:sz w:val="21"/>
                <w:szCs w:val="21"/>
                <w:highlight w:val="none"/>
                <w:lang w:val="en-US" w:eastAsia="zh-CN"/>
              </w:rPr>
              <w:t>（电子文件应签章齐全，办理CA证书的投标人可采用单位电子公章代替单位公章，法定代表人/经营者电子章代替法定代表人/经营者签字，在投标文件编制工具中签章）；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869"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color w:val="0D0D0D"/>
                <w:sz w:val="21"/>
                <w:szCs w:val="21"/>
                <w:highlight w:val="none"/>
              </w:rPr>
            </w:pPr>
            <w:r>
              <w:rPr>
                <w:rFonts w:hint="eastAsia" w:ascii="宋体" w:hAnsi="宋体"/>
                <w:color w:val="0C0C0C"/>
                <w:sz w:val="21"/>
                <w:szCs w:val="21"/>
                <w:highlight w:val="none"/>
                <w:lang w:val="en-US" w:eastAsia="zh-CN"/>
              </w:rPr>
              <w:t>8</w:t>
            </w:r>
          </w:p>
        </w:tc>
        <w:tc>
          <w:tcPr>
            <w:tcW w:w="8371"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left"/>
              <w:rPr>
                <w:rFonts w:ascii="宋体" w:hAnsi="宋体"/>
                <w:color w:val="0D0D0D"/>
                <w:sz w:val="21"/>
                <w:szCs w:val="21"/>
                <w:highlight w:val="none"/>
              </w:rPr>
            </w:pPr>
            <w:r>
              <w:rPr>
                <w:rFonts w:hint="eastAsia" w:ascii="宋体" w:hAnsi="宋体"/>
                <w:color w:val="0D0D0D"/>
                <w:sz w:val="21"/>
                <w:szCs w:val="21"/>
                <w:highlight w:val="none"/>
              </w:rPr>
              <w:t>投标截止时间及地点：</w:t>
            </w:r>
            <w:r>
              <w:rPr>
                <w:rFonts w:hint="eastAsia" w:ascii="宋体" w:hAnsi="宋体" w:cs="Arial"/>
                <w:color w:val="0D0D0D"/>
                <w:sz w:val="21"/>
                <w:szCs w:val="21"/>
                <w:highlight w:val="none"/>
                <w:u w:val="single"/>
              </w:rPr>
              <w:t>见招标公告；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869"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color w:val="0D0D0D"/>
                <w:sz w:val="21"/>
                <w:szCs w:val="21"/>
                <w:highlight w:val="none"/>
              </w:rPr>
            </w:pPr>
            <w:r>
              <w:rPr>
                <w:rFonts w:hint="eastAsia" w:ascii="宋体" w:hAnsi="宋体"/>
                <w:color w:val="0C0C0C"/>
                <w:sz w:val="21"/>
                <w:szCs w:val="21"/>
                <w:highlight w:val="none"/>
                <w:lang w:val="en-US" w:eastAsia="zh-CN"/>
              </w:rPr>
              <w:t>9</w:t>
            </w:r>
          </w:p>
        </w:tc>
        <w:tc>
          <w:tcPr>
            <w:tcW w:w="8371"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left"/>
              <w:rPr>
                <w:rFonts w:ascii="宋体" w:hAnsi="宋体"/>
                <w:color w:val="0D0D0D"/>
                <w:sz w:val="21"/>
                <w:szCs w:val="21"/>
                <w:highlight w:val="none"/>
              </w:rPr>
            </w:pPr>
            <w:r>
              <w:rPr>
                <w:rFonts w:hint="eastAsia" w:ascii="宋体" w:hAnsi="宋体"/>
                <w:color w:val="0D0D0D"/>
                <w:sz w:val="21"/>
                <w:szCs w:val="21"/>
                <w:highlight w:val="none"/>
              </w:rPr>
              <w:t>开标时间及地点：</w:t>
            </w:r>
            <w:r>
              <w:rPr>
                <w:rFonts w:hint="eastAsia" w:ascii="宋体" w:hAnsi="宋体" w:cs="Arial"/>
                <w:color w:val="0D0D0D"/>
                <w:sz w:val="21"/>
                <w:szCs w:val="21"/>
                <w:highlight w:val="none"/>
                <w:u w:val="single"/>
              </w:rPr>
              <w:t>见招标公告；</w:t>
            </w:r>
            <w:r>
              <w:rPr>
                <w:rFonts w:ascii="宋体" w:hAnsi="宋体"/>
                <w:color w:val="0D0D0D"/>
                <w:sz w:val="21"/>
                <w:szCs w:val="21"/>
                <w:highlight w:val="none"/>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869"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color w:val="0D0D0D"/>
                <w:sz w:val="21"/>
                <w:szCs w:val="21"/>
                <w:highlight w:val="none"/>
              </w:rPr>
            </w:pPr>
            <w:r>
              <w:rPr>
                <w:rFonts w:hint="eastAsia" w:ascii="宋体" w:hAnsi="宋体"/>
                <w:color w:val="0C0C0C"/>
                <w:sz w:val="21"/>
                <w:szCs w:val="21"/>
                <w:highlight w:val="none"/>
                <w:lang w:val="en-US" w:eastAsia="zh-CN"/>
              </w:rPr>
              <w:t>10</w:t>
            </w:r>
          </w:p>
        </w:tc>
        <w:tc>
          <w:tcPr>
            <w:tcW w:w="837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spacing w:line="360" w:lineRule="auto"/>
              <w:textAlignment w:val="bottom"/>
              <w:rPr>
                <w:rFonts w:ascii="宋体" w:hAnsi="宋体"/>
                <w:color w:val="0D0D0D"/>
                <w:sz w:val="21"/>
                <w:szCs w:val="21"/>
                <w:highlight w:val="none"/>
              </w:rPr>
            </w:pPr>
            <w:r>
              <w:rPr>
                <w:rFonts w:hint="eastAsia" w:ascii="宋体" w:hAnsi="宋体"/>
                <w:color w:val="0D0D0D"/>
                <w:sz w:val="21"/>
                <w:szCs w:val="21"/>
                <w:highlight w:val="none"/>
              </w:rPr>
              <w:t>评标办法及评分标准：详见本招标文件第四章《评标办法及评分标准》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869"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color w:val="0D0D0D"/>
                <w:sz w:val="21"/>
                <w:szCs w:val="21"/>
                <w:highlight w:val="none"/>
              </w:rPr>
            </w:pPr>
            <w:r>
              <w:rPr>
                <w:rFonts w:hint="eastAsia" w:ascii="宋体" w:hAnsi="宋体"/>
                <w:color w:val="0C0C0C"/>
                <w:sz w:val="21"/>
                <w:szCs w:val="21"/>
                <w:highlight w:val="none"/>
                <w:lang w:val="en-US" w:eastAsia="zh-CN"/>
              </w:rPr>
              <w:t>11</w:t>
            </w:r>
          </w:p>
        </w:tc>
        <w:tc>
          <w:tcPr>
            <w:tcW w:w="837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spacing w:line="360" w:lineRule="auto"/>
              <w:textAlignment w:val="bottom"/>
              <w:rPr>
                <w:rFonts w:ascii="宋体" w:hAnsi="宋体"/>
                <w:color w:val="0D0D0D"/>
                <w:sz w:val="21"/>
                <w:szCs w:val="21"/>
                <w:highlight w:val="none"/>
              </w:rPr>
            </w:pPr>
            <w:r>
              <w:rPr>
                <w:rFonts w:hint="eastAsia" w:ascii="宋体" w:hAnsi="宋体"/>
                <w:color w:val="0D0D0D"/>
                <w:sz w:val="21"/>
                <w:szCs w:val="21"/>
                <w:highlight w:val="none"/>
              </w:rPr>
              <w:t>评标结果公示：评标结束后</w:t>
            </w:r>
            <w:r>
              <w:rPr>
                <w:rFonts w:ascii="宋体" w:hAnsi="宋体"/>
                <w:color w:val="0D0D0D"/>
                <w:sz w:val="21"/>
                <w:szCs w:val="21"/>
                <w:highlight w:val="none"/>
              </w:rPr>
              <w:t>2</w:t>
            </w:r>
            <w:r>
              <w:rPr>
                <w:rFonts w:hint="eastAsia" w:ascii="宋体" w:hAnsi="宋体"/>
                <w:color w:val="0D0D0D"/>
                <w:sz w:val="21"/>
                <w:szCs w:val="21"/>
                <w:highlight w:val="none"/>
              </w:rPr>
              <w:t>天内，评标结果公示于发布公告的网站上。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69"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color w:val="0C0C0C"/>
                <w:sz w:val="21"/>
                <w:szCs w:val="21"/>
                <w:highlight w:val="none"/>
                <w:lang w:val="en-US" w:eastAsia="zh-CN"/>
              </w:rPr>
            </w:pPr>
            <w:r>
              <w:rPr>
                <w:rFonts w:hint="eastAsia" w:ascii="宋体" w:hAnsi="宋体"/>
                <w:color w:val="0C0C0C"/>
                <w:sz w:val="21"/>
                <w:szCs w:val="21"/>
                <w:highlight w:val="none"/>
                <w:lang w:val="en-US" w:eastAsia="zh-CN"/>
              </w:rPr>
              <w:t>12</w:t>
            </w:r>
          </w:p>
        </w:tc>
        <w:tc>
          <w:tcPr>
            <w:tcW w:w="837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spacing w:line="360" w:lineRule="auto"/>
              <w:textAlignment w:val="bottom"/>
              <w:rPr>
                <w:rFonts w:hint="eastAsia" w:ascii="宋体" w:hAnsi="宋体"/>
                <w:color w:val="0D0D0D"/>
                <w:sz w:val="21"/>
                <w:szCs w:val="21"/>
                <w:highlight w:val="none"/>
              </w:rPr>
            </w:pPr>
            <w:r>
              <w:rPr>
                <w:rFonts w:hint="eastAsia" w:ascii="宋体" w:hAnsi="宋体"/>
                <w:color w:val="0C0C0C"/>
                <w:sz w:val="21"/>
                <w:szCs w:val="21"/>
                <w:highlight w:val="none"/>
              </w:rPr>
              <w:t>投标保证金退还：除招标文件规定不予退还保证金的情形外，未中标人的投标保证金在中标通知书发出后5个工作日内退还，中标人的投标保证金在合同签订后</w:t>
            </w:r>
            <w:r>
              <w:rPr>
                <w:rFonts w:hint="eastAsia" w:ascii="宋体" w:hAnsi="宋体"/>
                <w:color w:val="0C0C0C"/>
                <w:sz w:val="21"/>
                <w:szCs w:val="21"/>
                <w:highlight w:val="none"/>
                <w:lang w:val="en-US" w:eastAsia="zh-CN"/>
              </w:rPr>
              <w:t>5</w:t>
            </w:r>
            <w:r>
              <w:rPr>
                <w:rFonts w:hint="eastAsia" w:ascii="宋体" w:hAnsi="宋体"/>
                <w:color w:val="0C0C0C"/>
                <w:sz w:val="21"/>
                <w:szCs w:val="21"/>
                <w:highlight w:val="none"/>
              </w:rPr>
              <w:t>个工作日退还。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exact"/>
        </w:trPr>
        <w:tc>
          <w:tcPr>
            <w:tcW w:w="869"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color w:val="0D0D0D"/>
                <w:sz w:val="21"/>
                <w:szCs w:val="21"/>
                <w:highlight w:val="none"/>
              </w:rPr>
            </w:pPr>
            <w:r>
              <w:rPr>
                <w:rFonts w:hint="eastAsia" w:ascii="宋体" w:hAnsi="宋体"/>
                <w:color w:val="0C0C0C"/>
                <w:sz w:val="21"/>
                <w:szCs w:val="21"/>
                <w:highlight w:val="none"/>
                <w:lang w:val="en-US" w:eastAsia="zh-CN"/>
              </w:rPr>
              <w:t>13</w:t>
            </w:r>
          </w:p>
        </w:tc>
        <w:tc>
          <w:tcPr>
            <w:tcW w:w="837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spacing w:line="360" w:lineRule="auto"/>
              <w:textAlignment w:val="bottom"/>
              <w:rPr>
                <w:rFonts w:ascii="宋体" w:hAnsi="宋体"/>
                <w:color w:val="0D0D0D"/>
                <w:sz w:val="21"/>
                <w:szCs w:val="21"/>
                <w:highlight w:val="none"/>
              </w:rPr>
            </w:pPr>
            <w:r>
              <w:rPr>
                <w:rFonts w:hint="eastAsia" w:ascii="宋体" w:hAnsi="宋体"/>
                <w:color w:val="0D0D0D"/>
                <w:sz w:val="21"/>
                <w:szCs w:val="21"/>
                <w:highlight w:val="none"/>
              </w:rPr>
              <w:t>签订合同时间：</w:t>
            </w:r>
            <w:r>
              <w:rPr>
                <w:rFonts w:hint="eastAsia" w:ascii="宋体" w:hAnsi="宋体"/>
                <w:color w:val="0C0C0C"/>
                <w:sz w:val="21"/>
                <w:szCs w:val="21"/>
                <w:highlight w:val="none"/>
              </w:rPr>
              <w:t>中标通知书发出后</w:t>
            </w:r>
            <w:r>
              <w:rPr>
                <w:rFonts w:hint="eastAsia" w:ascii="宋体" w:hAnsi="宋体"/>
                <w:color w:val="0C0C0C"/>
                <w:sz w:val="21"/>
                <w:szCs w:val="21"/>
                <w:highlight w:val="none"/>
                <w:lang w:val="en-US" w:eastAsia="zh-CN"/>
              </w:rPr>
              <w:t>30</w:t>
            </w:r>
            <w:r>
              <w:rPr>
                <w:rFonts w:hint="eastAsia" w:ascii="宋体" w:hAnsi="宋体"/>
                <w:color w:val="0C0C0C"/>
                <w:sz w:val="21"/>
                <w:szCs w:val="21"/>
                <w:highlight w:val="none"/>
              </w:rPr>
              <w:t>日内。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869"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color w:val="0D0D0D"/>
                <w:sz w:val="21"/>
                <w:szCs w:val="21"/>
                <w:highlight w:val="none"/>
              </w:rPr>
            </w:pPr>
            <w:r>
              <w:rPr>
                <w:rFonts w:hint="eastAsia" w:ascii="宋体" w:hAnsi="宋体"/>
                <w:color w:val="0C0C0C"/>
                <w:sz w:val="21"/>
                <w:szCs w:val="21"/>
                <w:highlight w:val="none"/>
                <w:lang w:val="en-US" w:eastAsia="zh-CN"/>
              </w:rPr>
              <w:t>14</w:t>
            </w:r>
          </w:p>
        </w:tc>
        <w:tc>
          <w:tcPr>
            <w:tcW w:w="837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spacing w:line="360" w:lineRule="auto"/>
              <w:textAlignment w:val="bottom"/>
              <w:rPr>
                <w:rFonts w:ascii="宋体" w:hAnsi="宋体"/>
                <w:color w:val="0D0D0D"/>
                <w:sz w:val="21"/>
                <w:szCs w:val="21"/>
                <w:highlight w:val="none"/>
              </w:rPr>
            </w:pPr>
            <w:r>
              <w:rPr>
                <w:rFonts w:hint="eastAsia" w:ascii="宋体" w:hAnsi="宋体"/>
                <w:color w:val="0D0D0D"/>
                <w:sz w:val="21"/>
                <w:szCs w:val="21"/>
                <w:highlight w:val="none"/>
              </w:rPr>
              <w:t>履约保证金的收取及退还</w:t>
            </w:r>
            <w:r>
              <w:rPr>
                <w:rFonts w:ascii="宋体" w:hAnsi="宋体"/>
                <w:color w:val="0D0D0D"/>
                <w:sz w:val="21"/>
                <w:szCs w:val="21"/>
                <w:highlight w:val="none"/>
              </w:rPr>
              <w:t>:</w:t>
            </w:r>
            <w:r>
              <w:rPr>
                <w:rFonts w:hint="eastAsia" w:ascii="宋体" w:hAnsi="宋体"/>
                <w:color w:val="0C0C0C"/>
                <w:sz w:val="21"/>
                <w:szCs w:val="21"/>
                <w:highlight w:val="none"/>
                <w:lang w:val="en-US" w:eastAsia="zh-CN"/>
              </w:rPr>
              <w:t>中标人</w:t>
            </w:r>
            <w:r>
              <w:rPr>
                <w:rFonts w:hint="eastAsia" w:ascii="宋体" w:hAnsi="宋体"/>
                <w:color w:val="0C0C0C"/>
                <w:sz w:val="21"/>
                <w:szCs w:val="21"/>
                <w:highlight w:val="none"/>
              </w:rPr>
              <w:t>在合同签订前向</w:t>
            </w:r>
            <w:r>
              <w:rPr>
                <w:rFonts w:hint="eastAsia" w:ascii="宋体" w:hAnsi="宋体"/>
                <w:color w:val="0C0C0C"/>
                <w:sz w:val="21"/>
                <w:szCs w:val="21"/>
                <w:highlight w:val="none"/>
                <w:lang w:val="en-US" w:eastAsia="zh-CN"/>
              </w:rPr>
              <w:t>招标人</w:t>
            </w:r>
            <w:r>
              <w:rPr>
                <w:rFonts w:hint="eastAsia" w:ascii="宋体" w:hAnsi="宋体"/>
                <w:color w:val="0C0C0C"/>
                <w:sz w:val="21"/>
                <w:szCs w:val="21"/>
                <w:highlight w:val="none"/>
              </w:rPr>
              <w:t>交纳中标价5%的履约保证金，在合同履行完毕（验收合格且付清全部货款）后</w:t>
            </w:r>
            <w:r>
              <w:rPr>
                <w:rFonts w:hint="eastAsia" w:ascii="宋体" w:hAnsi="宋体"/>
                <w:color w:val="0C0C0C"/>
                <w:sz w:val="21"/>
                <w:szCs w:val="21"/>
                <w:highlight w:val="none"/>
                <w:lang w:val="en-US" w:eastAsia="zh-CN"/>
              </w:rPr>
              <w:t>及时</w:t>
            </w:r>
            <w:r>
              <w:rPr>
                <w:rFonts w:hint="eastAsia" w:ascii="宋体" w:hAnsi="宋体"/>
                <w:color w:val="0C0C0C"/>
                <w:sz w:val="21"/>
                <w:szCs w:val="21"/>
                <w:highlight w:val="none"/>
              </w:rPr>
              <w:t>退还。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exact"/>
        </w:trPr>
        <w:tc>
          <w:tcPr>
            <w:tcW w:w="869"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color w:val="0D0D0D"/>
                <w:sz w:val="21"/>
                <w:szCs w:val="21"/>
                <w:highlight w:val="none"/>
              </w:rPr>
            </w:pPr>
            <w:r>
              <w:rPr>
                <w:rFonts w:hint="eastAsia" w:ascii="宋体" w:hAnsi="宋体"/>
                <w:color w:val="0C0C0C"/>
                <w:sz w:val="21"/>
                <w:szCs w:val="21"/>
                <w:highlight w:val="none"/>
                <w:lang w:val="en-US" w:eastAsia="zh-CN"/>
              </w:rPr>
              <w:t>15</w:t>
            </w:r>
          </w:p>
        </w:tc>
        <w:tc>
          <w:tcPr>
            <w:tcW w:w="837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spacing w:line="360" w:lineRule="auto"/>
              <w:textAlignment w:val="bottom"/>
              <w:rPr>
                <w:rFonts w:ascii="宋体" w:hAnsi="宋体"/>
                <w:color w:val="0D0D0D"/>
                <w:sz w:val="21"/>
                <w:szCs w:val="21"/>
                <w:highlight w:val="none"/>
              </w:rPr>
            </w:pPr>
            <w:r>
              <w:rPr>
                <w:rFonts w:hint="eastAsia" w:ascii="宋体" w:hAnsi="宋体"/>
                <w:color w:val="0D0D0D"/>
                <w:sz w:val="21"/>
                <w:szCs w:val="21"/>
                <w:highlight w:val="none"/>
              </w:rPr>
              <w:t>采购资金来源：自筹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exact"/>
        </w:trPr>
        <w:tc>
          <w:tcPr>
            <w:tcW w:w="869"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color w:val="0D0D0D"/>
                <w:sz w:val="21"/>
                <w:szCs w:val="21"/>
                <w:highlight w:val="none"/>
              </w:rPr>
            </w:pPr>
            <w:r>
              <w:rPr>
                <w:rFonts w:hint="eastAsia" w:ascii="宋体" w:hAnsi="宋体"/>
                <w:color w:val="0C0C0C"/>
                <w:sz w:val="21"/>
                <w:szCs w:val="21"/>
                <w:highlight w:val="none"/>
                <w:lang w:val="en-US" w:eastAsia="zh-CN"/>
              </w:rPr>
              <w:t>16</w:t>
            </w:r>
          </w:p>
        </w:tc>
        <w:tc>
          <w:tcPr>
            <w:tcW w:w="837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spacing w:line="360" w:lineRule="auto"/>
              <w:textAlignment w:val="bottom"/>
              <w:rPr>
                <w:rFonts w:ascii="宋体" w:hAnsi="宋体"/>
                <w:color w:val="0D0D0D"/>
                <w:sz w:val="21"/>
                <w:szCs w:val="21"/>
                <w:highlight w:val="none"/>
              </w:rPr>
            </w:pPr>
            <w:r>
              <w:rPr>
                <w:rFonts w:hint="eastAsia" w:ascii="宋体" w:hAnsi="宋体"/>
                <w:color w:val="0D0D0D"/>
                <w:sz w:val="21"/>
                <w:szCs w:val="21"/>
                <w:highlight w:val="none"/>
              </w:rPr>
              <w:t>付款方式：</w:t>
            </w:r>
            <w:r>
              <w:rPr>
                <w:rFonts w:hint="eastAsia" w:ascii="宋体" w:hAnsi="宋体"/>
                <w:color w:val="0D0D0D"/>
                <w:sz w:val="21"/>
                <w:szCs w:val="21"/>
                <w:highlight w:val="none"/>
                <w:lang w:val="en-US" w:eastAsia="zh-CN"/>
              </w:rPr>
              <w:t>招标人</w:t>
            </w:r>
            <w:r>
              <w:rPr>
                <w:rFonts w:hint="eastAsia" w:ascii="宋体" w:hAnsi="宋体"/>
                <w:color w:val="0D0D0D"/>
                <w:sz w:val="21"/>
                <w:szCs w:val="21"/>
                <w:highlight w:val="none"/>
              </w:rPr>
              <w:t>自行支付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51" w:hRule="exact"/>
        </w:trPr>
        <w:tc>
          <w:tcPr>
            <w:tcW w:w="869" w:type="dxa"/>
            <w:tcBorders>
              <w:top w:val="single" w:color="auto" w:sz="4" w:space="0"/>
              <w:left w:val="single" w:color="auto" w:sz="4" w:space="0"/>
              <w:bottom w:val="single" w:color="auto" w:sz="4" w:space="0"/>
              <w:right w:val="single" w:color="auto" w:sz="4" w:space="0"/>
            </w:tcBorders>
            <w:noWrap w:val="0"/>
            <w:vAlign w:val="center"/>
          </w:tcPr>
          <w:p>
            <w:pPr>
              <w:pStyle w:val="12"/>
              <w:adjustRightInd w:val="0"/>
              <w:snapToGrid w:val="0"/>
              <w:spacing w:line="360" w:lineRule="auto"/>
              <w:ind w:firstLine="210" w:firstLineChars="100"/>
              <w:rPr>
                <w:rFonts w:hint="eastAsia" w:ascii="宋体" w:hAnsi="宋体"/>
                <w:color w:val="0D0D0D"/>
                <w:sz w:val="21"/>
                <w:szCs w:val="21"/>
                <w:highlight w:val="none"/>
              </w:rPr>
            </w:pPr>
            <w:r>
              <w:rPr>
                <w:rFonts w:hint="eastAsia" w:ascii="宋体" w:hAnsi="宋体" w:eastAsia="宋体" w:cs="Times New Roman"/>
                <w:color w:val="0C0C0C"/>
                <w:kern w:val="2"/>
                <w:sz w:val="21"/>
                <w:szCs w:val="21"/>
                <w:highlight w:val="none"/>
                <w:lang w:val="en-US" w:eastAsia="zh-CN" w:bidi="ar-SA"/>
              </w:rPr>
              <w:t>17</w:t>
            </w:r>
          </w:p>
        </w:tc>
        <w:tc>
          <w:tcPr>
            <w:tcW w:w="8371" w:type="dxa"/>
            <w:tcBorders>
              <w:top w:val="single" w:color="auto" w:sz="4" w:space="0"/>
              <w:left w:val="single" w:color="auto" w:sz="4" w:space="0"/>
              <w:bottom w:val="single" w:color="auto" w:sz="4" w:space="0"/>
              <w:right w:val="single" w:color="auto" w:sz="4" w:space="0"/>
            </w:tcBorders>
            <w:noWrap w:val="0"/>
            <w:vAlign w:val="center"/>
          </w:tcPr>
          <w:p>
            <w:pPr>
              <w:pStyle w:val="12"/>
              <w:adjustRightInd w:val="0"/>
              <w:snapToGrid w:val="0"/>
              <w:spacing w:line="360" w:lineRule="auto"/>
              <w:ind w:firstLine="0"/>
              <w:rPr>
                <w:rFonts w:hint="eastAsia" w:ascii="宋体" w:hAnsi="宋体"/>
                <w:color w:val="0D0D0D"/>
                <w:szCs w:val="21"/>
                <w:highlight w:val="none"/>
              </w:rPr>
            </w:pPr>
            <w:r>
              <w:rPr>
                <w:rFonts w:hint="eastAsia" w:ascii="宋体" w:hAnsi="宋体"/>
                <w:color w:val="0D0D0D"/>
                <w:szCs w:val="21"/>
                <w:highlight w:val="none"/>
              </w:rPr>
              <w:t>投标文件递交要求：</w:t>
            </w:r>
          </w:p>
          <w:p>
            <w:pPr>
              <w:pStyle w:val="12"/>
              <w:adjustRightInd w:val="0"/>
              <w:snapToGrid w:val="0"/>
              <w:spacing w:line="360" w:lineRule="auto"/>
              <w:ind w:firstLine="0"/>
              <w:rPr>
                <w:rFonts w:hint="eastAsia" w:ascii="宋体" w:hAnsi="宋体" w:eastAsia="宋体" w:cs="Times New Roman"/>
                <w:color w:val="0C0C0C"/>
                <w:kern w:val="2"/>
                <w:sz w:val="21"/>
                <w:szCs w:val="21"/>
                <w:highlight w:val="none"/>
                <w:lang w:val="en-US" w:eastAsia="zh-CN" w:bidi="ar-SA"/>
              </w:rPr>
            </w:pPr>
            <w:r>
              <w:rPr>
                <w:rFonts w:hint="eastAsia" w:ascii="宋体" w:hAnsi="宋体" w:eastAsia="宋体" w:cs="Times New Roman"/>
                <w:color w:val="0C0C0C"/>
                <w:kern w:val="2"/>
                <w:sz w:val="21"/>
                <w:szCs w:val="21"/>
                <w:highlight w:val="none"/>
                <w:lang w:val="en-US" w:eastAsia="zh-CN" w:bidi="ar-SA"/>
              </w:rPr>
              <w:t>1、投标人无需到开标现场，电子投标文件上传至台州湾新区小额工程电子交易平台。如遇有问题的请联系蔡先生，13454667697；王女士，13757680207。</w:t>
            </w:r>
          </w:p>
          <w:p>
            <w:pPr>
              <w:pStyle w:val="12"/>
              <w:adjustRightInd w:val="0"/>
              <w:snapToGrid w:val="0"/>
              <w:spacing w:line="360" w:lineRule="auto"/>
              <w:ind w:firstLine="0"/>
              <w:rPr>
                <w:rFonts w:hint="eastAsia" w:ascii="宋体" w:hAnsi="宋体" w:eastAsia="宋体" w:cs="Times New Roman"/>
                <w:color w:val="0C0C0C"/>
                <w:kern w:val="2"/>
                <w:sz w:val="21"/>
                <w:szCs w:val="21"/>
                <w:highlight w:val="none"/>
                <w:lang w:val="en-US" w:eastAsia="zh-CN" w:bidi="ar-SA"/>
              </w:rPr>
            </w:pPr>
            <w:r>
              <w:rPr>
                <w:rFonts w:hint="eastAsia" w:ascii="宋体" w:hAnsi="宋体" w:eastAsia="宋体" w:cs="Times New Roman"/>
                <w:color w:val="0C0C0C"/>
                <w:kern w:val="2"/>
                <w:sz w:val="21"/>
                <w:szCs w:val="21"/>
                <w:highlight w:val="none"/>
                <w:lang w:val="en-US" w:eastAsia="zh-CN" w:bidi="ar-SA"/>
              </w:rPr>
              <w:t>2、电子投标文件上传步骤：</w:t>
            </w:r>
          </w:p>
          <w:p>
            <w:pPr>
              <w:pStyle w:val="12"/>
              <w:adjustRightInd w:val="0"/>
              <w:snapToGrid w:val="0"/>
              <w:spacing w:line="360" w:lineRule="auto"/>
              <w:ind w:firstLine="0"/>
              <w:rPr>
                <w:rFonts w:hint="eastAsia" w:ascii="宋体" w:hAnsi="宋体" w:eastAsia="宋体" w:cs="Times New Roman"/>
                <w:color w:val="0C0C0C"/>
                <w:kern w:val="2"/>
                <w:sz w:val="21"/>
                <w:szCs w:val="21"/>
                <w:highlight w:val="none"/>
                <w:lang w:val="en-US" w:eastAsia="zh-CN" w:bidi="ar-SA"/>
              </w:rPr>
            </w:pPr>
            <w:r>
              <w:rPr>
                <w:rFonts w:hint="eastAsia" w:ascii="宋体" w:hAnsi="宋体" w:eastAsia="宋体" w:cs="Times New Roman"/>
                <w:color w:val="0C0C0C"/>
                <w:kern w:val="2"/>
                <w:sz w:val="21"/>
                <w:szCs w:val="21"/>
                <w:highlight w:val="none"/>
                <w:lang w:val="en-US" w:eastAsia="zh-CN" w:bidi="ar-SA"/>
              </w:rPr>
              <w:t>1) 台州湾新区小额工程电子交易平台（网址：http://www.tzwztb.com/）；</w:t>
            </w:r>
          </w:p>
          <w:p>
            <w:pPr>
              <w:pStyle w:val="12"/>
              <w:adjustRightInd w:val="0"/>
              <w:snapToGrid w:val="0"/>
              <w:spacing w:line="360" w:lineRule="auto"/>
              <w:ind w:firstLine="0"/>
              <w:rPr>
                <w:rFonts w:hint="eastAsia" w:ascii="宋体" w:hAnsi="宋体" w:eastAsia="宋体" w:cs="Times New Roman"/>
                <w:color w:val="0C0C0C"/>
                <w:kern w:val="2"/>
                <w:sz w:val="21"/>
                <w:szCs w:val="21"/>
                <w:highlight w:val="none"/>
                <w:lang w:val="en-US" w:eastAsia="zh-CN" w:bidi="ar-SA"/>
              </w:rPr>
            </w:pPr>
            <w:r>
              <w:rPr>
                <w:rFonts w:hint="eastAsia" w:ascii="宋体" w:hAnsi="宋体" w:eastAsia="宋体" w:cs="Times New Roman"/>
                <w:color w:val="0C0C0C"/>
                <w:kern w:val="2"/>
                <w:sz w:val="21"/>
                <w:szCs w:val="21"/>
                <w:highlight w:val="none"/>
                <w:lang w:val="en-US" w:eastAsia="zh-CN" w:bidi="ar-SA"/>
              </w:rPr>
              <w:t>2) 投标人应提前办好ca锁（办理网址：http://www.tseal.cn/tcloud/common.xhtml?projId=295），绑定平台账户。</w:t>
            </w:r>
          </w:p>
          <w:p>
            <w:pPr>
              <w:pStyle w:val="12"/>
              <w:adjustRightInd w:val="0"/>
              <w:snapToGrid w:val="0"/>
              <w:spacing w:line="360" w:lineRule="auto"/>
              <w:ind w:firstLine="0" w:firstLineChars="0"/>
              <w:rPr>
                <w:rFonts w:hint="eastAsia" w:ascii="宋体" w:hAnsi="宋体"/>
                <w:color w:val="0D0D0D"/>
                <w:szCs w:val="24"/>
                <w:highlight w:val="none"/>
              </w:rPr>
            </w:pPr>
            <w:r>
              <w:rPr>
                <w:rFonts w:hint="eastAsia" w:ascii="宋体" w:hAnsi="宋体"/>
                <w:color w:val="0D0D0D"/>
                <w:szCs w:val="24"/>
                <w:highlight w:val="none"/>
              </w:rPr>
              <w:t>3)缴纳保证金（或购买、上传电子保函）后，点击“电子投标文件制作工具”，进入制作页面，签章并加密上传电子投标文件。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2" w:hRule="exact"/>
        </w:trPr>
        <w:tc>
          <w:tcPr>
            <w:tcW w:w="869"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eastAsia="宋体" w:cs="Times New Roman"/>
                <w:color w:val="0C0C0C"/>
                <w:kern w:val="2"/>
                <w:sz w:val="21"/>
                <w:szCs w:val="21"/>
                <w:highlight w:val="none"/>
                <w:lang w:val="en-US" w:eastAsia="zh-CN" w:bidi="ar-SA"/>
              </w:rPr>
            </w:pPr>
            <w:r>
              <w:rPr>
                <w:rFonts w:hint="eastAsia" w:ascii="宋体" w:hAnsi="宋体"/>
                <w:color w:val="0C0C0C"/>
                <w:sz w:val="21"/>
                <w:szCs w:val="21"/>
                <w:highlight w:val="none"/>
                <w:lang w:val="en-US" w:eastAsia="zh-CN"/>
              </w:rPr>
              <w:t>18</w:t>
            </w:r>
          </w:p>
        </w:tc>
        <w:tc>
          <w:tcPr>
            <w:tcW w:w="8371" w:type="dxa"/>
            <w:tcBorders>
              <w:top w:val="single" w:color="auto" w:sz="4" w:space="0"/>
              <w:left w:val="single" w:color="auto" w:sz="4" w:space="0"/>
              <w:bottom w:val="single" w:color="auto" w:sz="4" w:space="0"/>
              <w:right w:val="single" w:color="auto" w:sz="4" w:space="0"/>
            </w:tcBorders>
            <w:noWrap w:val="0"/>
            <w:vAlign w:val="center"/>
          </w:tcPr>
          <w:p>
            <w:pPr>
              <w:pStyle w:val="12"/>
              <w:adjustRightInd w:val="0"/>
              <w:snapToGrid w:val="0"/>
              <w:spacing w:line="360" w:lineRule="auto"/>
              <w:ind w:firstLine="0" w:firstLineChars="0"/>
              <w:rPr>
                <w:rFonts w:hint="eastAsia" w:ascii="宋体" w:hAnsi="宋体" w:eastAsia="宋体" w:cs="Times New Roman"/>
                <w:color w:val="0C0C0C"/>
                <w:kern w:val="2"/>
                <w:sz w:val="21"/>
                <w:szCs w:val="21"/>
                <w:highlight w:val="none"/>
                <w:lang w:val="en-US" w:eastAsia="zh-CN" w:bidi="ar-SA"/>
              </w:rPr>
            </w:pPr>
            <w:r>
              <w:rPr>
                <w:rFonts w:hint="eastAsia" w:ascii="宋体" w:hAnsi="宋体" w:eastAsia="宋体" w:cs="Times New Roman"/>
                <w:color w:val="0C0C0C"/>
                <w:kern w:val="2"/>
                <w:sz w:val="21"/>
                <w:szCs w:val="21"/>
                <w:highlight w:val="none"/>
                <w:lang w:val="en-US" w:eastAsia="zh-CN" w:bidi="ar-SA"/>
              </w:rPr>
              <w:t>本工程为电子招投标，电子投标文件格式中注明盖章的，均应按要求使用CA锁加盖公章和法定代表人/经营者章。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exact"/>
        </w:trPr>
        <w:tc>
          <w:tcPr>
            <w:tcW w:w="869"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color w:val="0D0D0D"/>
                <w:sz w:val="21"/>
                <w:szCs w:val="21"/>
                <w:highlight w:val="none"/>
              </w:rPr>
            </w:pPr>
            <w:r>
              <w:rPr>
                <w:rFonts w:hint="eastAsia" w:ascii="宋体" w:hAnsi="宋体"/>
                <w:color w:val="0C0C0C"/>
                <w:sz w:val="21"/>
                <w:szCs w:val="21"/>
                <w:highlight w:val="none"/>
                <w:lang w:val="en-US" w:eastAsia="zh-CN"/>
              </w:rPr>
              <w:t>19</w:t>
            </w:r>
          </w:p>
        </w:tc>
        <w:tc>
          <w:tcPr>
            <w:tcW w:w="837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spacing w:line="360" w:lineRule="auto"/>
              <w:textAlignment w:val="bottom"/>
              <w:rPr>
                <w:rFonts w:ascii="宋体" w:hAnsi="宋体"/>
                <w:color w:val="0D0D0D"/>
                <w:sz w:val="21"/>
                <w:szCs w:val="21"/>
                <w:highlight w:val="none"/>
              </w:rPr>
            </w:pPr>
            <w:r>
              <w:rPr>
                <w:rFonts w:hint="eastAsia" w:ascii="宋体" w:hAnsi="宋体"/>
                <w:color w:val="0D0D0D"/>
                <w:sz w:val="21"/>
                <w:szCs w:val="21"/>
                <w:highlight w:val="none"/>
              </w:rPr>
              <w:t>报价文件有效期：90天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exact"/>
        </w:trPr>
        <w:tc>
          <w:tcPr>
            <w:tcW w:w="869"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color w:val="0D0D0D"/>
                <w:sz w:val="21"/>
                <w:szCs w:val="21"/>
                <w:highlight w:val="none"/>
              </w:rPr>
            </w:pPr>
            <w:r>
              <w:rPr>
                <w:rFonts w:hint="eastAsia" w:ascii="宋体" w:hAnsi="宋体"/>
                <w:color w:val="0C0C0C"/>
                <w:sz w:val="21"/>
                <w:szCs w:val="21"/>
                <w:highlight w:val="none"/>
                <w:lang w:val="en-US" w:eastAsia="zh-CN"/>
              </w:rPr>
              <w:t>20</w:t>
            </w:r>
          </w:p>
        </w:tc>
        <w:tc>
          <w:tcPr>
            <w:tcW w:w="837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spacing w:line="360" w:lineRule="auto"/>
              <w:textAlignment w:val="bottom"/>
              <w:rPr>
                <w:rFonts w:ascii="宋体" w:hAnsi="宋体"/>
                <w:color w:val="0D0D0D"/>
                <w:sz w:val="21"/>
                <w:szCs w:val="21"/>
                <w:highlight w:val="none"/>
              </w:rPr>
            </w:pPr>
            <w:r>
              <w:rPr>
                <w:rFonts w:hint="eastAsia" w:ascii="宋体" w:hAnsi="宋体"/>
                <w:color w:val="0D0D0D"/>
                <w:sz w:val="21"/>
                <w:szCs w:val="21"/>
                <w:highlight w:val="none"/>
              </w:rPr>
              <w:t>解释：本招标文件的解释权属于招标采购单位。</w:t>
            </w:r>
          </w:p>
        </w:tc>
      </w:tr>
    </w:tbl>
    <w:p>
      <w:pPr>
        <w:pStyle w:val="28"/>
        <w:snapToGrid w:val="0"/>
        <w:spacing w:before="120" w:beforeLines="0" w:after="120" w:afterLines="0" w:line="360" w:lineRule="auto"/>
        <w:rPr>
          <w:rFonts w:hAnsi="宋体"/>
          <w:b/>
          <w:color w:val="0D0D0D"/>
          <w:sz w:val="30"/>
          <w:szCs w:val="30"/>
          <w:highlight w:val="none"/>
        </w:rPr>
      </w:pPr>
      <w:r>
        <w:rPr>
          <w:color w:val="0D0D0D"/>
          <w:highlight w:val="none"/>
        </w:rPr>
        <w:br w:type="page"/>
      </w:r>
      <w:r>
        <w:rPr>
          <w:rFonts w:hAnsi="宋体"/>
          <w:b/>
          <w:color w:val="0D0D0D"/>
          <w:sz w:val="30"/>
          <w:szCs w:val="30"/>
          <w:highlight w:val="none"/>
        </w:rPr>
        <w:t>一   总  则</w:t>
      </w:r>
    </w:p>
    <w:p>
      <w:pPr>
        <w:snapToGrid w:val="0"/>
        <w:spacing w:line="360" w:lineRule="auto"/>
        <w:ind w:firstLine="472" w:firstLineChars="196"/>
        <w:jc w:val="left"/>
        <w:outlineLvl w:val="1"/>
        <w:rPr>
          <w:rFonts w:ascii="宋体" w:hAnsi="宋体"/>
          <w:b/>
          <w:color w:val="0D0D0D"/>
          <w:sz w:val="24"/>
          <w:szCs w:val="20"/>
          <w:highlight w:val="none"/>
        </w:rPr>
      </w:pPr>
      <w:r>
        <w:rPr>
          <w:rFonts w:hint="eastAsia" w:ascii="宋体" w:hAnsi="宋体"/>
          <w:b/>
          <w:color w:val="0D0D0D"/>
          <w:sz w:val="24"/>
          <w:highlight w:val="none"/>
        </w:rPr>
        <w:t>（一）</w:t>
      </w:r>
      <w:r>
        <w:rPr>
          <w:rFonts w:ascii="宋体" w:hAnsi="宋体"/>
          <w:b/>
          <w:color w:val="0D0D0D"/>
          <w:sz w:val="24"/>
          <w:highlight w:val="none"/>
        </w:rPr>
        <w:t xml:space="preserve"> 适用范围</w:t>
      </w:r>
    </w:p>
    <w:p>
      <w:pPr>
        <w:snapToGrid w:val="0"/>
        <w:spacing w:line="360" w:lineRule="auto"/>
        <w:ind w:firstLine="480" w:firstLineChars="200"/>
        <w:jc w:val="left"/>
        <w:rPr>
          <w:rFonts w:ascii="宋体" w:hAnsi="宋体"/>
          <w:color w:val="0D0D0D"/>
          <w:sz w:val="24"/>
          <w:highlight w:val="none"/>
        </w:rPr>
      </w:pPr>
      <w:r>
        <w:rPr>
          <w:rFonts w:hint="eastAsia" w:ascii="宋体" w:hAnsi="宋体"/>
          <w:color w:val="0D0D0D"/>
          <w:sz w:val="24"/>
          <w:highlight w:val="none"/>
        </w:rPr>
        <w:t>本招标文件适用于本项目的招标、投标、评标、定标、验收、合同履约、付款等行为（法律、法规另有规定的，从其规定）。</w:t>
      </w:r>
    </w:p>
    <w:p>
      <w:pPr>
        <w:snapToGrid w:val="0"/>
        <w:spacing w:before="120" w:beforeLines="50" w:line="360" w:lineRule="auto"/>
        <w:ind w:firstLine="354" w:firstLineChars="147"/>
        <w:jc w:val="left"/>
        <w:outlineLvl w:val="1"/>
        <w:rPr>
          <w:rFonts w:ascii="宋体" w:hAnsi="宋体"/>
          <w:b/>
          <w:color w:val="0D0D0D"/>
          <w:sz w:val="24"/>
          <w:szCs w:val="20"/>
          <w:highlight w:val="none"/>
        </w:rPr>
      </w:pPr>
      <w:r>
        <w:rPr>
          <w:rFonts w:hint="eastAsia" w:ascii="宋体" w:hAnsi="宋体"/>
          <w:b/>
          <w:color w:val="0D0D0D"/>
          <w:sz w:val="24"/>
          <w:highlight w:val="none"/>
        </w:rPr>
        <w:t>（二）定义</w:t>
      </w:r>
    </w:p>
    <w:p>
      <w:pPr>
        <w:snapToGrid w:val="0"/>
        <w:spacing w:line="360" w:lineRule="auto"/>
        <w:ind w:firstLine="480" w:firstLineChars="200"/>
        <w:jc w:val="left"/>
        <w:rPr>
          <w:rFonts w:ascii="宋体" w:hAnsi="宋体"/>
          <w:color w:val="0D0D0D"/>
          <w:sz w:val="24"/>
          <w:szCs w:val="20"/>
          <w:highlight w:val="none"/>
        </w:rPr>
      </w:pPr>
      <w:r>
        <w:rPr>
          <w:rFonts w:ascii="宋体" w:hAnsi="宋体"/>
          <w:color w:val="0D0D0D"/>
          <w:sz w:val="24"/>
          <w:highlight w:val="none"/>
        </w:rPr>
        <w:t>1</w:t>
      </w:r>
      <w:r>
        <w:rPr>
          <w:rFonts w:hint="eastAsia" w:ascii="宋体" w:hAnsi="宋体"/>
          <w:color w:val="0D0D0D"/>
          <w:sz w:val="24"/>
          <w:highlight w:val="none"/>
        </w:rPr>
        <w:t>.</w:t>
      </w:r>
      <w:r>
        <w:rPr>
          <w:rFonts w:ascii="宋体" w:hAnsi="宋体"/>
          <w:color w:val="0D0D0D"/>
          <w:sz w:val="24"/>
          <w:highlight w:val="none"/>
        </w:rPr>
        <w:t>招标采购单位系指组织本次招标的代理机构（“</w:t>
      </w:r>
      <w:r>
        <w:rPr>
          <w:rFonts w:hint="eastAsia" w:ascii="宋体" w:hAnsi="宋体"/>
          <w:color w:val="0D0D0D"/>
          <w:sz w:val="24"/>
          <w:highlight w:val="none"/>
          <w:lang w:val="en-US" w:eastAsia="zh-CN"/>
        </w:rPr>
        <w:t>招标人</w:t>
      </w:r>
      <w:r>
        <w:rPr>
          <w:rFonts w:ascii="宋体" w:hAnsi="宋体"/>
          <w:color w:val="0D0D0D"/>
          <w:sz w:val="24"/>
          <w:highlight w:val="none"/>
        </w:rPr>
        <w:t>”）和采购单位。</w:t>
      </w:r>
    </w:p>
    <w:p>
      <w:pPr>
        <w:snapToGrid w:val="0"/>
        <w:spacing w:line="360" w:lineRule="auto"/>
        <w:ind w:firstLine="480" w:firstLineChars="200"/>
        <w:jc w:val="left"/>
        <w:rPr>
          <w:rFonts w:ascii="宋体" w:hAnsi="宋体"/>
          <w:color w:val="0D0D0D"/>
          <w:sz w:val="24"/>
          <w:szCs w:val="20"/>
          <w:highlight w:val="none"/>
        </w:rPr>
      </w:pPr>
      <w:r>
        <w:rPr>
          <w:rFonts w:ascii="宋体" w:hAnsi="宋体"/>
          <w:color w:val="0D0D0D"/>
          <w:sz w:val="24"/>
          <w:highlight w:val="none"/>
        </w:rPr>
        <w:t>2</w:t>
      </w:r>
      <w:r>
        <w:rPr>
          <w:rFonts w:hint="eastAsia" w:ascii="宋体" w:hAnsi="宋体"/>
          <w:color w:val="0D0D0D"/>
          <w:sz w:val="24"/>
          <w:highlight w:val="none"/>
        </w:rPr>
        <w:t>.“</w:t>
      </w:r>
      <w:r>
        <w:rPr>
          <w:rFonts w:ascii="宋体" w:hAnsi="宋体"/>
          <w:color w:val="0D0D0D"/>
          <w:sz w:val="24"/>
          <w:highlight w:val="none"/>
        </w:rPr>
        <w:t>投标人”系指向招标方提交报价文件的单位或个人。</w:t>
      </w:r>
    </w:p>
    <w:p>
      <w:pPr>
        <w:snapToGrid w:val="0"/>
        <w:spacing w:line="360" w:lineRule="auto"/>
        <w:ind w:firstLine="480" w:firstLineChars="200"/>
        <w:jc w:val="left"/>
        <w:rPr>
          <w:rFonts w:ascii="宋体" w:hAnsi="宋体"/>
          <w:color w:val="0D0D0D"/>
          <w:sz w:val="24"/>
          <w:szCs w:val="20"/>
          <w:highlight w:val="none"/>
        </w:rPr>
      </w:pPr>
      <w:r>
        <w:rPr>
          <w:rFonts w:ascii="宋体" w:hAnsi="宋体"/>
          <w:color w:val="0D0D0D"/>
          <w:sz w:val="24"/>
          <w:highlight w:val="none"/>
        </w:rPr>
        <w:t>3</w:t>
      </w:r>
      <w:r>
        <w:rPr>
          <w:rFonts w:hint="eastAsia" w:ascii="宋体" w:hAnsi="宋体"/>
          <w:color w:val="0D0D0D"/>
          <w:sz w:val="24"/>
          <w:highlight w:val="none"/>
        </w:rPr>
        <w:t>.</w:t>
      </w:r>
      <w:r>
        <w:rPr>
          <w:rFonts w:ascii="宋体" w:hAnsi="宋体"/>
          <w:color w:val="0D0D0D"/>
          <w:sz w:val="24"/>
          <w:highlight w:val="none"/>
        </w:rPr>
        <w:t>“产品”系指供方按</w:t>
      </w:r>
      <w:r>
        <w:rPr>
          <w:rFonts w:hint="eastAsia" w:ascii="宋体" w:hAnsi="宋体"/>
          <w:color w:val="0D0D0D"/>
          <w:sz w:val="24"/>
          <w:highlight w:val="none"/>
        </w:rPr>
        <w:t>招标文件</w:t>
      </w:r>
      <w:r>
        <w:rPr>
          <w:rFonts w:ascii="宋体" w:hAnsi="宋体"/>
          <w:color w:val="0D0D0D"/>
          <w:sz w:val="24"/>
          <w:highlight w:val="none"/>
        </w:rPr>
        <w:t>规定，须向</w:t>
      </w:r>
      <w:r>
        <w:rPr>
          <w:rFonts w:hint="eastAsia" w:ascii="宋体" w:hAnsi="宋体"/>
          <w:color w:val="0D0D0D"/>
          <w:sz w:val="24"/>
          <w:highlight w:val="none"/>
          <w:lang w:val="en-US" w:eastAsia="zh-CN"/>
        </w:rPr>
        <w:t>招标人</w:t>
      </w:r>
      <w:r>
        <w:rPr>
          <w:rFonts w:ascii="宋体" w:hAnsi="宋体"/>
          <w:color w:val="0D0D0D"/>
          <w:sz w:val="24"/>
          <w:highlight w:val="none"/>
        </w:rPr>
        <w:t>提供的一切材料采购、保险、税金、备品备件、工具、手册及其它有关技术资料和材料。</w:t>
      </w:r>
    </w:p>
    <w:p>
      <w:pPr>
        <w:snapToGrid w:val="0"/>
        <w:spacing w:line="360" w:lineRule="auto"/>
        <w:ind w:firstLine="480" w:firstLineChars="200"/>
        <w:jc w:val="left"/>
        <w:rPr>
          <w:rFonts w:ascii="宋体" w:hAnsi="宋体"/>
          <w:color w:val="0D0D0D"/>
          <w:sz w:val="24"/>
          <w:szCs w:val="20"/>
          <w:highlight w:val="none"/>
        </w:rPr>
      </w:pPr>
      <w:r>
        <w:rPr>
          <w:rFonts w:ascii="宋体" w:hAnsi="宋体"/>
          <w:color w:val="0D0D0D"/>
          <w:sz w:val="24"/>
          <w:highlight w:val="none"/>
        </w:rPr>
        <w:t>4</w:t>
      </w:r>
      <w:r>
        <w:rPr>
          <w:rFonts w:hint="eastAsia" w:ascii="宋体" w:hAnsi="宋体"/>
          <w:color w:val="0D0D0D"/>
          <w:sz w:val="24"/>
          <w:highlight w:val="none"/>
        </w:rPr>
        <w:t>.</w:t>
      </w:r>
      <w:r>
        <w:rPr>
          <w:rFonts w:ascii="宋体" w:hAnsi="宋体"/>
          <w:color w:val="0D0D0D"/>
          <w:sz w:val="24"/>
          <w:highlight w:val="none"/>
        </w:rPr>
        <w:t>“服务”系指</w:t>
      </w:r>
      <w:r>
        <w:rPr>
          <w:rFonts w:hint="eastAsia" w:ascii="宋体" w:hAnsi="宋体"/>
          <w:color w:val="0D0D0D"/>
          <w:sz w:val="24"/>
          <w:highlight w:val="none"/>
        </w:rPr>
        <w:t>招标文件</w:t>
      </w:r>
      <w:r>
        <w:rPr>
          <w:rFonts w:ascii="宋体" w:hAnsi="宋体"/>
          <w:color w:val="0D0D0D"/>
          <w:sz w:val="24"/>
          <w:highlight w:val="none"/>
        </w:rPr>
        <w:t>规定投标人须承担的安装、调试、技术协助、校准、培训、技术指导以及其他类似的义务。</w:t>
      </w:r>
    </w:p>
    <w:p>
      <w:pPr>
        <w:snapToGrid w:val="0"/>
        <w:spacing w:line="360" w:lineRule="auto"/>
        <w:ind w:firstLine="480" w:firstLineChars="200"/>
        <w:jc w:val="left"/>
        <w:rPr>
          <w:rFonts w:ascii="宋体" w:hAnsi="宋体"/>
          <w:color w:val="0D0D0D"/>
          <w:sz w:val="24"/>
          <w:szCs w:val="20"/>
          <w:highlight w:val="none"/>
        </w:rPr>
      </w:pPr>
      <w:r>
        <w:rPr>
          <w:rFonts w:ascii="宋体" w:hAnsi="宋体"/>
          <w:color w:val="0D0D0D"/>
          <w:sz w:val="24"/>
          <w:highlight w:val="none"/>
        </w:rPr>
        <w:t>5</w:t>
      </w:r>
      <w:r>
        <w:rPr>
          <w:rFonts w:hint="eastAsia" w:ascii="宋体" w:hAnsi="宋体"/>
          <w:color w:val="0D0D0D"/>
          <w:sz w:val="24"/>
          <w:highlight w:val="none"/>
        </w:rPr>
        <w:t>.</w:t>
      </w:r>
      <w:r>
        <w:rPr>
          <w:rFonts w:ascii="宋体" w:hAnsi="宋体"/>
          <w:color w:val="0D0D0D"/>
          <w:sz w:val="24"/>
          <w:highlight w:val="none"/>
        </w:rPr>
        <w:t>“项目”系指投标人按</w:t>
      </w:r>
      <w:r>
        <w:rPr>
          <w:rFonts w:hint="eastAsia" w:ascii="宋体" w:hAnsi="宋体"/>
          <w:color w:val="0D0D0D"/>
          <w:sz w:val="24"/>
          <w:highlight w:val="none"/>
        </w:rPr>
        <w:t>招标文件</w:t>
      </w:r>
      <w:r>
        <w:rPr>
          <w:rFonts w:ascii="宋体" w:hAnsi="宋体"/>
          <w:color w:val="0D0D0D"/>
          <w:sz w:val="24"/>
          <w:highlight w:val="none"/>
        </w:rPr>
        <w:t>规定向</w:t>
      </w:r>
      <w:r>
        <w:rPr>
          <w:rFonts w:hint="eastAsia" w:ascii="宋体" w:hAnsi="宋体"/>
          <w:color w:val="0D0D0D"/>
          <w:sz w:val="24"/>
          <w:highlight w:val="none"/>
          <w:lang w:val="en-US" w:eastAsia="zh-CN"/>
        </w:rPr>
        <w:t>招标人</w:t>
      </w:r>
      <w:r>
        <w:rPr>
          <w:rFonts w:ascii="宋体" w:hAnsi="宋体"/>
          <w:color w:val="0D0D0D"/>
          <w:sz w:val="24"/>
          <w:highlight w:val="none"/>
        </w:rPr>
        <w:t>提供的产品和服务。</w:t>
      </w:r>
    </w:p>
    <w:p>
      <w:pPr>
        <w:snapToGrid w:val="0"/>
        <w:spacing w:line="360" w:lineRule="auto"/>
        <w:ind w:firstLine="480" w:firstLineChars="200"/>
        <w:jc w:val="left"/>
        <w:rPr>
          <w:rFonts w:ascii="宋体" w:hAnsi="宋体"/>
          <w:color w:val="0D0D0D"/>
          <w:sz w:val="24"/>
          <w:szCs w:val="20"/>
          <w:highlight w:val="none"/>
        </w:rPr>
      </w:pPr>
      <w:r>
        <w:rPr>
          <w:rFonts w:ascii="宋体" w:hAnsi="宋体"/>
          <w:color w:val="0D0D0D"/>
          <w:sz w:val="24"/>
          <w:highlight w:val="none"/>
        </w:rPr>
        <w:t>6</w:t>
      </w:r>
      <w:r>
        <w:rPr>
          <w:rFonts w:hint="eastAsia" w:ascii="宋体" w:hAnsi="宋体"/>
          <w:color w:val="0D0D0D"/>
          <w:sz w:val="24"/>
          <w:highlight w:val="none"/>
        </w:rPr>
        <w:t>.</w:t>
      </w:r>
      <w:r>
        <w:rPr>
          <w:rFonts w:ascii="宋体" w:hAnsi="宋体"/>
          <w:color w:val="0D0D0D"/>
          <w:sz w:val="24"/>
          <w:highlight w:val="none"/>
        </w:rPr>
        <w:t>“书面形式”包括信函、传真、电报等。</w:t>
      </w:r>
    </w:p>
    <w:p>
      <w:pPr>
        <w:snapToGrid w:val="0"/>
        <w:spacing w:line="360" w:lineRule="auto"/>
        <w:ind w:firstLine="480" w:firstLineChars="200"/>
        <w:jc w:val="left"/>
        <w:rPr>
          <w:rFonts w:hint="eastAsia" w:ascii="宋体" w:hAnsi="宋体"/>
          <w:color w:val="0D0D0D"/>
          <w:sz w:val="24"/>
          <w:szCs w:val="20"/>
          <w:highlight w:val="none"/>
        </w:rPr>
      </w:pPr>
      <w:r>
        <w:rPr>
          <w:rFonts w:ascii="宋体" w:hAnsi="宋体"/>
          <w:color w:val="0D0D0D"/>
          <w:sz w:val="24"/>
          <w:highlight w:val="none"/>
        </w:rPr>
        <w:t>7</w:t>
      </w:r>
      <w:r>
        <w:rPr>
          <w:rFonts w:hint="eastAsia" w:ascii="宋体" w:hAnsi="宋体"/>
          <w:color w:val="0D0D0D"/>
          <w:sz w:val="24"/>
          <w:highlight w:val="none"/>
        </w:rPr>
        <w:t>.</w:t>
      </w:r>
      <w:r>
        <w:rPr>
          <w:rFonts w:ascii="宋体" w:hAnsi="宋体"/>
          <w:color w:val="0D0D0D"/>
          <w:sz w:val="24"/>
          <w:highlight w:val="none"/>
        </w:rPr>
        <w:t>“▲”系指实质性要求条款。</w:t>
      </w:r>
    </w:p>
    <w:p>
      <w:pPr>
        <w:snapToGrid w:val="0"/>
        <w:spacing w:before="120" w:beforeLines="50" w:line="360" w:lineRule="auto"/>
        <w:ind w:firstLine="472" w:firstLineChars="196"/>
        <w:jc w:val="left"/>
        <w:outlineLvl w:val="1"/>
        <w:rPr>
          <w:rFonts w:ascii="宋体" w:hAnsi="宋体"/>
          <w:b/>
          <w:color w:val="0D0D0D"/>
          <w:sz w:val="24"/>
          <w:szCs w:val="20"/>
          <w:highlight w:val="none"/>
        </w:rPr>
      </w:pPr>
      <w:r>
        <w:rPr>
          <w:rFonts w:hint="eastAsia" w:ascii="宋体" w:hAnsi="宋体"/>
          <w:b/>
          <w:color w:val="0D0D0D"/>
          <w:sz w:val="24"/>
          <w:highlight w:val="none"/>
        </w:rPr>
        <w:t>（三）招标方式</w:t>
      </w:r>
    </w:p>
    <w:p>
      <w:pPr>
        <w:snapToGrid w:val="0"/>
        <w:spacing w:line="360" w:lineRule="auto"/>
        <w:ind w:firstLine="480" w:firstLineChars="200"/>
        <w:jc w:val="left"/>
        <w:rPr>
          <w:rFonts w:ascii="宋体" w:hAnsi="宋体"/>
          <w:color w:val="0D0D0D"/>
          <w:sz w:val="24"/>
          <w:szCs w:val="20"/>
          <w:highlight w:val="none"/>
        </w:rPr>
      </w:pPr>
      <w:r>
        <w:rPr>
          <w:rFonts w:ascii="宋体" w:hAnsi="宋体"/>
          <w:color w:val="0D0D0D"/>
          <w:sz w:val="24"/>
          <w:highlight w:val="none"/>
        </w:rPr>
        <w:t>本次招标采用</w:t>
      </w:r>
      <w:r>
        <w:rPr>
          <w:rFonts w:hint="eastAsia" w:ascii="宋体" w:hAnsi="宋体"/>
          <w:color w:val="0D0D0D"/>
          <w:sz w:val="24"/>
          <w:highlight w:val="none"/>
        </w:rPr>
        <w:t>公开招标的</w:t>
      </w:r>
      <w:r>
        <w:rPr>
          <w:rFonts w:ascii="宋体" w:hAnsi="宋体"/>
          <w:color w:val="0D0D0D"/>
          <w:sz w:val="24"/>
          <w:highlight w:val="none"/>
        </w:rPr>
        <w:t>方式进行。</w:t>
      </w:r>
    </w:p>
    <w:p>
      <w:pPr>
        <w:snapToGrid w:val="0"/>
        <w:spacing w:before="120" w:beforeLines="50" w:line="360" w:lineRule="auto"/>
        <w:ind w:firstLine="472" w:firstLineChars="196"/>
        <w:jc w:val="left"/>
        <w:outlineLvl w:val="1"/>
        <w:rPr>
          <w:rFonts w:ascii="宋体" w:hAnsi="宋体"/>
          <w:b/>
          <w:color w:val="0D0D0D"/>
          <w:sz w:val="24"/>
          <w:szCs w:val="20"/>
          <w:highlight w:val="none"/>
        </w:rPr>
      </w:pPr>
      <w:r>
        <w:rPr>
          <w:rFonts w:hint="eastAsia" w:ascii="宋体" w:hAnsi="宋体"/>
          <w:b/>
          <w:color w:val="0D0D0D"/>
          <w:sz w:val="24"/>
          <w:highlight w:val="none"/>
        </w:rPr>
        <w:t>（四）投标委托</w:t>
      </w:r>
    </w:p>
    <w:p>
      <w:pPr>
        <w:snapToGrid w:val="0"/>
        <w:spacing w:line="360" w:lineRule="auto"/>
        <w:ind w:firstLine="480" w:firstLineChars="200"/>
        <w:jc w:val="left"/>
        <w:rPr>
          <w:rFonts w:hint="eastAsia" w:ascii="宋体" w:hAnsi="宋体" w:eastAsia="宋体" w:cs="Times New Roman"/>
          <w:color w:val="0D0D0D"/>
          <w:sz w:val="24"/>
          <w:highlight w:val="none"/>
        </w:rPr>
      </w:pPr>
      <w:r>
        <w:rPr>
          <w:rFonts w:ascii="宋体" w:hAnsi="宋体" w:eastAsia="宋体" w:cs="Times New Roman"/>
          <w:color w:val="0D0D0D"/>
          <w:sz w:val="24"/>
          <w:highlight w:val="none"/>
        </w:rPr>
        <w:t>投标人代表须</w:t>
      </w:r>
      <w:r>
        <w:rPr>
          <w:rFonts w:hint="eastAsia" w:ascii="宋体" w:hAnsi="宋体" w:eastAsia="宋体" w:cs="Times New Roman"/>
          <w:color w:val="0D0D0D"/>
          <w:sz w:val="24"/>
          <w:highlight w:val="none"/>
        </w:rPr>
        <w:t>提供</w:t>
      </w:r>
      <w:r>
        <w:rPr>
          <w:rFonts w:ascii="宋体" w:hAnsi="宋体" w:eastAsia="宋体" w:cs="Times New Roman"/>
          <w:color w:val="0D0D0D"/>
          <w:sz w:val="24"/>
          <w:highlight w:val="none"/>
        </w:rPr>
        <w:t>有效身份证件。如投标人代表不是法定代表人</w:t>
      </w:r>
      <w:r>
        <w:rPr>
          <w:rFonts w:hint="eastAsia" w:ascii="宋体" w:hAnsi="宋体" w:eastAsia="宋体" w:cs="Times New Roman"/>
          <w:color w:val="0D0D0D"/>
          <w:sz w:val="24"/>
          <w:highlight w:val="none"/>
          <w:lang w:val="en-US" w:eastAsia="zh-CN"/>
        </w:rPr>
        <w:t>/经营者</w:t>
      </w:r>
      <w:r>
        <w:rPr>
          <w:rFonts w:ascii="宋体" w:hAnsi="宋体" w:eastAsia="宋体" w:cs="Times New Roman"/>
          <w:color w:val="0D0D0D"/>
          <w:sz w:val="24"/>
          <w:highlight w:val="none"/>
        </w:rPr>
        <w:t>，须有法定代表人</w:t>
      </w:r>
      <w:r>
        <w:rPr>
          <w:rFonts w:hint="eastAsia" w:ascii="宋体" w:hAnsi="宋体" w:eastAsia="宋体" w:cs="Times New Roman"/>
          <w:color w:val="0D0D0D"/>
          <w:sz w:val="24"/>
          <w:highlight w:val="none"/>
          <w:lang w:val="en-US" w:eastAsia="zh-CN"/>
        </w:rPr>
        <w:t>/经营者</w:t>
      </w:r>
      <w:r>
        <w:rPr>
          <w:rFonts w:ascii="宋体" w:hAnsi="宋体" w:eastAsia="宋体" w:cs="Times New Roman"/>
          <w:color w:val="0D0D0D"/>
          <w:sz w:val="24"/>
          <w:highlight w:val="none"/>
        </w:rPr>
        <w:t>出具的授权委托书</w:t>
      </w:r>
      <w:r>
        <w:rPr>
          <w:rFonts w:hint="eastAsia" w:ascii="宋体" w:hAnsi="宋体" w:eastAsia="宋体" w:cs="Times New Roman"/>
          <w:color w:val="0D0D0D"/>
          <w:sz w:val="24"/>
          <w:highlight w:val="none"/>
        </w:rPr>
        <w:t>。</w:t>
      </w:r>
    </w:p>
    <w:p>
      <w:pPr>
        <w:snapToGrid w:val="0"/>
        <w:spacing w:before="120" w:beforeLines="50" w:line="360" w:lineRule="auto"/>
        <w:ind w:firstLine="472" w:firstLineChars="196"/>
        <w:jc w:val="left"/>
        <w:outlineLvl w:val="1"/>
        <w:rPr>
          <w:rFonts w:hint="eastAsia" w:ascii="宋体" w:hAnsi="宋体" w:eastAsia="宋体" w:cs="Times New Roman"/>
          <w:b/>
          <w:color w:val="0D0D0D"/>
          <w:sz w:val="24"/>
          <w:highlight w:val="none"/>
        </w:rPr>
      </w:pPr>
      <w:r>
        <w:rPr>
          <w:rFonts w:hint="eastAsia" w:ascii="宋体" w:hAnsi="宋体" w:eastAsia="宋体" w:cs="Times New Roman"/>
          <w:b/>
          <w:color w:val="0D0D0D"/>
          <w:sz w:val="24"/>
          <w:highlight w:val="none"/>
        </w:rPr>
        <w:t>（五）投标费用</w:t>
      </w:r>
    </w:p>
    <w:p>
      <w:pPr>
        <w:snapToGrid w:val="0"/>
        <w:spacing w:line="360" w:lineRule="auto"/>
        <w:ind w:firstLine="480" w:firstLineChars="200"/>
        <w:jc w:val="left"/>
        <w:rPr>
          <w:rFonts w:ascii="宋体" w:hAnsi="宋体"/>
          <w:color w:val="0D0D0D"/>
          <w:sz w:val="24"/>
          <w:szCs w:val="20"/>
          <w:highlight w:val="none"/>
        </w:rPr>
      </w:pPr>
      <w:r>
        <w:rPr>
          <w:rFonts w:hint="eastAsia" w:ascii="宋体" w:hAnsi="宋体"/>
          <w:color w:val="0D0D0D"/>
          <w:sz w:val="24"/>
          <w:highlight w:val="none"/>
        </w:rPr>
        <w:t>不论投标结果如何，投标人均应自行承担所有与投标有关的全部费用（招标文件有相反规定除外）。</w:t>
      </w:r>
    </w:p>
    <w:p>
      <w:pPr>
        <w:snapToGrid w:val="0"/>
        <w:spacing w:before="120" w:beforeLines="50" w:line="360" w:lineRule="auto"/>
        <w:ind w:firstLine="472" w:firstLineChars="196"/>
        <w:jc w:val="left"/>
        <w:rPr>
          <w:rFonts w:ascii="宋体" w:hAnsi="宋体"/>
          <w:b/>
          <w:color w:val="0D0D0D"/>
          <w:sz w:val="24"/>
          <w:szCs w:val="20"/>
          <w:highlight w:val="none"/>
        </w:rPr>
      </w:pPr>
      <w:r>
        <w:rPr>
          <w:rFonts w:hint="eastAsia" w:ascii="宋体" w:hAnsi="宋体"/>
          <w:b/>
          <w:color w:val="0D0D0D"/>
          <w:sz w:val="24"/>
          <w:highlight w:val="none"/>
        </w:rPr>
        <w:t>（六）联合体投标</w:t>
      </w:r>
    </w:p>
    <w:p>
      <w:pPr>
        <w:snapToGrid w:val="0"/>
        <w:spacing w:line="360" w:lineRule="auto"/>
        <w:ind w:firstLine="720" w:firstLineChars="300"/>
        <w:jc w:val="left"/>
        <w:rPr>
          <w:rFonts w:hint="eastAsia" w:ascii="宋体" w:hAnsi="宋体" w:cs="Arial"/>
          <w:color w:val="0D0D0D"/>
          <w:sz w:val="24"/>
          <w:highlight w:val="none"/>
        </w:rPr>
      </w:pPr>
      <w:r>
        <w:rPr>
          <w:rFonts w:hint="eastAsia" w:ascii="宋体" w:hAnsi="宋体" w:cs="Arial"/>
          <w:color w:val="0D0D0D"/>
          <w:sz w:val="24"/>
          <w:highlight w:val="none"/>
        </w:rPr>
        <w:t>本项目不接受联合体投标</w:t>
      </w:r>
      <w:r>
        <w:rPr>
          <w:rFonts w:hint="eastAsia" w:ascii="宋体" w:hAnsi="宋体" w:cs="Arial"/>
          <w:color w:val="auto"/>
          <w:sz w:val="24"/>
          <w:highlight w:val="none"/>
        </w:rPr>
        <w:t>（与资格要求对应）</w:t>
      </w:r>
      <w:r>
        <w:rPr>
          <w:rFonts w:hint="eastAsia" w:ascii="宋体" w:hAnsi="宋体" w:cs="Arial"/>
          <w:color w:val="0D0D0D"/>
          <w:sz w:val="24"/>
          <w:highlight w:val="none"/>
        </w:rPr>
        <w:t>。</w:t>
      </w:r>
    </w:p>
    <w:p>
      <w:pPr>
        <w:snapToGrid w:val="0"/>
        <w:spacing w:before="120" w:beforeLines="50" w:line="360" w:lineRule="auto"/>
        <w:ind w:firstLine="472" w:firstLineChars="196"/>
        <w:rPr>
          <w:rFonts w:ascii="宋体" w:hAnsi="宋体" w:cs="宋体"/>
          <w:b/>
          <w:color w:val="0D0D0D"/>
          <w:kern w:val="0"/>
          <w:sz w:val="24"/>
          <w:szCs w:val="20"/>
          <w:highlight w:val="none"/>
        </w:rPr>
      </w:pPr>
      <w:r>
        <w:rPr>
          <w:rFonts w:hint="eastAsia" w:ascii="宋体" w:hAnsi="宋体"/>
          <w:b/>
          <w:color w:val="0D0D0D"/>
          <w:sz w:val="24"/>
          <w:highlight w:val="none"/>
        </w:rPr>
        <w:t>（七）</w:t>
      </w:r>
      <w:r>
        <w:rPr>
          <w:rFonts w:hint="eastAsia" w:ascii="宋体" w:hAnsi="宋体" w:cs="宋体"/>
          <w:b/>
          <w:color w:val="0D0D0D"/>
          <w:kern w:val="0"/>
          <w:sz w:val="24"/>
          <w:highlight w:val="none"/>
        </w:rPr>
        <w:t>转包与分包</w:t>
      </w:r>
    </w:p>
    <w:p>
      <w:pPr>
        <w:snapToGrid w:val="0"/>
        <w:spacing w:before="156" w:beforeLines="50" w:line="360" w:lineRule="auto"/>
        <w:ind w:firstLine="470" w:firstLineChars="196"/>
        <w:jc w:val="left"/>
        <w:outlineLvl w:val="1"/>
        <w:rPr>
          <w:rFonts w:hint="eastAsia" w:ascii="宋体" w:hAnsi="宋体" w:cs="宋体"/>
          <w:color w:val="0C0C0C"/>
          <w:kern w:val="0"/>
          <w:sz w:val="24"/>
          <w:highlight w:val="none"/>
        </w:rPr>
      </w:pPr>
      <w:r>
        <w:rPr>
          <w:rFonts w:hint="eastAsia" w:ascii="宋体" w:hAnsi="宋体" w:cs="宋体"/>
          <w:color w:val="0C0C0C"/>
          <w:kern w:val="0"/>
          <w:sz w:val="24"/>
          <w:highlight w:val="none"/>
        </w:rPr>
        <w:t>未经</w:t>
      </w:r>
      <w:r>
        <w:rPr>
          <w:rFonts w:hint="eastAsia" w:ascii="宋体" w:hAnsi="宋体"/>
          <w:color w:val="0D0D0D"/>
          <w:sz w:val="24"/>
          <w:highlight w:val="none"/>
          <w:lang w:val="en-US" w:eastAsia="zh-CN"/>
        </w:rPr>
        <w:t>招标人</w:t>
      </w:r>
      <w:r>
        <w:rPr>
          <w:rFonts w:hint="eastAsia" w:ascii="宋体" w:hAnsi="宋体" w:cs="宋体"/>
          <w:color w:val="0C0C0C"/>
          <w:kern w:val="0"/>
          <w:sz w:val="24"/>
          <w:highlight w:val="none"/>
        </w:rPr>
        <w:t>同意，本项目不允许转包与分包。</w:t>
      </w:r>
    </w:p>
    <w:p>
      <w:pPr>
        <w:snapToGrid w:val="0"/>
        <w:spacing w:before="120" w:beforeLines="50" w:line="360" w:lineRule="auto"/>
        <w:ind w:firstLine="472" w:firstLineChars="196"/>
        <w:jc w:val="left"/>
        <w:outlineLvl w:val="1"/>
        <w:rPr>
          <w:rFonts w:hint="eastAsia" w:ascii="宋体" w:hAnsi="宋体"/>
          <w:b/>
          <w:color w:val="auto"/>
          <w:sz w:val="24"/>
          <w:highlight w:val="none"/>
        </w:rPr>
      </w:pPr>
      <w:r>
        <w:rPr>
          <w:rFonts w:hint="eastAsia" w:ascii="宋体" w:hAnsi="宋体"/>
          <w:b/>
          <w:color w:val="auto"/>
          <w:sz w:val="24"/>
          <w:highlight w:val="none"/>
        </w:rPr>
        <w:t>（八）特别说明：</w:t>
      </w:r>
    </w:p>
    <w:p>
      <w:pPr>
        <w:pStyle w:val="28"/>
        <w:snapToGrid w:val="0"/>
        <w:spacing w:before="120" w:beforeLines="0" w:after="120" w:afterLines="0" w:line="360" w:lineRule="auto"/>
        <w:ind w:firstLine="480" w:firstLineChars="200"/>
        <w:rPr>
          <w:rFonts w:ascii="宋体" w:hAnsi="宋体" w:eastAsia="宋体" w:cs="Times New Roman"/>
          <w:bCs/>
          <w:color w:val="0D0D0D"/>
          <w:highlight w:val="none"/>
        </w:rPr>
      </w:pPr>
      <w:r>
        <w:rPr>
          <w:rFonts w:hint="eastAsia" w:hAnsi="宋体" w:eastAsia="宋体" w:cs="Times New Roman"/>
          <w:bCs/>
          <w:color w:val="0D0D0D"/>
          <w:highlight w:val="none"/>
          <w:lang w:val="en-US" w:eastAsia="zh-CN"/>
        </w:rPr>
        <w:t>1</w:t>
      </w:r>
      <w:r>
        <w:rPr>
          <w:rFonts w:hint="eastAsia" w:ascii="宋体" w:hAnsi="宋体" w:eastAsia="宋体" w:cs="Times New Roman"/>
          <w:bCs/>
          <w:color w:val="0D0D0D"/>
          <w:highlight w:val="none"/>
        </w:rPr>
        <w:t>、</w:t>
      </w:r>
      <w:r>
        <w:rPr>
          <w:rFonts w:ascii="宋体" w:hAnsi="宋体" w:eastAsia="宋体" w:cs="Times New Roman"/>
          <w:bCs/>
          <w:color w:val="0D0D0D"/>
          <w:highlight w:val="none"/>
        </w:rPr>
        <w:t>投标人投标所使用的资格、信誉、荣誉、业绩与企业认证必须为本法人所拥有。投标人投标所使用的采购项目实施人员必须为本法人员工（或必须为本法人或控股公司正式员工）。</w:t>
      </w:r>
    </w:p>
    <w:p>
      <w:pPr>
        <w:pStyle w:val="28"/>
        <w:snapToGrid w:val="0"/>
        <w:spacing w:before="120" w:beforeLines="0" w:after="120" w:afterLines="0" w:line="360" w:lineRule="auto"/>
        <w:ind w:firstLine="480" w:firstLineChars="200"/>
        <w:rPr>
          <w:rFonts w:ascii="宋体" w:hAnsi="宋体" w:eastAsia="宋体" w:cs="Times New Roman"/>
          <w:bCs/>
          <w:color w:val="0D0D0D"/>
          <w:highlight w:val="none"/>
        </w:rPr>
      </w:pPr>
      <w:r>
        <w:rPr>
          <w:rFonts w:hint="eastAsia" w:hAnsi="宋体" w:eastAsia="宋体" w:cs="Times New Roman"/>
          <w:bCs/>
          <w:color w:val="0D0D0D"/>
          <w:highlight w:val="none"/>
          <w:lang w:val="en-US" w:eastAsia="zh-CN"/>
        </w:rPr>
        <w:t>2</w:t>
      </w:r>
      <w:r>
        <w:rPr>
          <w:rFonts w:hint="eastAsia" w:ascii="宋体" w:hAnsi="宋体" w:eastAsia="宋体" w:cs="Times New Roman"/>
          <w:bCs/>
          <w:color w:val="0D0D0D"/>
          <w:highlight w:val="none"/>
        </w:rPr>
        <w:t>、</w:t>
      </w:r>
      <w:r>
        <w:rPr>
          <w:rFonts w:ascii="宋体" w:hAnsi="宋体" w:eastAsia="宋体" w:cs="Times New Roman"/>
          <w:bCs/>
          <w:color w:val="0D0D0D"/>
          <w:highlight w:val="none"/>
        </w:rPr>
        <w:t>投标人应仔细阅读招标文件的所有内容，按照招标文件的要求提交投标文件，并对所提供的全部资料的真实性承担法律责任。</w:t>
      </w:r>
    </w:p>
    <w:p>
      <w:pPr>
        <w:pStyle w:val="28"/>
        <w:snapToGrid w:val="0"/>
        <w:spacing w:before="120" w:beforeLines="0" w:after="120" w:afterLines="0" w:line="360" w:lineRule="auto"/>
        <w:ind w:firstLine="472" w:firstLineChars="196"/>
        <w:outlineLvl w:val="1"/>
        <w:rPr>
          <w:rFonts w:hAnsi="宋体"/>
          <w:b/>
          <w:bCs/>
          <w:color w:val="0D0D0D"/>
          <w:highlight w:val="none"/>
        </w:rPr>
      </w:pPr>
      <w:r>
        <w:rPr>
          <w:rFonts w:hAnsi="宋体"/>
          <w:b/>
          <w:bCs/>
          <w:color w:val="0D0D0D"/>
          <w:highlight w:val="none"/>
        </w:rPr>
        <w:t>（</w:t>
      </w:r>
      <w:r>
        <w:rPr>
          <w:rFonts w:hint="eastAsia" w:hAnsi="宋体"/>
          <w:b/>
          <w:bCs/>
          <w:color w:val="0D0D0D"/>
          <w:highlight w:val="none"/>
          <w:lang w:val="en-US" w:eastAsia="zh-CN"/>
        </w:rPr>
        <w:t>九</w:t>
      </w:r>
      <w:r>
        <w:rPr>
          <w:rFonts w:hAnsi="宋体"/>
          <w:b/>
          <w:bCs/>
          <w:color w:val="0D0D0D"/>
          <w:highlight w:val="none"/>
        </w:rPr>
        <w:t>）质疑和投诉</w:t>
      </w:r>
    </w:p>
    <w:p>
      <w:pPr>
        <w:pStyle w:val="28"/>
        <w:snapToGrid w:val="0"/>
        <w:spacing w:line="360" w:lineRule="auto"/>
        <w:ind w:left="3" w:leftChars="1" w:firstLine="480" w:firstLineChars="200"/>
        <w:rPr>
          <w:rFonts w:hint="eastAsia" w:hAnsi="宋体"/>
          <w:highlight w:val="none"/>
        </w:rPr>
      </w:pPr>
      <w:r>
        <w:rPr>
          <w:rFonts w:hint="eastAsia" w:hAnsi="宋体"/>
          <w:highlight w:val="none"/>
        </w:rPr>
        <w:t>1.投标人认为</w:t>
      </w:r>
      <w:r>
        <w:rPr>
          <w:rFonts w:hAnsi="宋体"/>
          <w:highlight w:val="none"/>
        </w:rPr>
        <w:t>招标投标活动不符合法律、行政法规规定的，可以</w:t>
      </w:r>
      <w:r>
        <w:rPr>
          <w:rFonts w:hint="eastAsia" w:hAnsi="宋体"/>
          <w:highlight w:val="none"/>
        </w:rPr>
        <w:t>自知道或者应当知道之日起10日内向有关行政监督部门提出（附相关有效证明材料）。属于《中华人民共和国招标投标法实施条例》第二十二条、第四十四条、第五十四条规定事项投诉的，应当以书面形式向</w:t>
      </w:r>
      <w:r>
        <w:rPr>
          <w:rFonts w:hint="eastAsia" w:ascii="宋体" w:hAnsi="宋体"/>
          <w:color w:val="0D0D0D"/>
          <w:sz w:val="24"/>
          <w:highlight w:val="none"/>
          <w:lang w:val="en-US" w:eastAsia="zh-CN"/>
        </w:rPr>
        <w:t>招标人</w:t>
      </w:r>
      <w:r>
        <w:rPr>
          <w:rFonts w:hint="eastAsia" w:hAnsi="宋体"/>
          <w:highlight w:val="none"/>
        </w:rPr>
        <w:t>、采购代理机构提出（附相关有效证明材料），</w:t>
      </w:r>
      <w:r>
        <w:rPr>
          <w:rFonts w:hint="eastAsia" w:ascii="宋体" w:hAnsi="宋体"/>
          <w:color w:val="0D0D0D"/>
          <w:sz w:val="24"/>
          <w:highlight w:val="none"/>
          <w:lang w:val="en-US" w:eastAsia="zh-CN"/>
        </w:rPr>
        <w:t>招标人</w:t>
      </w:r>
      <w:r>
        <w:rPr>
          <w:rFonts w:hint="eastAsia" w:hAnsi="宋体"/>
          <w:highlight w:val="none"/>
        </w:rPr>
        <w:t>、采购代理机构应给予答复。投标人对答复不服或认为采购代理机构有违反有关规定及其他弄虚作假情形的，可在接到答复之日起3日内向招标监管机构书面申请核查，并提交相关材料。</w:t>
      </w:r>
    </w:p>
    <w:p>
      <w:pPr>
        <w:pStyle w:val="28"/>
        <w:snapToGrid w:val="0"/>
        <w:spacing w:line="360" w:lineRule="auto"/>
        <w:ind w:firstLine="480" w:firstLineChars="200"/>
        <w:rPr>
          <w:rFonts w:hAnsi="宋体"/>
          <w:bCs/>
          <w:highlight w:val="none"/>
        </w:rPr>
      </w:pPr>
      <w:r>
        <w:rPr>
          <w:rFonts w:hint="eastAsia" w:hAnsi="宋体" w:cs="宋体"/>
          <w:bCs/>
          <w:highlight w:val="none"/>
        </w:rPr>
        <w:t>2.质疑、投诉应当采用书面形式，质疑书、投诉书均应明确阐述招标文件、招标过程或中标结果中使自己合法权益受到损害的实质性内容，提供相关事实、依据和证据及其来源或线索，便于有关单位调查、答复和处理。</w:t>
      </w:r>
    </w:p>
    <w:p>
      <w:pPr>
        <w:pStyle w:val="28"/>
        <w:snapToGrid w:val="0"/>
        <w:spacing w:before="120" w:beforeLines="0" w:after="120" w:afterLines="0" w:line="360" w:lineRule="auto"/>
        <w:ind w:firstLine="551" w:firstLineChars="196"/>
        <w:outlineLvl w:val="0"/>
        <w:rPr>
          <w:rFonts w:hAnsi="宋体"/>
          <w:b/>
          <w:color w:val="0D0D0D"/>
          <w:sz w:val="28"/>
          <w:szCs w:val="28"/>
          <w:highlight w:val="none"/>
        </w:rPr>
      </w:pPr>
      <w:r>
        <w:rPr>
          <w:rFonts w:hAnsi="宋体"/>
          <w:b/>
          <w:color w:val="0D0D0D"/>
          <w:sz w:val="28"/>
          <w:szCs w:val="28"/>
          <w:highlight w:val="none"/>
        </w:rPr>
        <w:t xml:space="preserve">二  </w:t>
      </w:r>
      <w:r>
        <w:rPr>
          <w:rFonts w:hint="eastAsia" w:hAnsi="宋体"/>
          <w:b/>
          <w:color w:val="0D0D0D"/>
          <w:sz w:val="28"/>
          <w:szCs w:val="28"/>
          <w:highlight w:val="none"/>
        </w:rPr>
        <w:t>招标文件</w:t>
      </w:r>
    </w:p>
    <w:p>
      <w:pPr>
        <w:snapToGrid w:val="0"/>
        <w:spacing w:line="360" w:lineRule="auto"/>
        <w:ind w:firstLine="472" w:firstLineChars="196"/>
        <w:jc w:val="left"/>
        <w:rPr>
          <w:rFonts w:ascii="宋体" w:hAnsi="宋体"/>
          <w:b/>
          <w:color w:val="0D0D0D"/>
          <w:sz w:val="24"/>
          <w:szCs w:val="20"/>
          <w:highlight w:val="none"/>
        </w:rPr>
      </w:pPr>
      <w:r>
        <w:rPr>
          <w:rFonts w:hint="eastAsia" w:ascii="宋体" w:hAnsi="宋体"/>
          <w:b/>
          <w:color w:val="0D0D0D"/>
          <w:sz w:val="24"/>
          <w:highlight w:val="none"/>
        </w:rPr>
        <w:t>（一）招标文件的构成。本招标文件由以下部份组成：</w:t>
      </w:r>
    </w:p>
    <w:p>
      <w:pPr>
        <w:snapToGrid w:val="0"/>
        <w:spacing w:line="360" w:lineRule="auto"/>
        <w:ind w:firstLine="480" w:firstLineChars="200"/>
        <w:jc w:val="left"/>
        <w:rPr>
          <w:rFonts w:ascii="宋体" w:hAnsi="宋体"/>
          <w:color w:val="0D0D0D"/>
          <w:sz w:val="24"/>
          <w:szCs w:val="20"/>
          <w:highlight w:val="none"/>
        </w:rPr>
      </w:pPr>
      <w:r>
        <w:rPr>
          <w:rFonts w:ascii="宋体" w:hAnsi="宋体"/>
          <w:color w:val="0D0D0D"/>
          <w:sz w:val="24"/>
          <w:highlight w:val="none"/>
        </w:rPr>
        <w:t>1</w:t>
      </w:r>
      <w:r>
        <w:rPr>
          <w:rFonts w:hint="eastAsia" w:ascii="宋体" w:hAnsi="宋体"/>
          <w:color w:val="0D0D0D"/>
          <w:sz w:val="24"/>
          <w:highlight w:val="none"/>
        </w:rPr>
        <w:t>.招标公告</w:t>
      </w:r>
    </w:p>
    <w:p>
      <w:pPr>
        <w:snapToGrid w:val="0"/>
        <w:spacing w:line="360" w:lineRule="auto"/>
        <w:ind w:firstLine="480" w:firstLineChars="200"/>
        <w:jc w:val="left"/>
        <w:rPr>
          <w:rFonts w:ascii="宋体" w:hAnsi="宋体"/>
          <w:color w:val="0D0D0D"/>
          <w:sz w:val="24"/>
          <w:szCs w:val="20"/>
          <w:highlight w:val="none"/>
        </w:rPr>
      </w:pPr>
      <w:r>
        <w:rPr>
          <w:rFonts w:ascii="宋体" w:hAnsi="宋体"/>
          <w:color w:val="0D0D0D"/>
          <w:sz w:val="24"/>
          <w:highlight w:val="none"/>
        </w:rPr>
        <w:t>2</w:t>
      </w:r>
      <w:r>
        <w:rPr>
          <w:rFonts w:hint="eastAsia" w:ascii="宋体" w:hAnsi="宋体"/>
          <w:color w:val="0D0D0D"/>
          <w:sz w:val="24"/>
          <w:highlight w:val="none"/>
        </w:rPr>
        <w:t>.</w:t>
      </w:r>
      <w:r>
        <w:rPr>
          <w:rFonts w:ascii="宋体" w:hAnsi="宋体"/>
          <w:color w:val="0D0D0D"/>
          <w:sz w:val="24"/>
          <w:highlight w:val="none"/>
        </w:rPr>
        <w:t>招标需求</w:t>
      </w:r>
    </w:p>
    <w:p>
      <w:pPr>
        <w:snapToGrid w:val="0"/>
        <w:spacing w:line="360" w:lineRule="auto"/>
        <w:ind w:firstLine="480" w:firstLineChars="200"/>
        <w:jc w:val="left"/>
        <w:rPr>
          <w:rFonts w:ascii="宋体" w:hAnsi="宋体"/>
          <w:color w:val="0D0D0D"/>
          <w:sz w:val="24"/>
          <w:szCs w:val="20"/>
          <w:highlight w:val="none"/>
        </w:rPr>
      </w:pPr>
      <w:r>
        <w:rPr>
          <w:rFonts w:ascii="宋体" w:hAnsi="宋体"/>
          <w:color w:val="0D0D0D"/>
          <w:sz w:val="24"/>
          <w:highlight w:val="none"/>
        </w:rPr>
        <w:t>3</w:t>
      </w:r>
      <w:r>
        <w:rPr>
          <w:rFonts w:hint="eastAsia" w:ascii="宋体" w:hAnsi="宋体"/>
          <w:color w:val="0D0D0D"/>
          <w:sz w:val="24"/>
          <w:highlight w:val="none"/>
        </w:rPr>
        <w:t>.</w:t>
      </w:r>
      <w:r>
        <w:rPr>
          <w:rFonts w:ascii="宋体" w:hAnsi="宋体"/>
          <w:color w:val="0D0D0D"/>
          <w:sz w:val="24"/>
          <w:highlight w:val="none"/>
        </w:rPr>
        <w:t>投标人须知</w:t>
      </w:r>
    </w:p>
    <w:p>
      <w:pPr>
        <w:snapToGrid w:val="0"/>
        <w:spacing w:line="360" w:lineRule="auto"/>
        <w:ind w:firstLine="480" w:firstLineChars="200"/>
        <w:jc w:val="left"/>
        <w:rPr>
          <w:rFonts w:ascii="宋体" w:hAnsi="宋体"/>
          <w:color w:val="0D0D0D"/>
          <w:sz w:val="24"/>
          <w:szCs w:val="20"/>
          <w:highlight w:val="none"/>
        </w:rPr>
      </w:pPr>
      <w:r>
        <w:rPr>
          <w:rFonts w:ascii="宋体" w:hAnsi="宋体"/>
          <w:color w:val="0D0D0D"/>
          <w:sz w:val="24"/>
          <w:highlight w:val="none"/>
        </w:rPr>
        <w:t>4</w:t>
      </w:r>
      <w:r>
        <w:rPr>
          <w:rFonts w:hint="eastAsia" w:ascii="宋体" w:hAnsi="宋体"/>
          <w:color w:val="0D0D0D"/>
          <w:sz w:val="24"/>
          <w:highlight w:val="none"/>
        </w:rPr>
        <w:t>.</w:t>
      </w:r>
      <w:r>
        <w:rPr>
          <w:rFonts w:ascii="宋体" w:hAnsi="宋体"/>
          <w:color w:val="0D0D0D"/>
          <w:sz w:val="24"/>
          <w:highlight w:val="none"/>
        </w:rPr>
        <w:t>评标办法及标准</w:t>
      </w:r>
    </w:p>
    <w:p>
      <w:pPr>
        <w:snapToGrid w:val="0"/>
        <w:spacing w:line="360" w:lineRule="auto"/>
        <w:ind w:firstLine="480" w:firstLineChars="200"/>
        <w:jc w:val="left"/>
        <w:rPr>
          <w:rFonts w:ascii="宋体" w:hAnsi="宋体"/>
          <w:color w:val="0D0D0D"/>
          <w:sz w:val="24"/>
          <w:szCs w:val="20"/>
          <w:highlight w:val="none"/>
        </w:rPr>
      </w:pPr>
      <w:r>
        <w:rPr>
          <w:rFonts w:ascii="宋体" w:hAnsi="宋体"/>
          <w:color w:val="0D0D0D"/>
          <w:sz w:val="24"/>
          <w:highlight w:val="none"/>
        </w:rPr>
        <w:t>5</w:t>
      </w:r>
      <w:r>
        <w:rPr>
          <w:rFonts w:hint="eastAsia" w:ascii="宋体" w:hAnsi="宋体"/>
          <w:color w:val="0D0D0D"/>
          <w:sz w:val="24"/>
          <w:highlight w:val="none"/>
        </w:rPr>
        <w:t>.</w:t>
      </w:r>
      <w:r>
        <w:rPr>
          <w:rFonts w:ascii="宋体" w:hAnsi="宋体"/>
          <w:color w:val="0D0D0D"/>
          <w:sz w:val="24"/>
          <w:highlight w:val="none"/>
        </w:rPr>
        <w:t>合同主要条款</w:t>
      </w:r>
    </w:p>
    <w:p>
      <w:pPr>
        <w:snapToGrid w:val="0"/>
        <w:spacing w:line="360" w:lineRule="auto"/>
        <w:ind w:firstLine="480" w:firstLineChars="200"/>
        <w:jc w:val="left"/>
        <w:rPr>
          <w:rFonts w:hint="eastAsia" w:ascii="宋体" w:hAnsi="宋体"/>
          <w:color w:val="0D0D0D"/>
          <w:sz w:val="24"/>
          <w:highlight w:val="none"/>
        </w:rPr>
      </w:pPr>
      <w:r>
        <w:rPr>
          <w:rFonts w:ascii="宋体" w:hAnsi="宋体"/>
          <w:color w:val="0D0D0D"/>
          <w:sz w:val="24"/>
          <w:highlight w:val="none"/>
        </w:rPr>
        <w:t>6</w:t>
      </w:r>
      <w:r>
        <w:rPr>
          <w:rFonts w:hint="eastAsia" w:ascii="宋体" w:hAnsi="宋体"/>
          <w:color w:val="0D0D0D"/>
          <w:sz w:val="24"/>
          <w:highlight w:val="none"/>
        </w:rPr>
        <w:t>.</w:t>
      </w:r>
      <w:r>
        <w:rPr>
          <w:rFonts w:ascii="宋体" w:hAnsi="宋体"/>
          <w:color w:val="0D0D0D"/>
          <w:sz w:val="24"/>
          <w:highlight w:val="none"/>
        </w:rPr>
        <w:t>报价文件格式</w:t>
      </w:r>
    </w:p>
    <w:p>
      <w:pPr>
        <w:snapToGrid w:val="0"/>
        <w:spacing w:line="360" w:lineRule="auto"/>
        <w:ind w:firstLine="480" w:firstLineChars="200"/>
        <w:jc w:val="left"/>
        <w:rPr>
          <w:rFonts w:hint="eastAsia" w:ascii="宋体" w:hAnsi="宋体"/>
          <w:color w:val="0D0D0D"/>
          <w:sz w:val="24"/>
          <w:szCs w:val="20"/>
          <w:highlight w:val="none"/>
        </w:rPr>
      </w:pPr>
      <w:r>
        <w:rPr>
          <w:rFonts w:hint="eastAsia" w:ascii="宋体" w:hAnsi="宋体"/>
          <w:color w:val="0D0D0D"/>
          <w:sz w:val="24"/>
          <w:highlight w:val="none"/>
        </w:rPr>
        <w:t>7.本项目招标文件的</w:t>
      </w:r>
      <w:r>
        <w:rPr>
          <w:rFonts w:ascii="宋体" w:hAnsi="宋体"/>
          <w:color w:val="0D0D0D"/>
          <w:sz w:val="24"/>
          <w:highlight w:val="none"/>
        </w:rPr>
        <w:t>澄清、答复、修改、补充的内容</w:t>
      </w:r>
    </w:p>
    <w:p>
      <w:pPr>
        <w:snapToGrid w:val="0"/>
        <w:spacing w:before="120" w:beforeLines="50" w:line="360" w:lineRule="auto"/>
        <w:ind w:firstLine="472" w:firstLineChars="196"/>
        <w:jc w:val="left"/>
        <w:rPr>
          <w:rFonts w:ascii="宋体" w:hAnsi="宋体"/>
          <w:b/>
          <w:color w:val="0D0D0D"/>
          <w:sz w:val="24"/>
          <w:szCs w:val="20"/>
          <w:highlight w:val="none"/>
        </w:rPr>
      </w:pPr>
      <w:r>
        <w:rPr>
          <w:rFonts w:hint="eastAsia" w:ascii="宋体" w:hAnsi="宋体"/>
          <w:b/>
          <w:color w:val="0D0D0D"/>
          <w:sz w:val="24"/>
          <w:highlight w:val="none"/>
        </w:rPr>
        <w:t>（二）投标人的风险</w:t>
      </w:r>
    </w:p>
    <w:p>
      <w:pPr>
        <w:snapToGrid w:val="0"/>
        <w:spacing w:line="360" w:lineRule="auto"/>
        <w:ind w:firstLine="480" w:firstLineChars="200"/>
        <w:jc w:val="left"/>
        <w:rPr>
          <w:rFonts w:ascii="宋体"/>
          <w:color w:val="0D0D0D"/>
          <w:szCs w:val="20"/>
          <w:highlight w:val="none"/>
        </w:rPr>
      </w:pPr>
      <w:r>
        <w:rPr>
          <w:rFonts w:hint="eastAsia" w:ascii="宋体" w:hAnsi="宋体"/>
          <w:color w:val="0D0D0D"/>
          <w:sz w:val="24"/>
          <w:highlight w:val="none"/>
        </w:rPr>
        <w:t>投标人没有按照招标文件要求提供全部资料，或者投标人没有对招标文件在各方面作出实质性响应是投标人的风险，并可能导致其投标被拒绝。</w:t>
      </w:r>
    </w:p>
    <w:p>
      <w:pPr>
        <w:pStyle w:val="11"/>
        <w:widowControl w:val="0"/>
        <w:tabs>
          <w:tab w:val="clear" w:pos="454"/>
          <w:tab w:val="clear" w:pos="900"/>
        </w:tabs>
        <w:snapToGrid w:val="0"/>
        <w:spacing w:before="120" w:beforeLines="50" w:after="120" w:afterLines="0" w:line="360" w:lineRule="auto"/>
        <w:ind w:left="0" w:firstLine="472" w:firstLineChars="196"/>
        <w:rPr>
          <w:rFonts w:ascii="宋体" w:hAnsi="宋体"/>
          <w:b/>
          <w:color w:val="0D0D0D"/>
          <w:szCs w:val="24"/>
          <w:highlight w:val="none"/>
        </w:rPr>
      </w:pPr>
      <w:r>
        <w:rPr>
          <w:rFonts w:hint="eastAsia" w:ascii="宋体" w:hAnsi="宋体"/>
          <w:b/>
          <w:color w:val="0D0D0D"/>
          <w:szCs w:val="24"/>
          <w:highlight w:val="none"/>
        </w:rPr>
        <w:t>（三）招标文件的澄清与修改</w:t>
      </w:r>
      <w:r>
        <w:rPr>
          <w:rFonts w:ascii="宋体" w:hAnsi="宋体"/>
          <w:b/>
          <w:color w:val="0D0D0D"/>
          <w:szCs w:val="24"/>
          <w:highlight w:val="none"/>
        </w:rPr>
        <w:t xml:space="preserve"> </w:t>
      </w:r>
    </w:p>
    <w:p>
      <w:pPr>
        <w:pStyle w:val="28"/>
        <w:snapToGrid w:val="0"/>
        <w:spacing w:before="120" w:after="120" w:line="360" w:lineRule="auto"/>
        <w:ind w:firstLine="482" w:firstLineChars="200"/>
        <w:rPr>
          <w:rFonts w:hAnsi="宋体"/>
          <w:b/>
          <w:bCs/>
          <w:color w:val="auto"/>
          <w:highlight w:val="none"/>
        </w:rPr>
      </w:pPr>
      <w:r>
        <w:rPr>
          <w:rFonts w:hAnsi="宋体"/>
          <w:b/>
          <w:bCs/>
          <w:color w:val="auto"/>
          <w:highlight w:val="none"/>
        </w:rPr>
        <w:t>1.</w:t>
      </w:r>
      <w:r>
        <w:rPr>
          <w:b/>
          <w:bCs/>
          <w:color w:val="auto"/>
          <w:highlight w:val="none"/>
        </w:rPr>
        <w:t xml:space="preserve"> 投标人获取招标文件后，若有问题需要澄清，应自招标文件发布在交易场所（发布招标公告的媒体上）3日内，向招标人（招标代理）提出。招标人的答复将发布在台州湾新区小额工程电子交易平台（http://www.tzwztb.com/)。如在该时间后提出问题需要澄清的，招标人不作答复。招标人及招标代理机构的任何工作人员对投标人所作的任何口头解释、介绍、答复，只能供投标人参考，对招标人无任何约束力。</w:t>
      </w:r>
      <w:r>
        <w:rPr>
          <w:rFonts w:hAnsi="宋体"/>
          <w:b/>
          <w:bCs/>
          <w:color w:val="auto"/>
          <w:highlight w:val="none"/>
        </w:rPr>
        <w:t>投标人应认真阅读本招标文件，发现其中有误或有不合理要求的，投标人必须在前附表规定的时间内以书面形式要求招标采购单位澄清。采购代理机构对已发出的招标文件进行必要澄清、答复、修改或补充的，应当在招标文件要求提交投标文件截止时间5日前，发布更正公告，并以书面形式通知所有招标文件收受人。</w:t>
      </w:r>
    </w:p>
    <w:p>
      <w:pPr>
        <w:pStyle w:val="28"/>
        <w:snapToGrid w:val="0"/>
        <w:spacing w:before="120" w:beforeLines="0" w:after="120" w:afterLines="0" w:line="360" w:lineRule="auto"/>
        <w:ind w:firstLine="480" w:firstLineChars="200"/>
        <w:rPr>
          <w:rFonts w:hAnsi="宋体"/>
          <w:color w:val="0D0D0D"/>
          <w:highlight w:val="none"/>
        </w:rPr>
      </w:pPr>
      <w:r>
        <w:rPr>
          <w:rFonts w:hAnsi="宋体"/>
          <w:color w:val="0D0D0D"/>
          <w:highlight w:val="none"/>
        </w:rPr>
        <w:t>2.采购代理机构必须以书面形式答复投标人要求澄清的问题，并将不包含问题来源的答复书面通知所有购买</w:t>
      </w:r>
      <w:r>
        <w:rPr>
          <w:rFonts w:hint="eastAsia" w:hAnsi="宋体"/>
          <w:color w:val="0D0D0D"/>
          <w:highlight w:val="none"/>
        </w:rPr>
        <w:t>招标文件</w:t>
      </w:r>
      <w:r>
        <w:rPr>
          <w:rFonts w:hAnsi="宋体"/>
          <w:color w:val="0D0D0D"/>
          <w:highlight w:val="none"/>
        </w:rPr>
        <w:t>的投标人；除书面答复以外的其他澄清方式及澄清内容均无效。</w:t>
      </w:r>
    </w:p>
    <w:p>
      <w:pPr>
        <w:pStyle w:val="28"/>
        <w:snapToGrid w:val="0"/>
        <w:spacing w:before="120" w:beforeLines="0" w:after="120" w:afterLines="0" w:line="360" w:lineRule="auto"/>
        <w:ind w:firstLine="480" w:firstLineChars="200"/>
        <w:rPr>
          <w:rFonts w:hAnsi="宋体"/>
          <w:color w:val="0D0D0D"/>
          <w:highlight w:val="none"/>
        </w:rPr>
      </w:pPr>
      <w:r>
        <w:rPr>
          <w:rFonts w:hAnsi="宋体"/>
          <w:color w:val="0D0D0D"/>
          <w:highlight w:val="none"/>
        </w:rPr>
        <w:t>3.</w:t>
      </w:r>
      <w:r>
        <w:rPr>
          <w:rFonts w:hint="eastAsia" w:hAnsi="宋体"/>
          <w:color w:val="0D0D0D"/>
          <w:highlight w:val="none"/>
        </w:rPr>
        <w:t>招标文件</w:t>
      </w:r>
      <w:r>
        <w:rPr>
          <w:rFonts w:hAnsi="宋体"/>
          <w:color w:val="0D0D0D"/>
          <w:highlight w:val="none"/>
        </w:rPr>
        <w:t>澄清、答复、修改、补充的内容为</w:t>
      </w:r>
      <w:r>
        <w:rPr>
          <w:rFonts w:hint="eastAsia" w:hAnsi="宋体"/>
          <w:color w:val="0D0D0D"/>
          <w:highlight w:val="none"/>
        </w:rPr>
        <w:t>招标文件</w:t>
      </w:r>
      <w:r>
        <w:rPr>
          <w:rFonts w:hAnsi="宋体"/>
          <w:color w:val="0D0D0D"/>
          <w:highlight w:val="none"/>
        </w:rPr>
        <w:t>的组成部分。当</w:t>
      </w:r>
      <w:r>
        <w:rPr>
          <w:rFonts w:hint="eastAsia" w:hAnsi="宋体"/>
          <w:color w:val="0D0D0D"/>
          <w:highlight w:val="none"/>
        </w:rPr>
        <w:t>招标文件</w:t>
      </w:r>
      <w:r>
        <w:rPr>
          <w:rFonts w:hAnsi="宋体"/>
          <w:color w:val="0D0D0D"/>
          <w:highlight w:val="none"/>
        </w:rPr>
        <w:t>与</w:t>
      </w:r>
      <w:r>
        <w:rPr>
          <w:rFonts w:hint="eastAsia" w:hAnsi="宋体"/>
          <w:color w:val="0D0D0D"/>
          <w:highlight w:val="none"/>
        </w:rPr>
        <w:t>招标文件</w:t>
      </w:r>
      <w:r>
        <w:rPr>
          <w:rFonts w:hAnsi="宋体"/>
          <w:color w:val="0D0D0D"/>
          <w:highlight w:val="none"/>
        </w:rPr>
        <w:t>的答复、澄清、修改、补充通知就同一内容的表述不一致时，以最后发出的书面文件为准。</w:t>
      </w:r>
    </w:p>
    <w:p>
      <w:pPr>
        <w:pStyle w:val="28"/>
        <w:snapToGrid w:val="0"/>
        <w:spacing w:before="120" w:beforeLines="0" w:after="120" w:afterLines="0" w:line="360" w:lineRule="auto"/>
        <w:ind w:firstLine="480" w:firstLineChars="200"/>
        <w:rPr>
          <w:rFonts w:hAnsi="宋体"/>
          <w:color w:val="0D0D0D"/>
          <w:highlight w:val="none"/>
        </w:rPr>
      </w:pPr>
      <w:r>
        <w:rPr>
          <w:rFonts w:hAnsi="宋体"/>
          <w:color w:val="0D0D0D"/>
          <w:highlight w:val="none"/>
        </w:rPr>
        <w:t>4.</w:t>
      </w:r>
      <w:r>
        <w:rPr>
          <w:rFonts w:hint="eastAsia" w:hAnsi="宋体"/>
          <w:color w:val="0D0D0D"/>
          <w:highlight w:val="none"/>
        </w:rPr>
        <w:t>招标文件</w:t>
      </w:r>
      <w:r>
        <w:rPr>
          <w:rFonts w:hAnsi="宋体"/>
          <w:color w:val="0D0D0D"/>
          <w:highlight w:val="none"/>
        </w:rPr>
        <w:t>的澄清、答复、修改或补充都应该通过本代理机构以法定形式发布，</w:t>
      </w:r>
      <w:r>
        <w:rPr>
          <w:rFonts w:hint="eastAsia" w:ascii="宋体" w:hAnsi="宋体"/>
          <w:color w:val="0D0D0D"/>
          <w:sz w:val="24"/>
          <w:highlight w:val="none"/>
          <w:lang w:val="en-US" w:eastAsia="zh-CN"/>
        </w:rPr>
        <w:t>招标人</w:t>
      </w:r>
      <w:r>
        <w:rPr>
          <w:rFonts w:hAnsi="宋体"/>
          <w:color w:val="0D0D0D"/>
          <w:highlight w:val="none"/>
        </w:rPr>
        <w:t>非通过本机构，不得擅自澄清、答复、修改或补充</w:t>
      </w:r>
      <w:r>
        <w:rPr>
          <w:rFonts w:hint="eastAsia" w:hAnsi="宋体"/>
          <w:color w:val="0D0D0D"/>
          <w:highlight w:val="none"/>
        </w:rPr>
        <w:t>招标文件</w:t>
      </w:r>
      <w:r>
        <w:rPr>
          <w:rFonts w:hAnsi="宋体"/>
          <w:color w:val="0D0D0D"/>
          <w:highlight w:val="none"/>
        </w:rPr>
        <w:t>。</w:t>
      </w:r>
    </w:p>
    <w:p>
      <w:pPr>
        <w:pStyle w:val="28"/>
        <w:snapToGrid w:val="0"/>
        <w:spacing w:before="120" w:beforeLines="0" w:after="120" w:afterLines="0" w:line="360" w:lineRule="auto"/>
        <w:ind w:firstLine="551" w:firstLineChars="196"/>
        <w:outlineLvl w:val="1"/>
        <w:rPr>
          <w:rFonts w:hAnsi="宋体"/>
          <w:b/>
          <w:color w:val="0D0D0D"/>
          <w:sz w:val="28"/>
          <w:szCs w:val="28"/>
          <w:highlight w:val="none"/>
        </w:rPr>
      </w:pPr>
      <w:r>
        <w:rPr>
          <w:rFonts w:hAnsi="宋体"/>
          <w:b/>
          <w:color w:val="0D0D0D"/>
          <w:sz w:val="28"/>
          <w:szCs w:val="28"/>
          <w:highlight w:val="none"/>
        </w:rPr>
        <w:t>三、报价文件的编制</w:t>
      </w:r>
    </w:p>
    <w:p>
      <w:pPr>
        <w:snapToGrid w:val="0"/>
        <w:spacing w:line="360" w:lineRule="auto"/>
        <w:ind w:firstLine="472" w:firstLineChars="196"/>
        <w:jc w:val="left"/>
        <w:outlineLvl w:val="0"/>
        <w:rPr>
          <w:rFonts w:ascii="宋体" w:hAnsi="宋体"/>
          <w:b/>
          <w:color w:val="0D0D0D"/>
          <w:sz w:val="24"/>
          <w:szCs w:val="20"/>
          <w:highlight w:val="none"/>
        </w:rPr>
      </w:pPr>
      <w:r>
        <w:rPr>
          <w:rFonts w:hint="eastAsia" w:ascii="宋体" w:hAnsi="宋体"/>
          <w:b/>
          <w:color w:val="0D0D0D"/>
          <w:sz w:val="24"/>
          <w:highlight w:val="none"/>
        </w:rPr>
        <w:t>（一）报价文件的组成</w:t>
      </w:r>
    </w:p>
    <w:p>
      <w:pPr>
        <w:snapToGrid w:val="0"/>
        <w:spacing w:line="360" w:lineRule="auto"/>
        <w:ind w:firstLine="480" w:firstLineChars="200"/>
        <w:jc w:val="left"/>
        <w:rPr>
          <w:rFonts w:ascii="宋体" w:hAnsi="宋体"/>
          <w:color w:val="0D0D0D"/>
          <w:sz w:val="24"/>
          <w:szCs w:val="20"/>
          <w:highlight w:val="none"/>
        </w:rPr>
      </w:pPr>
      <w:r>
        <w:rPr>
          <w:rFonts w:hint="eastAsia" w:ascii="宋体" w:hAnsi="宋体"/>
          <w:color w:val="0D0D0D"/>
          <w:sz w:val="24"/>
          <w:highlight w:val="none"/>
        </w:rPr>
        <w:t>报价文件仅由商务文件组成。</w:t>
      </w:r>
    </w:p>
    <w:p>
      <w:pPr>
        <w:snapToGrid w:val="0"/>
        <w:spacing w:before="120" w:beforeLines="50" w:line="360" w:lineRule="auto"/>
        <w:ind w:firstLine="472" w:firstLineChars="196"/>
        <w:jc w:val="left"/>
        <w:rPr>
          <w:rFonts w:ascii="宋体" w:hAnsi="宋体"/>
          <w:b/>
          <w:color w:val="0D0D0D"/>
          <w:sz w:val="24"/>
          <w:szCs w:val="20"/>
          <w:highlight w:val="none"/>
        </w:rPr>
      </w:pPr>
      <w:r>
        <w:rPr>
          <w:rFonts w:ascii="宋体" w:hAnsi="宋体"/>
          <w:b/>
          <w:color w:val="0D0D0D"/>
          <w:sz w:val="24"/>
          <w:highlight w:val="none"/>
        </w:rPr>
        <w:t>1</w:t>
      </w:r>
      <w:r>
        <w:rPr>
          <w:rFonts w:hint="eastAsia" w:ascii="宋体" w:hAnsi="宋体"/>
          <w:b/>
          <w:color w:val="0D0D0D"/>
          <w:sz w:val="24"/>
          <w:highlight w:val="none"/>
        </w:rPr>
        <w:t>.</w:t>
      </w:r>
      <w:r>
        <w:rPr>
          <w:rFonts w:ascii="宋体" w:hAnsi="宋体"/>
          <w:b/>
          <w:color w:val="0D0D0D"/>
          <w:sz w:val="24"/>
          <w:highlight w:val="none"/>
        </w:rPr>
        <w:t>商务文件：</w:t>
      </w:r>
    </w:p>
    <w:p>
      <w:pPr>
        <w:autoSpaceDE w:val="0"/>
        <w:autoSpaceDN w:val="0"/>
        <w:adjustRightInd w:val="0"/>
        <w:spacing w:line="360" w:lineRule="auto"/>
        <w:ind w:firstLine="360" w:firstLineChars="150"/>
        <w:rPr>
          <w:rFonts w:hint="eastAsia" w:ascii="宋体"/>
          <w:color w:val="0D0D0D"/>
          <w:kern w:val="0"/>
          <w:sz w:val="24"/>
          <w:highlight w:val="none"/>
        </w:rPr>
      </w:pPr>
      <w:r>
        <w:rPr>
          <w:rFonts w:hint="eastAsia" w:ascii="宋体"/>
          <w:color w:val="0D0D0D"/>
          <w:kern w:val="0"/>
          <w:sz w:val="24"/>
          <w:highlight w:val="none"/>
        </w:rPr>
        <w:t>商务报价为投标人一次性报出包含全部内容的价格，包含其它一切所要涉及到的费用，有选择的报价将被拒绝。</w:t>
      </w:r>
    </w:p>
    <w:p>
      <w:pPr>
        <w:numPr>
          <w:ilvl w:val="0"/>
          <w:numId w:val="0"/>
        </w:numPr>
        <w:autoSpaceDE w:val="0"/>
        <w:autoSpaceDN w:val="0"/>
        <w:adjustRightInd w:val="0"/>
        <w:spacing w:line="360" w:lineRule="auto"/>
        <w:ind w:firstLine="482" w:firstLineChars="200"/>
        <w:rPr>
          <w:rFonts w:hint="eastAsia" w:ascii="宋体" w:hAnsi="宋体" w:eastAsia="宋体" w:cs="Times New Roman"/>
          <w:b/>
          <w:color w:val="0C0C0C"/>
          <w:sz w:val="24"/>
          <w:szCs w:val="24"/>
          <w:highlight w:val="none"/>
        </w:rPr>
      </w:pPr>
      <w:r>
        <w:rPr>
          <w:rFonts w:hint="eastAsia" w:ascii="宋体" w:hAnsi="宋体" w:eastAsia="宋体" w:cs="Times New Roman"/>
          <w:b/>
          <w:color w:val="0C0C0C"/>
          <w:sz w:val="24"/>
          <w:szCs w:val="24"/>
          <w:highlight w:val="none"/>
          <w:lang w:eastAsia="zh-CN"/>
        </w:rPr>
        <w:t>（</w:t>
      </w:r>
      <w:r>
        <w:rPr>
          <w:rFonts w:hint="eastAsia" w:ascii="宋体" w:hAnsi="宋体" w:eastAsia="宋体" w:cs="Times New Roman"/>
          <w:b/>
          <w:color w:val="0C0C0C"/>
          <w:sz w:val="24"/>
          <w:szCs w:val="24"/>
          <w:highlight w:val="none"/>
          <w:lang w:val="en-US" w:eastAsia="zh-CN"/>
        </w:rPr>
        <w:t>1</w:t>
      </w:r>
      <w:r>
        <w:rPr>
          <w:rFonts w:hint="eastAsia" w:ascii="宋体" w:hAnsi="宋体" w:eastAsia="宋体" w:cs="Times New Roman"/>
          <w:b/>
          <w:color w:val="0C0C0C"/>
          <w:sz w:val="24"/>
          <w:szCs w:val="24"/>
          <w:highlight w:val="none"/>
          <w:lang w:eastAsia="zh-CN"/>
        </w:rPr>
        <w:t>）</w:t>
      </w:r>
      <w:r>
        <w:rPr>
          <w:rFonts w:hint="eastAsia" w:ascii="宋体" w:hAnsi="宋体" w:eastAsia="宋体" w:cs="Times New Roman"/>
          <w:b/>
          <w:color w:val="0C0C0C"/>
          <w:sz w:val="24"/>
          <w:szCs w:val="24"/>
          <w:highlight w:val="none"/>
        </w:rPr>
        <w:t>营业执照扫描件；</w:t>
      </w:r>
    </w:p>
    <w:p>
      <w:pPr>
        <w:numPr>
          <w:ilvl w:val="0"/>
          <w:numId w:val="0"/>
        </w:numPr>
        <w:autoSpaceDE w:val="0"/>
        <w:autoSpaceDN w:val="0"/>
        <w:adjustRightInd w:val="0"/>
        <w:spacing w:line="360" w:lineRule="auto"/>
        <w:ind w:firstLine="482" w:firstLineChars="200"/>
        <w:rPr>
          <w:rFonts w:hint="eastAsia" w:ascii="宋体" w:hAnsi="宋体" w:eastAsia="宋体" w:cs="Times New Roman"/>
          <w:b/>
          <w:color w:val="0C0C0C"/>
          <w:sz w:val="24"/>
          <w:szCs w:val="24"/>
          <w:highlight w:val="none"/>
        </w:rPr>
      </w:pPr>
      <w:r>
        <w:rPr>
          <w:rFonts w:hint="eastAsia" w:ascii="宋体" w:hAnsi="宋体" w:eastAsia="宋体" w:cs="Times New Roman"/>
          <w:b/>
          <w:color w:val="0C0C0C"/>
          <w:sz w:val="24"/>
          <w:szCs w:val="24"/>
          <w:highlight w:val="none"/>
          <w:lang w:eastAsia="zh-CN"/>
        </w:rPr>
        <w:t>（</w:t>
      </w:r>
      <w:r>
        <w:rPr>
          <w:rFonts w:hint="eastAsia" w:ascii="宋体" w:hAnsi="宋体" w:eastAsia="宋体" w:cs="Times New Roman"/>
          <w:b/>
          <w:color w:val="0C0C0C"/>
          <w:sz w:val="24"/>
          <w:szCs w:val="24"/>
          <w:highlight w:val="none"/>
          <w:lang w:val="en-US" w:eastAsia="zh-CN"/>
        </w:rPr>
        <w:t>2</w:t>
      </w:r>
      <w:r>
        <w:rPr>
          <w:rFonts w:hint="eastAsia" w:ascii="宋体" w:hAnsi="宋体" w:eastAsia="宋体" w:cs="Times New Roman"/>
          <w:b/>
          <w:color w:val="0C0C0C"/>
          <w:sz w:val="24"/>
          <w:szCs w:val="24"/>
          <w:highlight w:val="none"/>
          <w:lang w:eastAsia="zh-CN"/>
        </w:rPr>
        <w:t>）</w:t>
      </w:r>
      <w:r>
        <w:rPr>
          <w:rFonts w:hint="eastAsia" w:ascii="宋体" w:hAnsi="宋体" w:eastAsia="宋体" w:cs="Times New Roman"/>
          <w:b/>
          <w:color w:val="0C0C0C"/>
          <w:sz w:val="24"/>
          <w:szCs w:val="24"/>
          <w:highlight w:val="none"/>
        </w:rPr>
        <w:t>法定代表人身份证或经营者身份证或授权</w:t>
      </w:r>
      <w:r>
        <w:rPr>
          <w:rFonts w:hint="eastAsia" w:ascii="宋体" w:hAnsi="宋体" w:eastAsia="宋体" w:cs="Times New Roman"/>
          <w:b/>
          <w:color w:val="0C0C0C"/>
          <w:sz w:val="24"/>
          <w:szCs w:val="24"/>
          <w:highlight w:val="none"/>
          <w:lang w:val="en-US" w:eastAsia="zh-CN"/>
        </w:rPr>
        <w:t>委托</w:t>
      </w:r>
      <w:r>
        <w:rPr>
          <w:rFonts w:hint="eastAsia" w:ascii="宋体" w:hAnsi="宋体" w:eastAsia="宋体" w:cs="Times New Roman"/>
          <w:b/>
          <w:color w:val="0C0C0C"/>
          <w:sz w:val="24"/>
          <w:szCs w:val="24"/>
          <w:highlight w:val="none"/>
        </w:rPr>
        <w:t>书（格式见附件）</w:t>
      </w:r>
    </w:p>
    <w:p>
      <w:pPr>
        <w:numPr>
          <w:ilvl w:val="0"/>
          <w:numId w:val="0"/>
        </w:numPr>
        <w:autoSpaceDE w:val="0"/>
        <w:autoSpaceDN w:val="0"/>
        <w:adjustRightInd w:val="0"/>
        <w:spacing w:line="360" w:lineRule="auto"/>
        <w:ind w:firstLine="482" w:firstLineChars="200"/>
        <w:rPr>
          <w:rFonts w:hint="eastAsia" w:ascii="宋体" w:hAnsi="宋体" w:eastAsia="宋体" w:cs="Times New Roman"/>
          <w:b/>
          <w:color w:val="0C0C0C"/>
          <w:sz w:val="24"/>
          <w:szCs w:val="24"/>
          <w:highlight w:val="none"/>
        </w:rPr>
      </w:pPr>
      <w:r>
        <w:rPr>
          <w:rFonts w:hint="eastAsia" w:ascii="宋体" w:hAnsi="宋体" w:eastAsia="宋体" w:cs="Times New Roman"/>
          <w:b/>
          <w:color w:val="0C0C0C"/>
          <w:sz w:val="24"/>
          <w:szCs w:val="24"/>
          <w:highlight w:val="none"/>
          <w:lang w:eastAsia="zh-CN"/>
        </w:rPr>
        <w:t>（</w:t>
      </w:r>
      <w:r>
        <w:rPr>
          <w:rFonts w:hint="eastAsia" w:ascii="宋体" w:hAnsi="宋体" w:eastAsia="宋体" w:cs="Times New Roman"/>
          <w:b/>
          <w:color w:val="0C0C0C"/>
          <w:sz w:val="24"/>
          <w:szCs w:val="24"/>
          <w:highlight w:val="none"/>
          <w:lang w:val="en-US" w:eastAsia="zh-CN"/>
        </w:rPr>
        <w:t>3</w:t>
      </w:r>
      <w:r>
        <w:rPr>
          <w:rFonts w:hint="eastAsia" w:ascii="宋体" w:hAnsi="宋体" w:eastAsia="宋体" w:cs="Times New Roman"/>
          <w:b/>
          <w:color w:val="0C0C0C"/>
          <w:sz w:val="24"/>
          <w:szCs w:val="24"/>
          <w:highlight w:val="none"/>
          <w:lang w:eastAsia="zh-CN"/>
        </w:rPr>
        <w:t>）</w:t>
      </w:r>
      <w:r>
        <w:rPr>
          <w:rFonts w:hint="eastAsia" w:ascii="宋体" w:hAnsi="宋体" w:eastAsia="宋体" w:cs="Times New Roman"/>
          <w:b/>
          <w:color w:val="0C0C0C"/>
          <w:sz w:val="24"/>
          <w:szCs w:val="24"/>
          <w:highlight w:val="none"/>
        </w:rPr>
        <w:t>开标一览表（格式见附件）</w:t>
      </w:r>
      <w:r>
        <w:rPr>
          <w:rFonts w:hint="eastAsia" w:ascii="宋体" w:hAnsi="宋体" w:eastAsia="宋体" w:cs="Times New Roman"/>
          <w:b/>
          <w:color w:val="0C0C0C"/>
          <w:sz w:val="24"/>
          <w:szCs w:val="24"/>
          <w:highlight w:val="none"/>
          <w:lang w:eastAsia="zh-CN"/>
        </w:rPr>
        <w:t>；</w:t>
      </w:r>
    </w:p>
    <w:p>
      <w:pPr>
        <w:numPr>
          <w:ilvl w:val="0"/>
          <w:numId w:val="0"/>
        </w:numPr>
        <w:autoSpaceDE w:val="0"/>
        <w:autoSpaceDN w:val="0"/>
        <w:adjustRightInd w:val="0"/>
        <w:spacing w:line="360" w:lineRule="auto"/>
        <w:ind w:firstLine="482" w:firstLineChars="200"/>
        <w:rPr>
          <w:rFonts w:hint="eastAsia" w:ascii="宋体" w:hAnsi="宋体" w:cs="宋体"/>
          <w:b/>
          <w:bCs/>
          <w:color w:val="0C0C0C"/>
          <w:sz w:val="24"/>
          <w:szCs w:val="24"/>
          <w:highlight w:val="none"/>
        </w:rPr>
      </w:pPr>
      <w:r>
        <w:rPr>
          <w:rFonts w:hint="eastAsia" w:ascii="宋体" w:hAnsi="宋体" w:eastAsia="宋体" w:cs="Times New Roman"/>
          <w:b/>
          <w:color w:val="0C0C0C"/>
          <w:sz w:val="24"/>
          <w:szCs w:val="24"/>
          <w:highlight w:val="none"/>
          <w:lang w:eastAsia="zh-CN"/>
        </w:rPr>
        <w:t>（</w:t>
      </w:r>
      <w:r>
        <w:rPr>
          <w:rFonts w:hint="eastAsia" w:ascii="宋体" w:hAnsi="宋体" w:eastAsia="宋体" w:cs="Times New Roman"/>
          <w:b/>
          <w:color w:val="0C0C0C"/>
          <w:sz w:val="24"/>
          <w:szCs w:val="24"/>
          <w:highlight w:val="none"/>
          <w:lang w:val="en-US" w:eastAsia="zh-CN"/>
        </w:rPr>
        <w:t>4</w:t>
      </w:r>
      <w:r>
        <w:rPr>
          <w:rFonts w:hint="eastAsia" w:ascii="宋体" w:hAnsi="宋体" w:eastAsia="宋体" w:cs="Times New Roman"/>
          <w:b/>
          <w:color w:val="0C0C0C"/>
          <w:sz w:val="24"/>
          <w:szCs w:val="24"/>
          <w:highlight w:val="none"/>
          <w:lang w:eastAsia="zh-CN"/>
        </w:rPr>
        <w:t>）</w:t>
      </w:r>
      <w:r>
        <w:rPr>
          <w:rFonts w:hint="eastAsia" w:ascii="宋体" w:hAnsi="宋体" w:eastAsia="宋体" w:cs="Times New Roman"/>
          <w:b/>
          <w:color w:val="0C0C0C"/>
          <w:sz w:val="24"/>
          <w:szCs w:val="24"/>
          <w:highlight w:val="none"/>
        </w:rPr>
        <w:t>投标报价清单（格式见附件</w:t>
      </w:r>
      <w:r>
        <w:rPr>
          <w:rFonts w:hint="eastAsia" w:ascii="宋体" w:hAnsi="宋体" w:cs="宋体"/>
          <w:b/>
          <w:bCs/>
          <w:color w:val="0C0C0C"/>
          <w:sz w:val="24"/>
          <w:szCs w:val="24"/>
          <w:highlight w:val="none"/>
        </w:rPr>
        <w:t>）；</w:t>
      </w:r>
    </w:p>
    <w:p>
      <w:pPr>
        <w:numPr>
          <w:ilvl w:val="0"/>
          <w:numId w:val="0"/>
        </w:numPr>
        <w:autoSpaceDE w:val="0"/>
        <w:autoSpaceDN w:val="0"/>
        <w:adjustRightInd w:val="0"/>
        <w:spacing w:line="360" w:lineRule="auto"/>
        <w:ind w:firstLine="482" w:firstLineChars="200"/>
        <w:rPr>
          <w:rFonts w:hint="eastAsia" w:ascii="宋体" w:hAnsi="宋体" w:cs="宋体"/>
          <w:b/>
          <w:bCs/>
          <w:color w:val="0C0C0C"/>
          <w:sz w:val="24"/>
          <w:szCs w:val="24"/>
          <w:highlight w:val="none"/>
        </w:rPr>
      </w:pPr>
      <w:r>
        <w:rPr>
          <w:rFonts w:hint="eastAsia" w:ascii="宋体" w:hAnsi="宋体"/>
          <w:b/>
          <w:color w:val="0C0C0C"/>
          <w:sz w:val="24"/>
          <w:szCs w:val="24"/>
          <w:highlight w:val="none"/>
          <w:lang w:eastAsia="zh-CN"/>
        </w:rPr>
        <w:t>（</w:t>
      </w:r>
      <w:r>
        <w:rPr>
          <w:rFonts w:hint="eastAsia" w:ascii="宋体" w:hAnsi="宋体"/>
          <w:b/>
          <w:color w:val="0C0C0C"/>
          <w:sz w:val="24"/>
          <w:szCs w:val="24"/>
          <w:highlight w:val="none"/>
          <w:lang w:val="en-US" w:eastAsia="zh-CN"/>
        </w:rPr>
        <w:t>5</w:t>
      </w:r>
      <w:r>
        <w:rPr>
          <w:rFonts w:hint="eastAsia" w:ascii="宋体" w:hAnsi="宋体"/>
          <w:b/>
          <w:color w:val="0C0C0C"/>
          <w:sz w:val="24"/>
          <w:szCs w:val="24"/>
          <w:highlight w:val="none"/>
          <w:lang w:eastAsia="zh-CN"/>
        </w:rPr>
        <w:t>）</w:t>
      </w:r>
      <w:r>
        <w:rPr>
          <w:rFonts w:hint="eastAsia" w:ascii="宋体" w:hAnsi="宋体"/>
          <w:b/>
          <w:color w:val="0C0C0C"/>
          <w:sz w:val="24"/>
          <w:szCs w:val="24"/>
          <w:highlight w:val="none"/>
        </w:rPr>
        <w:t>诚信投标承诺书（</w:t>
      </w:r>
      <w:r>
        <w:rPr>
          <w:rFonts w:hint="eastAsia" w:ascii="宋体" w:hAnsi="宋体" w:eastAsia="宋体" w:cs="Times New Roman"/>
          <w:b/>
          <w:color w:val="0C0C0C"/>
          <w:sz w:val="24"/>
          <w:szCs w:val="24"/>
          <w:highlight w:val="none"/>
        </w:rPr>
        <w:t>格式</w:t>
      </w:r>
      <w:r>
        <w:rPr>
          <w:rFonts w:hint="eastAsia" w:ascii="宋体" w:hAnsi="宋体"/>
          <w:b/>
          <w:color w:val="0C0C0C"/>
          <w:sz w:val="24"/>
          <w:szCs w:val="24"/>
          <w:highlight w:val="none"/>
        </w:rPr>
        <w:t>见附件）</w:t>
      </w:r>
      <w:r>
        <w:rPr>
          <w:rFonts w:hint="eastAsia" w:ascii="宋体" w:hAnsi="宋体"/>
          <w:b/>
          <w:color w:val="0C0C0C"/>
          <w:sz w:val="24"/>
          <w:szCs w:val="24"/>
          <w:highlight w:val="none"/>
          <w:lang w:eastAsia="zh-CN"/>
        </w:rPr>
        <w:t>。</w:t>
      </w:r>
    </w:p>
    <w:p>
      <w:pPr>
        <w:snapToGrid w:val="0"/>
        <w:spacing w:line="360" w:lineRule="auto"/>
        <w:ind w:firstLine="472" w:firstLineChars="196"/>
        <w:jc w:val="left"/>
        <w:outlineLvl w:val="0"/>
        <w:rPr>
          <w:rFonts w:ascii="宋体" w:hAnsi="宋体"/>
          <w:b/>
          <w:color w:val="0D0D0D"/>
          <w:sz w:val="24"/>
          <w:szCs w:val="20"/>
          <w:highlight w:val="none"/>
        </w:rPr>
      </w:pPr>
      <w:r>
        <w:rPr>
          <w:rFonts w:hint="eastAsia" w:ascii="宋体" w:hAnsi="宋体"/>
          <w:b/>
          <w:color w:val="0D0D0D"/>
          <w:sz w:val="24"/>
          <w:highlight w:val="none"/>
        </w:rPr>
        <w:t>（二）报价文件的语言及计量</w:t>
      </w:r>
    </w:p>
    <w:p>
      <w:pPr>
        <w:snapToGrid w:val="0"/>
        <w:spacing w:line="360" w:lineRule="auto"/>
        <w:ind w:firstLine="480" w:firstLineChars="200"/>
        <w:jc w:val="left"/>
        <w:rPr>
          <w:rFonts w:ascii="宋体" w:hAnsi="宋体"/>
          <w:color w:val="0D0D0D"/>
          <w:sz w:val="24"/>
          <w:szCs w:val="20"/>
          <w:highlight w:val="none"/>
        </w:rPr>
      </w:pPr>
      <w:r>
        <w:rPr>
          <w:rFonts w:hint="eastAsia" w:ascii="宋体" w:hAnsi="宋体"/>
          <w:color w:val="0D0D0D"/>
          <w:sz w:val="24"/>
          <w:highlight w:val="none"/>
        </w:rPr>
        <w:t>▲</w:t>
      </w:r>
      <w:r>
        <w:rPr>
          <w:rFonts w:ascii="宋体" w:hAnsi="宋体"/>
          <w:color w:val="0D0D0D"/>
          <w:sz w:val="24"/>
          <w:highlight w:val="none"/>
        </w:rPr>
        <w:t>1</w:t>
      </w:r>
      <w:r>
        <w:rPr>
          <w:rFonts w:hint="eastAsia" w:ascii="宋体" w:hAnsi="宋体"/>
          <w:color w:val="0D0D0D"/>
          <w:sz w:val="24"/>
          <w:highlight w:val="none"/>
        </w:rPr>
        <w:t>、</w:t>
      </w:r>
      <w:r>
        <w:rPr>
          <w:rFonts w:ascii="宋体" w:hAnsi="宋体"/>
          <w:color w:val="0D0D0D"/>
          <w:sz w:val="24"/>
          <w:highlight w:val="none"/>
        </w:rPr>
        <w:t>报价文件以及投标方与招标方就有关投标事宜的所有来往函电，均应以中文汉语书写。除签名、盖章、专用名称等特殊情形外，以中文汉语以外的文字表述的报价文件视同未提供。</w:t>
      </w:r>
    </w:p>
    <w:p>
      <w:pPr>
        <w:snapToGrid w:val="0"/>
        <w:spacing w:line="360" w:lineRule="auto"/>
        <w:ind w:firstLine="480" w:firstLineChars="200"/>
        <w:jc w:val="left"/>
        <w:rPr>
          <w:rFonts w:ascii="宋体" w:hAnsi="宋体"/>
          <w:color w:val="0D0D0D"/>
          <w:sz w:val="24"/>
          <w:szCs w:val="20"/>
          <w:highlight w:val="none"/>
        </w:rPr>
      </w:pPr>
      <w:r>
        <w:rPr>
          <w:rFonts w:hint="eastAsia" w:ascii="宋体" w:hAnsi="宋体"/>
          <w:color w:val="0D0D0D"/>
          <w:sz w:val="24"/>
          <w:highlight w:val="none"/>
        </w:rPr>
        <w:t>▲</w:t>
      </w:r>
      <w:r>
        <w:rPr>
          <w:rFonts w:ascii="宋体" w:hAnsi="宋体"/>
          <w:color w:val="0D0D0D"/>
          <w:sz w:val="24"/>
          <w:highlight w:val="none"/>
        </w:rPr>
        <w:t>2</w:t>
      </w:r>
      <w:r>
        <w:rPr>
          <w:rFonts w:hint="eastAsia" w:ascii="宋体" w:hAnsi="宋体"/>
          <w:color w:val="0D0D0D"/>
          <w:sz w:val="24"/>
          <w:highlight w:val="none"/>
        </w:rPr>
        <w:t>、</w:t>
      </w:r>
      <w:r>
        <w:rPr>
          <w:rFonts w:ascii="宋体" w:hAnsi="宋体"/>
          <w:color w:val="0D0D0D"/>
          <w:sz w:val="24"/>
          <w:highlight w:val="none"/>
        </w:rPr>
        <w:t>投标计量单位，</w:t>
      </w:r>
      <w:r>
        <w:rPr>
          <w:rFonts w:hint="eastAsia" w:ascii="宋体" w:hAnsi="宋体"/>
          <w:color w:val="0D0D0D"/>
          <w:sz w:val="24"/>
          <w:highlight w:val="none"/>
        </w:rPr>
        <w:t>招标文件</w:t>
      </w:r>
      <w:r>
        <w:rPr>
          <w:rFonts w:ascii="宋体" w:hAnsi="宋体"/>
          <w:color w:val="0D0D0D"/>
          <w:sz w:val="24"/>
          <w:highlight w:val="none"/>
        </w:rPr>
        <w:t>已有明确规定的，使用</w:t>
      </w:r>
      <w:r>
        <w:rPr>
          <w:rFonts w:hint="eastAsia" w:ascii="宋体" w:hAnsi="宋体"/>
          <w:color w:val="0D0D0D"/>
          <w:sz w:val="24"/>
          <w:highlight w:val="none"/>
        </w:rPr>
        <w:t>招标文件</w:t>
      </w:r>
      <w:r>
        <w:rPr>
          <w:rFonts w:ascii="宋体" w:hAnsi="宋体"/>
          <w:color w:val="0D0D0D"/>
          <w:sz w:val="24"/>
          <w:highlight w:val="none"/>
        </w:rPr>
        <w:t>规定的计量单位；</w:t>
      </w:r>
      <w:r>
        <w:rPr>
          <w:rFonts w:hint="eastAsia" w:ascii="宋体" w:hAnsi="宋体"/>
          <w:color w:val="0D0D0D"/>
          <w:sz w:val="24"/>
          <w:highlight w:val="none"/>
        </w:rPr>
        <w:t>招标文件</w:t>
      </w:r>
      <w:r>
        <w:rPr>
          <w:rFonts w:ascii="宋体" w:hAnsi="宋体"/>
          <w:color w:val="0D0D0D"/>
          <w:sz w:val="24"/>
          <w:highlight w:val="none"/>
        </w:rPr>
        <w:t>没有规定的，应采用中华人民共和国法定计量单位（货币单位：人民币元），否则视同未响应。</w:t>
      </w:r>
    </w:p>
    <w:p>
      <w:pPr>
        <w:snapToGrid w:val="0"/>
        <w:spacing w:before="120" w:beforeLines="50" w:line="360" w:lineRule="auto"/>
        <w:ind w:firstLine="472" w:firstLineChars="196"/>
        <w:jc w:val="left"/>
        <w:outlineLvl w:val="0"/>
        <w:rPr>
          <w:rFonts w:ascii="宋体" w:hAnsi="宋体"/>
          <w:b/>
          <w:color w:val="0D0D0D"/>
          <w:sz w:val="24"/>
          <w:szCs w:val="20"/>
          <w:highlight w:val="none"/>
        </w:rPr>
      </w:pPr>
      <w:r>
        <w:rPr>
          <w:rFonts w:hint="eastAsia" w:ascii="宋体" w:hAnsi="宋体"/>
          <w:b/>
          <w:color w:val="0D0D0D"/>
          <w:sz w:val="24"/>
          <w:highlight w:val="none"/>
        </w:rPr>
        <w:t>（三）投标报价</w:t>
      </w:r>
    </w:p>
    <w:p>
      <w:pPr>
        <w:pStyle w:val="28"/>
        <w:snapToGrid w:val="0"/>
        <w:spacing w:before="120" w:beforeLines="0" w:after="120" w:afterLines="0" w:line="360" w:lineRule="auto"/>
        <w:ind w:firstLine="720" w:firstLineChars="300"/>
        <w:jc w:val="left"/>
        <w:rPr>
          <w:rFonts w:hAnsi="宋体"/>
          <w:color w:val="0D0D0D"/>
          <w:highlight w:val="none"/>
        </w:rPr>
      </w:pPr>
      <w:r>
        <w:rPr>
          <w:rFonts w:hAnsi="宋体"/>
          <w:color w:val="0D0D0D"/>
          <w:highlight w:val="none"/>
        </w:rPr>
        <w:t>1.投标报价应按</w:t>
      </w:r>
      <w:r>
        <w:rPr>
          <w:rFonts w:hint="eastAsia" w:hAnsi="宋体"/>
          <w:color w:val="0D0D0D"/>
          <w:highlight w:val="none"/>
        </w:rPr>
        <w:t>招标文件</w:t>
      </w:r>
      <w:r>
        <w:rPr>
          <w:rFonts w:hAnsi="宋体"/>
          <w:color w:val="0D0D0D"/>
          <w:highlight w:val="none"/>
        </w:rPr>
        <w:t>中相关附表格式填写。</w:t>
      </w:r>
    </w:p>
    <w:p>
      <w:pPr>
        <w:pStyle w:val="11"/>
        <w:widowControl w:val="0"/>
        <w:tabs>
          <w:tab w:val="clear" w:pos="454"/>
          <w:tab w:val="clear" w:pos="900"/>
        </w:tabs>
        <w:snapToGrid w:val="0"/>
        <w:spacing w:before="120" w:beforeLines="50" w:after="120" w:afterLines="0" w:line="360" w:lineRule="auto"/>
        <w:ind w:left="0" w:firstLine="472" w:firstLineChars="196"/>
        <w:rPr>
          <w:rFonts w:hint="default" w:ascii="宋体" w:hAnsi="宋体"/>
          <w:color w:val="0D0D0D"/>
          <w:szCs w:val="24"/>
          <w:highlight w:val="none"/>
          <w:lang w:val="en-US" w:eastAsia="zh-CN"/>
        </w:rPr>
      </w:pPr>
      <w:r>
        <w:rPr>
          <w:rFonts w:hint="eastAsia" w:ascii="宋体" w:hAnsi="宋体"/>
          <w:b/>
          <w:color w:val="0D0D0D"/>
          <w:szCs w:val="24"/>
          <w:highlight w:val="none"/>
        </w:rPr>
        <w:t>▲2.</w:t>
      </w:r>
      <w:r>
        <w:rPr>
          <w:rFonts w:hint="eastAsia" w:ascii="宋体" w:hAnsi="宋体"/>
          <w:color w:val="0D0D0D"/>
          <w:szCs w:val="24"/>
          <w:highlight w:val="none"/>
        </w:rPr>
        <w:t>本次招标完成合同签订后，根据</w:t>
      </w:r>
      <w:r>
        <w:rPr>
          <w:rFonts w:hint="eastAsia" w:ascii="宋体" w:hAnsi="宋体"/>
          <w:color w:val="0D0D0D"/>
          <w:sz w:val="24"/>
          <w:highlight w:val="none"/>
          <w:lang w:val="en-US" w:eastAsia="zh-CN"/>
        </w:rPr>
        <w:t>招标人</w:t>
      </w:r>
      <w:r>
        <w:rPr>
          <w:rFonts w:hint="eastAsia" w:ascii="宋体" w:hAnsi="宋体"/>
          <w:color w:val="0D0D0D"/>
          <w:szCs w:val="24"/>
          <w:highlight w:val="none"/>
        </w:rPr>
        <w:t>项目施工实际情况按实计量结算，投标人应充分考虑项目实际工作量的不确定因素，投标报价时结合实际情况及自身的综合实力填报投标报价。其应包括</w:t>
      </w:r>
      <w:r>
        <w:rPr>
          <w:rFonts w:hint="eastAsia" w:ascii="宋体" w:hAnsi="宋体"/>
          <w:b/>
          <w:bCs/>
          <w:color w:val="0D0D0D"/>
          <w:szCs w:val="24"/>
          <w:highlight w:val="none"/>
          <w:lang w:val="en-US" w:eastAsia="zh-CN"/>
        </w:rPr>
        <w:t>货物的供货、税金、包装、运输（货物运到招标人指定的施工现场，如因项目需要发生分批次采购的，相关运费由投标人承担）、保险、装车、损耗、验收、技术服务、售后服务、材料、风险、利润等费用</w:t>
      </w:r>
      <w:r>
        <w:rPr>
          <w:rFonts w:hint="eastAsia" w:ascii="宋体" w:hAnsi="宋体"/>
          <w:color w:val="0D0D0D"/>
          <w:szCs w:val="24"/>
          <w:highlight w:val="none"/>
          <w:lang w:val="en-US" w:eastAsia="zh-CN"/>
        </w:rPr>
        <w:t>，如有漏项，视同已包含在其总项目中。招标人可根据实际情况调整采购数量，各投标人应根据本项目实际情况和自身的综合实力，竞报投标报价。</w:t>
      </w:r>
    </w:p>
    <w:p>
      <w:pPr>
        <w:pStyle w:val="11"/>
        <w:widowControl w:val="0"/>
        <w:tabs>
          <w:tab w:val="clear" w:pos="454"/>
          <w:tab w:val="clear" w:pos="900"/>
        </w:tabs>
        <w:snapToGrid w:val="0"/>
        <w:spacing w:before="120" w:beforeLines="50" w:after="120" w:afterLines="0" w:line="360" w:lineRule="auto"/>
        <w:ind w:left="0" w:firstLine="472" w:firstLineChars="196"/>
        <w:rPr>
          <w:rFonts w:hint="eastAsia" w:ascii="宋体" w:hAnsi="宋体"/>
          <w:bCs/>
          <w:color w:val="0D0D0D"/>
          <w:szCs w:val="24"/>
          <w:highlight w:val="none"/>
        </w:rPr>
      </w:pPr>
      <w:r>
        <w:rPr>
          <w:rFonts w:hint="eastAsia" w:ascii="宋体" w:hAnsi="宋体"/>
          <w:b/>
          <w:color w:val="0D0D0D"/>
          <w:szCs w:val="24"/>
          <w:highlight w:val="none"/>
        </w:rPr>
        <w:t>▲</w:t>
      </w:r>
      <w:r>
        <w:rPr>
          <w:rFonts w:hint="eastAsia" w:ascii="宋体" w:hAnsi="宋体"/>
          <w:bCs/>
          <w:color w:val="0D0D0D"/>
          <w:szCs w:val="24"/>
          <w:highlight w:val="none"/>
        </w:rPr>
        <w:t>3、</w:t>
      </w:r>
      <w:r>
        <w:rPr>
          <w:rFonts w:hint="eastAsia" w:ascii="宋体" w:hAnsi="宋体"/>
          <w:color w:val="0D0D0D"/>
          <w:sz w:val="24"/>
          <w:highlight w:val="none"/>
          <w:lang w:val="en-US" w:eastAsia="zh-CN"/>
        </w:rPr>
        <w:t>招标人</w:t>
      </w:r>
      <w:r>
        <w:rPr>
          <w:rFonts w:hint="eastAsia" w:ascii="宋体" w:hAnsi="宋体"/>
          <w:bCs/>
          <w:color w:val="0D0D0D"/>
          <w:szCs w:val="24"/>
          <w:highlight w:val="none"/>
        </w:rPr>
        <w:t>不接受任何选择报价，对每一种货物只允许一个报价。</w:t>
      </w:r>
    </w:p>
    <w:p>
      <w:pPr>
        <w:pStyle w:val="11"/>
        <w:widowControl w:val="0"/>
        <w:tabs>
          <w:tab w:val="clear" w:pos="454"/>
          <w:tab w:val="clear" w:pos="900"/>
        </w:tabs>
        <w:snapToGrid w:val="0"/>
        <w:spacing w:before="120" w:beforeLines="50" w:after="120" w:afterLines="0" w:line="360" w:lineRule="auto"/>
        <w:ind w:left="0" w:firstLine="470" w:firstLineChars="196"/>
        <w:rPr>
          <w:rFonts w:hint="eastAsia" w:ascii="宋体" w:hAnsi="宋体"/>
          <w:bCs/>
          <w:color w:val="0D0D0D"/>
          <w:szCs w:val="24"/>
          <w:highlight w:val="none"/>
        </w:rPr>
      </w:pPr>
      <w:r>
        <w:rPr>
          <w:rFonts w:hint="eastAsia" w:ascii="宋体" w:hAnsi="宋体"/>
          <w:bCs/>
          <w:color w:val="0D0D0D"/>
          <w:szCs w:val="24"/>
          <w:highlight w:val="none"/>
        </w:rPr>
        <w:t>4、</w:t>
      </w:r>
      <w:r>
        <w:rPr>
          <w:rFonts w:hint="eastAsia" w:ascii="宋体" w:hAnsi="宋体"/>
          <w:color w:val="0D0D0D"/>
          <w:sz w:val="24"/>
          <w:highlight w:val="none"/>
          <w:lang w:val="en-US" w:eastAsia="zh-CN"/>
        </w:rPr>
        <w:t>招标人</w:t>
      </w:r>
      <w:r>
        <w:rPr>
          <w:rFonts w:hint="eastAsia" w:ascii="宋体" w:hAnsi="宋体"/>
          <w:bCs/>
          <w:color w:val="0D0D0D"/>
          <w:szCs w:val="24"/>
          <w:highlight w:val="none"/>
        </w:rPr>
        <w:t>要求分项报价是为了方便评标，但在任何情况下不限制</w:t>
      </w:r>
      <w:r>
        <w:rPr>
          <w:rFonts w:hint="eastAsia" w:ascii="宋体" w:hAnsi="宋体"/>
          <w:color w:val="0D0D0D"/>
          <w:sz w:val="24"/>
          <w:highlight w:val="none"/>
          <w:lang w:val="en-US" w:eastAsia="zh-CN"/>
        </w:rPr>
        <w:t>招标人</w:t>
      </w:r>
      <w:r>
        <w:rPr>
          <w:rFonts w:hint="eastAsia" w:ascii="宋体" w:hAnsi="宋体"/>
          <w:bCs/>
          <w:color w:val="0D0D0D"/>
          <w:szCs w:val="24"/>
          <w:highlight w:val="none"/>
        </w:rPr>
        <w:t>以其认为最合适的条款、条件签订合同的权利。</w:t>
      </w:r>
    </w:p>
    <w:p>
      <w:pPr>
        <w:pStyle w:val="11"/>
        <w:widowControl w:val="0"/>
        <w:tabs>
          <w:tab w:val="clear" w:pos="454"/>
          <w:tab w:val="clear" w:pos="900"/>
        </w:tabs>
        <w:snapToGrid w:val="0"/>
        <w:spacing w:before="120" w:beforeLines="50" w:after="120" w:afterLines="0" w:line="360" w:lineRule="auto"/>
        <w:ind w:left="0" w:firstLine="470" w:firstLineChars="196"/>
        <w:rPr>
          <w:rFonts w:hint="eastAsia" w:ascii="宋体" w:hAnsi="宋体"/>
          <w:bCs/>
          <w:color w:val="0D0D0D"/>
          <w:szCs w:val="24"/>
          <w:highlight w:val="none"/>
        </w:rPr>
      </w:pPr>
      <w:r>
        <w:rPr>
          <w:rFonts w:hint="eastAsia" w:ascii="宋体" w:hAnsi="宋体"/>
          <w:bCs/>
          <w:color w:val="0D0D0D"/>
          <w:szCs w:val="24"/>
          <w:highlight w:val="none"/>
        </w:rPr>
        <w:t>5、投标人所报的投标价在合同执行过程中是固定不变的，不得以任何理由予以变更。任何包含价格调整的要求，将被认为是非实质性响应投标而予以拒绝。</w:t>
      </w:r>
    </w:p>
    <w:p>
      <w:pPr>
        <w:pStyle w:val="11"/>
        <w:widowControl w:val="0"/>
        <w:tabs>
          <w:tab w:val="clear" w:pos="454"/>
          <w:tab w:val="clear" w:pos="900"/>
        </w:tabs>
        <w:snapToGrid w:val="0"/>
        <w:spacing w:before="120" w:beforeLines="50" w:after="120" w:afterLines="0" w:line="360" w:lineRule="auto"/>
        <w:ind w:left="0" w:firstLine="470" w:firstLineChars="196"/>
        <w:rPr>
          <w:rFonts w:hint="eastAsia" w:ascii="宋体" w:hAnsi="宋体"/>
          <w:bCs/>
          <w:color w:val="0D0D0D"/>
          <w:szCs w:val="24"/>
          <w:highlight w:val="none"/>
        </w:rPr>
      </w:pPr>
      <w:r>
        <w:rPr>
          <w:rFonts w:hint="eastAsia" w:ascii="宋体" w:hAnsi="宋体"/>
          <w:bCs/>
          <w:color w:val="0D0D0D"/>
          <w:szCs w:val="24"/>
          <w:highlight w:val="none"/>
        </w:rPr>
        <w:t>6、相关报价单需打印或用不退色的墨水填写，投标报价单不得涂改和增删，如有错漏必须修改，修改处须由同一签署人签字或盖章。由于字迹模糊或表达不清引起的后果由投标人负责。</w:t>
      </w:r>
    </w:p>
    <w:p>
      <w:pPr>
        <w:pStyle w:val="11"/>
        <w:widowControl w:val="0"/>
        <w:tabs>
          <w:tab w:val="clear" w:pos="454"/>
          <w:tab w:val="clear" w:pos="900"/>
        </w:tabs>
        <w:snapToGrid w:val="0"/>
        <w:spacing w:before="120" w:beforeLines="50" w:after="120" w:afterLines="0" w:line="360" w:lineRule="auto"/>
        <w:ind w:left="0" w:firstLine="472" w:firstLineChars="196"/>
        <w:rPr>
          <w:rFonts w:ascii="宋体" w:hAnsi="宋体"/>
          <w:b/>
          <w:color w:val="0D0D0D"/>
          <w:szCs w:val="24"/>
          <w:highlight w:val="none"/>
        </w:rPr>
      </w:pPr>
      <w:r>
        <w:rPr>
          <w:rFonts w:hint="eastAsia" w:ascii="宋体" w:hAnsi="宋体"/>
          <w:b/>
          <w:color w:val="0D0D0D"/>
          <w:szCs w:val="24"/>
          <w:highlight w:val="none"/>
        </w:rPr>
        <w:t>（四）报价文件的有效期</w:t>
      </w:r>
    </w:p>
    <w:p>
      <w:pPr>
        <w:pStyle w:val="11"/>
        <w:widowControl w:val="0"/>
        <w:tabs>
          <w:tab w:val="clear" w:pos="454"/>
          <w:tab w:val="clear" w:pos="900"/>
        </w:tabs>
        <w:snapToGrid w:val="0"/>
        <w:spacing w:after="120" w:afterLines="0" w:line="360" w:lineRule="auto"/>
        <w:ind w:left="0" w:firstLine="480" w:firstLineChars="200"/>
        <w:rPr>
          <w:rFonts w:ascii="宋体" w:hAnsi="宋体"/>
          <w:color w:val="0D0D0D"/>
          <w:szCs w:val="24"/>
          <w:highlight w:val="none"/>
        </w:rPr>
      </w:pPr>
      <w:r>
        <w:rPr>
          <w:rFonts w:hint="eastAsia" w:ascii="宋体" w:hAnsi="宋体"/>
          <w:color w:val="0D0D0D"/>
          <w:szCs w:val="24"/>
          <w:highlight w:val="none"/>
        </w:rPr>
        <w:t>▲</w:t>
      </w:r>
      <w:r>
        <w:rPr>
          <w:rFonts w:ascii="宋体" w:hAnsi="宋体"/>
          <w:color w:val="0D0D0D"/>
          <w:szCs w:val="24"/>
          <w:highlight w:val="none"/>
        </w:rPr>
        <w:t>1</w:t>
      </w:r>
      <w:r>
        <w:rPr>
          <w:rFonts w:hint="eastAsia" w:ascii="宋体" w:hAnsi="宋体"/>
          <w:color w:val="0D0D0D"/>
          <w:szCs w:val="24"/>
          <w:highlight w:val="none"/>
        </w:rPr>
        <w:t>.</w:t>
      </w:r>
      <w:r>
        <w:rPr>
          <w:rFonts w:ascii="宋体" w:hAnsi="宋体"/>
          <w:color w:val="0D0D0D"/>
          <w:szCs w:val="24"/>
          <w:highlight w:val="none"/>
        </w:rPr>
        <w:t>自投标截止日起</w:t>
      </w:r>
      <w:r>
        <w:rPr>
          <w:rFonts w:hint="eastAsia" w:ascii="宋体" w:hAnsi="宋体"/>
          <w:color w:val="0D0D0D"/>
          <w:szCs w:val="24"/>
          <w:highlight w:val="none"/>
          <w:u w:val="single"/>
        </w:rPr>
        <w:t>90</w:t>
      </w:r>
      <w:r>
        <w:rPr>
          <w:rFonts w:ascii="宋体" w:hAnsi="宋体"/>
          <w:color w:val="0D0D0D"/>
          <w:szCs w:val="24"/>
          <w:highlight w:val="none"/>
        </w:rPr>
        <w:t>天报价文件应保持有效。</w:t>
      </w:r>
      <w:r>
        <w:rPr>
          <w:rFonts w:hint="eastAsia" w:ascii="宋体" w:hAnsi="宋体"/>
          <w:color w:val="0D0D0D"/>
          <w:szCs w:val="24"/>
          <w:highlight w:val="none"/>
        </w:rPr>
        <w:t>中标人报价文件有效期延长至合同有效期。</w:t>
      </w:r>
      <w:r>
        <w:rPr>
          <w:rFonts w:ascii="宋体" w:hAnsi="宋体"/>
          <w:color w:val="0D0D0D"/>
          <w:szCs w:val="24"/>
          <w:highlight w:val="none"/>
        </w:rPr>
        <w:t>有效期</w:t>
      </w:r>
      <w:r>
        <w:rPr>
          <w:rFonts w:hint="eastAsia" w:ascii="宋体" w:hAnsi="宋体"/>
          <w:color w:val="0D0D0D"/>
          <w:szCs w:val="24"/>
          <w:highlight w:val="none"/>
        </w:rPr>
        <w:t>不足</w:t>
      </w:r>
      <w:r>
        <w:rPr>
          <w:rFonts w:ascii="宋体" w:hAnsi="宋体"/>
          <w:color w:val="0D0D0D"/>
          <w:szCs w:val="24"/>
          <w:highlight w:val="none"/>
        </w:rPr>
        <w:t>的报价文件将被拒绝。</w:t>
      </w:r>
    </w:p>
    <w:p>
      <w:pPr>
        <w:pStyle w:val="11"/>
        <w:widowControl w:val="0"/>
        <w:tabs>
          <w:tab w:val="clear" w:pos="454"/>
          <w:tab w:val="clear" w:pos="900"/>
        </w:tabs>
        <w:snapToGrid w:val="0"/>
        <w:spacing w:after="120" w:afterLines="0" w:line="360" w:lineRule="auto"/>
        <w:ind w:left="0" w:firstLine="480" w:firstLineChars="200"/>
        <w:rPr>
          <w:rFonts w:ascii="宋体" w:hAnsi="宋体"/>
          <w:color w:val="0D0D0D"/>
          <w:szCs w:val="24"/>
          <w:highlight w:val="none"/>
        </w:rPr>
      </w:pPr>
      <w:r>
        <w:rPr>
          <w:rFonts w:ascii="宋体" w:hAnsi="宋体"/>
          <w:color w:val="0D0D0D"/>
          <w:szCs w:val="24"/>
          <w:highlight w:val="none"/>
        </w:rPr>
        <w:t>2</w:t>
      </w:r>
      <w:r>
        <w:rPr>
          <w:rFonts w:hint="eastAsia" w:ascii="宋体" w:hAnsi="宋体"/>
          <w:color w:val="0D0D0D"/>
          <w:szCs w:val="24"/>
          <w:highlight w:val="none"/>
        </w:rPr>
        <w:t>.</w:t>
      </w:r>
      <w:r>
        <w:rPr>
          <w:rFonts w:ascii="宋体" w:hAnsi="宋体"/>
          <w:color w:val="0D0D0D"/>
          <w:szCs w:val="24"/>
          <w:highlight w:val="none"/>
        </w:rPr>
        <w:t>在特殊情况下，招标人可与投标人协商延长投标书的有效期，这种要求和答复均以书面形式进行。</w:t>
      </w:r>
    </w:p>
    <w:p>
      <w:pPr>
        <w:snapToGrid w:val="0"/>
        <w:spacing w:line="360" w:lineRule="auto"/>
        <w:ind w:firstLine="480" w:firstLineChars="200"/>
        <w:jc w:val="left"/>
        <w:outlineLvl w:val="0"/>
        <w:rPr>
          <w:rFonts w:ascii="宋体" w:hAnsi="宋体"/>
          <w:b/>
          <w:color w:val="0D0D0D"/>
          <w:sz w:val="24"/>
          <w:szCs w:val="20"/>
          <w:highlight w:val="none"/>
        </w:rPr>
      </w:pPr>
      <w:r>
        <w:rPr>
          <w:rFonts w:ascii="宋体" w:hAnsi="宋体"/>
          <w:color w:val="0D0D0D"/>
          <w:sz w:val="24"/>
          <w:highlight w:val="none"/>
        </w:rPr>
        <w:t>3</w:t>
      </w:r>
      <w:r>
        <w:rPr>
          <w:rFonts w:hint="eastAsia" w:ascii="宋体" w:hAnsi="宋体"/>
          <w:color w:val="0D0D0D"/>
          <w:sz w:val="24"/>
          <w:highlight w:val="none"/>
        </w:rPr>
        <w:t>.</w:t>
      </w:r>
      <w:r>
        <w:rPr>
          <w:rFonts w:ascii="宋体" w:hAnsi="宋体"/>
          <w:color w:val="0D0D0D"/>
          <w:sz w:val="24"/>
          <w:highlight w:val="none"/>
        </w:rPr>
        <w:t>投标人可拒绝接受延期要求而不会导致投标保证金被没收。同意延长有效期的投标人需要相应延长投标保证金的有效期，但不能修改报价文件。</w:t>
      </w:r>
      <w:r>
        <w:rPr>
          <w:rFonts w:ascii="宋体" w:hAnsi="宋体"/>
          <w:b/>
          <w:color w:val="0D0D0D"/>
          <w:sz w:val="24"/>
          <w:highlight w:val="none"/>
        </w:rPr>
        <w:t xml:space="preserve"> </w:t>
      </w:r>
    </w:p>
    <w:p>
      <w:pPr>
        <w:snapToGrid w:val="0"/>
        <w:spacing w:line="360" w:lineRule="auto"/>
        <w:ind w:firstLine="480" w:firstLineChars="200"/>
        <w:jc w:val="left"/>
        <w:outlineLvl w:val="0"/>
        <w:rPr>
          <w:rFonts w:hint="eastAsia" w:ascii="宋体" w:hAnsi="宋体"/>
          <w:b/>
          <w:color w:val="0D0D0D"/>
          <w:sz w:val="24"/>
          <w:highlight w:val="none"/>
        </w:rPr>
      </w:pPr>
      <w:r>
        <w:rPr>
          <w:rFonts w:ascii="宋体" w:hAnsi="宋体"/>
          <w:color w:val="0D0D0D"/>
          <w:sz w:val="24"/>
          <w:highlight w:val="none"/>
        </w:rPr>
        <w:t>4</w:t>
      </w:r>
      <w:r>
        <w:rPr>
          <w:rFonts w:hint="eastAsia" w:ascii="宋体" w:hAnsi="宋体"/>
          <w:color w:val="0D0D0D"/>
          <w:sz w:val="24"/>
          <w:highlight w:val="none"/>
        </w:rPr>
        <w:t>.</w:t>
      </w:r>
      <w:r>
        <w:rPr>
          <w:rFonts w:ascii="宋体" w:hAnsi="宋体"/>
          <w:color w:val="0D0D0D"/>
          <w:sz w:val="24"/>
          <w:highlight w:val="none"/>
        </w:rPr>
        <w:t>中标人的报价文件自开标之日起至合同履行完毕止均应保持有效。</w:t>
      </w:r>
    </w:p>
    <w:p>
      <w:pPr>
        <w:pStyle w:val="11"/>
        <w:widowControl w:val="0"/>
        <w:tabs>
          <w:tab w:val="clear" w:pos="454"/>
          <w:tab w:val="clear" w:pos="900"/>
        </w:tabs>
        <w:snapToGrid w:val="0"/>
        <w:spacing w:after="0" w:afterLines="0" w:line="360" w:lineRule="auto"/>
        <w:ind w:left="0" w:firstLine="472" w:firstLineChars="196"/>
        <w:rPr>
          <w:rFonts w:hint="eastAsia" w:ascii="宋体" w:hAnsi="宋体"/>
          <w:b/>
          <w:color w:val="auto"/>
          <w:szCs w:val="24"/>
          <w:highlight w:val="none"/>
        </w:rPr>
      </w:pPr>
      <w:r>
        <w:rPr>
          <w:rFonts w:hint="eastAsia" w:ascii="宋体" w:hAnsi="宋体"/>
          <w:b/>
          <w:color w:val="auto"/>
          <w:szCs w:val="24"/>
          <w:highlight w:val="none"/>
        </w:rPr>
        <w:t>（</w:t>
      </w:r>
      <w:r>
        <w:rPr>
          <w:rFonts w:hint="eastAsia" w:ascii="宋体" w:hAnsi="宋体"/>
          <w:b/>
          <w:color w:val="auto"/>
          <w:szCs w:val="24"/>
          <w:highlight w:val="none"/>
          <w:lang w:val="en-US" w:eastAsia="zh-CN"/>
        </w:rPr>
        <w:t>五</w:t>
      </w:r>
      <w:r>
        <w:rPr>
          <w:rFonts w:hint="eastAsia" w:ascii="宋体" w:hAnsi="宋体"/>
          <w:b/>
          <w:color w:val="auto"/>
          <w:szCs w:val="24"/>
          <w:highlight w:val="none"/>
        </w:rPr>
        <w:t>）投标保证金</w:t>
      </w:r>
    </w:p>
    <w:p>
      <w:pPr>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1.投标人须按规定提交投标保证金。否则，其投标将被拒绝。</w:t>
      </w:r>
    </w:p>
    <w:p>
      <w:pPr>
        <w:snapToGrid w:val="0"/>
        <w:spacing w:line="360" w:lineRule="auto"/>
        <w:ind w:left="476" w:leftChars="170" w:firstLine="0" w:firstLineChars="0"/>
        <w:jc w:val="left"/>
        <w:rPr>
          <w:rFonts w:hint="eastAsia" w:ascii="宋体" w:hAnsi="宋体" w:eastAsia="宋体" w:cs="Times New Roman"/>
          <w:color w:val="auto"/>
          <w:sz w:val="24"/>
          <w:highlight w:val="none"/>
        </w:rPr>
      </w:pPr>
      <w:r>
        <w:rPr>
          <w:rFonts w:hint="eastAsia" w:ascii="宋体" w:hAnsi="宋体"/>
          <w:color w:val="auto"/>
          <w:sz w:val="24"/>
          <w:highlight w:val="none"/>
        </w:rPr>
        <w:t>2.保证金形式：</w:t>
      </w:r>
      <w:r>
        <w:rPr>
          <w:rFonts w:hint="eastAsia" w:ascii="宋体" w:hAnsi="宋体" w:eastAsia="宋体" w:cs="宋体"/>
          <w:bCs/>
          <w:kern w:val="0"/>
          <w:sz w:val="24"/>
          <w:highlight w:val="none"/>
        </w:rPr>
        <w:t>现金转账、银行保函、保险机构保证保险保单、融资担保公司保函。</w:t>
      </w:r>
      <w:r>
        <w:rPr>
          <w:rFonts w:hint="eastAsia" w:ascii="宋体" w:hAnsi="宋体" w:eastAsia="宋体" w:cs="Times New Roman"/>
          <w:color w:val="auto"/>
          <w:sz w:val="24"/>
          <w:highlight w:val="none"/>
        </w:rPr>
        <w:t>3.未中标人的投标保证金在中标通知书发出后5个工作日内退还。</w:t>
      </w:r>
    </w:p>
    <w:p>
      <w:pPr>
        <w:snapToGrid w:val="0"/>
        <w:spacing w:line="360" w:lineRule="auto"/>
        <w:ind w:firstLine="480" w:firstLineChars="200"/>
        <w:jc w:val="left"/>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4.中标人应在中标通知书发出后</w:t>
      </w:r>
      <w:r>
        <w:rPr>
          <w:rFonts w:hint="eastAsia" w:ascii="宋体" w:hAnsi="宋体" w:eastAsia="宋体" w:cs="Times New Roman"/>
          <w:color w:val="auto"/>
          <w:sz w:val="24"/>
          <w:highlight w:val="none"/>
          <w:lang w:val="en-US" w:eastAsia="zh-CN"/>
        </w:rPr>
        <w:t>30</w:t>
      </w:r>
      <w:r>
        <w:rPr>
          <w:rFonts w:hint="eastAsia" w:ascii="宋体" w:hAnsi="宋体" w:eastAsia="宋体" w:cs="Times New Roman"/>
          <w:color w:val="auto"/>
          <w:sz w:val="24"/>
          <w:highlight w:val="none"/>
        </w:rPr>
        <w:t>日内与</w:t>
      </w:r>
      <w:r>
        <w:rPr>
          <w:rFonts w:hint="eastAsia" w:ascii="宋体" w:hAnsi="宋体"/>
          <w:color w:val="0D0D0D"/>
          <w:sz w:val="24"/>
          <w:highlight w:val="none"/>
          <w:lang w:val="en-US" w:eastAsia="zh-CN"/>
        </w:rPr>
        <w:t>招标人</w:t>
      </w:r>
      <w:r>
        <w:rPr>
          <w:rFonts w:hint="eastAsia" w:ascii="宋体" w:hAnsi="宋体" w:eastAsia="宋体" w:cs="Times New Roman"/>
          <w:color w:val="auto"/>
          <w:sz w:val="24"/>
          <w:highlight w:val="none"/>
        </w:rPr>
        <w:t>签订合同，中标人的投标保证金在合同签订后</w:t>
      </w:r>
      <w:r>
        <w:rPr>
          <w:rFonts w:hint="eastAsia" w:ascii="宋体" w:hAnsi="宋体" w:eastAsia="宋体" w:cs="Times New Roman"/>
          <w:color w:val="auto"/>
          <w:sz w:val="24"/>
          <w:highlight w:val="none"/>
          <w:lang w:val="en-US" w:eastAsia="zh-CN"/>
        </w:rPr>
        <w:t>5个工作日</w:t>
      </w:r>
      <w:r>
        <w:rPr>
          <w:rFonts w:hint="eastAsia" w:ascii="宋体" w:hAnsi="宋体" w:eastAsia="宋体" w:cs="Times New Roman"/>
          <w:color w:val="auto"/>
          <w:sz w:val="24"/>
          <w:highlight w:val="none"/>
        </w:rPr>
        <w:t>内退还。</w:t>
      </w:r>
    </w:p>
    <w:p>
      <w:pPr>
        <w:snapToGrid w:val="0"/>
        <w:spacing w:line="360" w:lineRule="auto"/>
        <w:ind w:firstLine="472" w:firstLineChars="196"/>
        <w:jc w:val="left"/>
        <w:rPr>
          <w:rFonts w:ascii="宋体" w:hAnsi="宋体"/>
          <w:b/>
          <w:bCs/>
          <w:color w:val="auto"/>
          <w:sz w:val="24"/>
          <w:highlight w:val="none"/>
        </w:rPr>
      </w:pPr>
      <w:r>
        <w:rPr>
          <w:rFonts w:hint="eastAsia" w:ascii="宋体" w:hAnsi="宋体"/>
          <w:b/>
          <w:bCs/>
          <w:color w:val="auto"/>
          <w:sz w:val="24"/>
          <w:highlight w:val="none"/>
          <w:lang w:val="en-US" w:eastAsia="zh-CN"/>
        </w:rPr>
        <w:t>5</w:t>
      </w:r>
      <w:r>
        <w:rPr>
          <w:rFonts w:hint="eastAsia" w:ascii="宋体" w:hAnsi="宋体"/>
          <w:b/>
          <w:bCs/>
          <w:color w:val="auto"/>
          <w:sz w:val="24"/>
          <w:highlight w:val="none"/>
        </w:rPr>
        <w:t>.投标人有下列情形之一的，投标保证金将不予退还：</w:t>
      </w:r>
    </w:p>
    <w:p>
      <w:pPr>
        <w:snapToGrid w:val="0"/>
        <w:spacing w:line="360" w:lineRule="auto"/>
        <w:ind w:firstLine="470" w:firstLineChars="196"/>
        <w:jc w:val="left"/>
        <w:rPr>
          <w:rFonts w:ascii="宋体" w:hAnsi="宋体"/>
          <w:color w:val="auto"/>
          <w:sz w:val="24"/>
          <w:highlight w:val="none"/>
        </w:rPr>
      </w:pPr>
      <w:r>
        <w:rPr>
          <w:rFonts w:hint="eastAsia" w:ascii="宋体" w:hAnsi="宋体"/>
          <w:color w:val="auto"/>
          <w:sz w:val="24"/>
          <w:highlight w:val="none"/>
        </w:rPr>
        <w:t>（1）投标人在投标有效期内撤回投标文件的；</w:t>
      </w:r>
    </w:p>
    <w:p>
      <w:pPr>
        <w:snapToGrid w:val="0"/>
        <w:spacing w:line="360" w:lineRule="auto"/>
        <w:ind w:firstLine="470" w:firstLineChars="196"/>
        <w:jc w:val="left"/>
        <w:rPr>
          <w:rFonts w:ascii="宋体" w:hAnsi="宋体"/>
          <w:color w:val="auto"/>
          <w:sz w:val="24"/>
          <w:highlight w:val="none"/>
        </w:rPr>
      </w:pPr>
      <w:r>
        <w:rPr>
          <w:rFonts w:hint="eastAsia" w:ascii="宋体" w:hAnsi="宋体"/>
          <w:color w:val="auto"/>
          <w:sz w:val="24"/>
          <w:highlight w:val="none"/>
        </w:rPr>
        <w:t>（2）未按规定提交履约保证金的；</w:t>
      </w:r>
    </w:p>
    <w:p>
      <w:pPr>
        <w:snapToGrid w:val="0"/>
        <w:spacing w:line="360" w:lineRule="auto"/>
        <w:ind w:firstLine="470" w:firstLineChars="196"/>
        <w:jc w:val="left"/>
        <w:rPr>
          <w:rFonts w:ascii="宋体" w:hAnsi="宋体"/>
          <w:color w:val="auto"/>
          <w:sz w:val="24"/>
          <w:highlight w:val="none"/>
        </w:rPr>
      </w:pPr>
      <w:r>
        <w:rPr>
          <w:rFonts w:hint="eastAsia" w:ascii="宋体" w:hAnsi="宋体"/>
          <w:color w:val="auto"/>
          <w:sz w:val="24"/>
          <w:highlight w:val="none"/>
        </w:rPr>
        <w:t>（3）投标人在投标过程中弄虚作假，提供虚假材料的；</w:t>
      </w:r>
    </w:p>
    <w:p>
      <w:pPr>
        <w:snapToGrid w:val="0"/>
        <w:spacing w:line="360" w:lineRule="auto"/>
        <w:ind w:firstLine="470" w:firstLineChars="196"/>
        <w:rPr>
          <w:rFonts w:ascii="宋体" w:hAnsi="宋体"/>
          <w:color w:val="auto"/>
          <w:sz w:val="24"/>
          <w:highlight w:val="none"/>
        </w:rPr>
      </w:pPr>
      <w:r>
        <w:rPr>
          <w:rFonts w:hint="eastAsia" w:ascii="宋体" w:hAnsi="宋体"/>
          <w:color w:val="auto"/>
          <w:sz w:val="24"/>
          <w:highlight w:val="none"/>
        </w:rPr>
        <w:t>（4）中标人无正当理由不与采购单位签订合同的；</w:t>
      </w:r>
    </w:p>
    <w:p>
      <w:pPr>
        <w:snapToGrid w:val="0"/>
        <w:spacing w:line="360" w:lineRule="auto"/>
        <w:ind w:firstLine="470" w:firstLineChars="196"/>
        <w:rPr>
          <w:rFonts w:ascii="宋体" w:hAnsi="宋体"/>
          <w:color w:val="auto"/>
          <w:sz w:val="24"/>
          <w:highlight w:val="none"/>
        </w:rPr>
      </w:pPr>
      <w:r>
        <w:rPr>
          <w:rFonts w:hint="eastAsia" w:ascii="宋体" w:hAnsi="宋体"/>
          <w:color w:val="auto"/>
          <w:sz w:val="24"/>
          <w:highlight w:val="none"/>
        </w:rPr>
        <w:t>（5）</w:t>
      </w:r>
      <w:r>
        <w:rPr>
          <w:rFonts w:hint="eastAsia" w:ascii="宋体" w:hAnsi="宋体"/>
          <w:bCs/>
          <w:color w:val="auto"/>
          <w:sz w:val="24"/>
          <w:highlight w:val="none"/>
        </w:rPr>
        <w:t>将中标项目转让给他人或者在投标文件中未说明且未经招标人同意，将中标项目分包给他人的；</w:t>
      </w:r>
    </w:p>
    <w:p>
      <w:pPr>
        <w:snapToGrid w:val="0"/>
        <w:spacing w:line="360" w:lineRule="auto"/>
        <w:ind w:firstLine="470" w:firstLineChars="196"/>
        <w:rPr>
          <w:rFonts w:hint="eastAsia" w:ascii="宋体" w:hAnsi="宋体"/>
          <w:color w:val="auto"/>
          <w:sz w:val="24"/>
          <w:highlight w:val="none"/>
          <w:lang w:eastAsia="zh-CN"/>
        </w:rPr>
      </w:pPr>
      <w:r>
        <w:rPr>
          <w:rFonts w:hint="eastAsia" w:ascii="宋体" w:hAnsi="宋体"/>
          <w:color w:val="auto"/>
          <w:sz w:val="24"/>
          <w:highlight w:val="none"/>
        </w:rPr>
        <w:t>（</w:t>
      </w:r>
      <w:r>
        <w:rPr>
          <w:rFonts w:hint="eastAsia" w:ascii="宋体" w:hAnsi="宋体"/>
          <w:color w:val="auto"/>
          <w:sz w:val="24"/>
          <w:highlight w:val="none"/>
          <w:lang w:val="en-US" w:eastAsia="zh-CN"/>
        </w:rPr>
        <w:t>6</w:t>
      </w:r>
      <w:r>
        <w:rPr>
          <w:rFonts w:hint="eastAsia" w:ascii="宋体" w:hAnsi="宋体"/>
          <w:color w:val="auto"/>
          <w:sz w:val="24"/>
          <w:highlight w:val="none"/>
        </w:rPr>
        <w:t>）有《关于印发&lt;台州市工程建设投标保函管理规定&gt;的通知》（台公管办〔2022〕2号）第十一条规定情形的</w:t>
      </w:r>
      <w:r>
        <w:rPr>
          <w:rFonts w:hint="eastAsia" w:ascii="宋体" w:hAnsi="宋体"/>
          <w:color w:val="auto"/>
          <w:sz w:val="24"/>
          <w:highlight w:val="none"/>
          <w:lang w:eastAsia="zh-CN"/>
        </w:rPr>
        <w:t>：</w:t>
      </w:r>
    </w:p>
    <w:p>
      <w:pPr>
        <w:snapToGrid w:val="0"/>
        <w:spacing w:line="360" w:lineRule="auto"/>
        <w:ind w:firstLine="470" w:firstLineChars="196"/>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1）</w:t>
      </w:r>
      <w:r>
        <w:rPr>
          <w:rFonts w:hint="eastAsia" w:ascii="宋体" w:hAnsi="宋体" w:eastAsia="宋体" w:cs="Times New Roman"/>
          <w:color w:val="auto"/>
          <w:sz w:val="24"/>
          <w:highlight w:val="none"/>
        </w:rPr>
        <w:t>投标截止时间后，投标人撤销投标文件的；</w:t>
      </w:r>
    </w:p>
    <w:p>
      <w:pPr>
        <w:snapToGrid w:val="0"/>
        <w:spacing w:line="360" w:lineRule="auto"/>
        <w:ind w:firstLine="470" w:firstLineChars="196"/>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2）</w:t>
      </w:r>
      <w:r>
        <w:rPr>
          <w:rFonts w:hint="eastAsia" w:ascii="宋体" w:hAnsi="宋体" w:eastAsia="宋体" w:cs="Times New Roman"/>
          <w:color w:val="auto"/>
          <w:sz w:val="24"/>
          <w:highlight w:val="none"/>
        </w:rPr>
        <w:t>投标人放弃中标候选人或中标资格的（包括中标人无正当理由不与招标人订立合同；在签订合同时向招标人提出附加条件；不按照招标文件要求提交履约担保）；</w:t>
      </w:r>
    </w:p>
    <w:p>
      <w:pPr>
        <w:snapToGrid w:val="0"/>
        <w:spacing w:line="360" w:lineRule="auto"/>
        <w:ind w:firstLine="480" w:firstLineChars="200"/>
        <w:jc w:val="left"/>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3）</w:t>
      </w:r>
      <w:r>
        <w:rPr>
          <w:rFonts w:hint="eastAsia" w:ascii="宋体" w:hAnsi="宋体" w:eastAsia="宋体" w:cs="Times New Roman"/>
          <w:color w:val="auto"/>
          <w:sz w:val="24"/>
          <w:highlight w:val="none"/>
        </w:rPr>
        <w:t>投标人存在串通投标或弄虚作假违法行为的（包括但不限于同一项目不同投标人的电子投标文件的文件制作机器码或文件创建标识码相同的；不同投标人从同一投标单位或同一自然人的IP地址下载招标文件、上传投标文件、购买保函或参加投标活动的人员为同一标段其他投标人的在职人员的；不同投标人通过同一单位或者个人账户购买保函的）；</w:t>
      </w:r>
    </w:p>
    <w:p>
      <w:pPr>
        <w:snapToGrid w:val="0"/>
        <w:spacing w:line="360" w:lineRule="auto"/>
        <w:ind w:firstLine="480" w:firstLineChars="200"/>
        <w:jc w:val="left"/>
        <w:rPr>
          <w:rFonts w:hint="eastAsia" w:ascii="宋体" w:hAnsi="宋体" w:eastAsia="宋体" w:cs="Times New Roman"/>
          <w:color w:val="auto"/>
          <w:sz w:val="24"/>
          <w:highlight w:val="none"/>
          <w:lang w:eastAsia="zh-CN"/>
        </w:rPr>
      </w:pPr>
      <w:r>
        <w:rPr>
          <w:rFonts w:hint="eastAsia" w:ascii="宋体" w:hAnsi="宋体" w:eastAsia="宋体" w:cs="Times New Roman"/>
          <w:color w:val="auto"/>
          <w:sz w:val="24"/>
          <w:highlight w:val="none"/>
          <w:lang w:val="en-US" w:eastAsia="zh-CN"/>
        </w:rPr>
        <w:t>4）</w:t>
      </w:r>
      <w:r>
        <w:rPr>
          <w:rFonts w:hint="eastAsia" w:ascii="宋体" w:hAnsi="宋体" w:eastAsia="宋体" w:cs="Times New Roman"/>
          <w:color w:val="auto"/>
          <w:sz w:val="24"/>
          <w:highlight w:val="none"/>
        </w:rPr>
        <w:t>有关法律法规规定的其他情形。</w:t>
      </w:r>
    </w:p>
    <w:p>
      <w:pPr>
        <w:snapToGrid w:val="0"/>
        <w:spacing w:line="360" w:lineRule="auto"/>
        <w:ind w:firstLine="480" w:firstLineChars="200"/>
        <w:jc w:val="left"/>
        <w:rPr>
          <w:rFonts w:hint="eastAsia" w:ascii="宋体" w:hAnsi="宋体" w:eastAsia="宋体" w:cs="Times New Roman"/>
          <w:color w:val="auto"/>
          <w:sz w:val="24"/>
          <w:highlight w:val="none"/>
          <w:lang w:eastAsia="zh-CN"/>
        </w:rPr>
      </w:pPr>
      <w:r>
        <w:rPr>
          <w:rFonts w:hint="eastAsia" w:ascii="宋体" w:hAnsi="宋体" w:eastAsia="宋体" w:cs="Times New Roman"/>
          <w:color w:val="auto"/>
          <w:sz w:val="24"/>
          <w:highlight w:val="none"/>
        </w:rPr>
        <w:t>（</w:t>
      </w:r>
      <w:r>
        <w:rPr>
          <w:rFonts w:hint="eastAsia" w:ascii="宋体" w:hAnsi="宋体" w:eastAsia="宋体" w:cs="Times New Roman"/>
          <w:color w:val="auto"/>
          <w:sz w:val="24"/>
          <w:highlight w:val="none"/>
          <w:lang w:val="en-US" w:eastAsia="zh-CN"/>
        </w:rPr>
        <w:t>7</w:t>
      </w:r>
      <w:r>
        <w:rPr>
          <w:rFonts w:hint="eastAsia" w:ascii="宋体" w:hAnsi="宋体" w:eastAsia="宋体" w:cs="Times New Roman"/>
          <w:color w:val="auto"/>
          <w:sz w:val="24"/>
          <w:highlight w:val="none"/>
        </w:rPr>
        <w:t>）其他严重扰乱招投标程序的</w:t>
      </w:r>
      <w:r>
        <w:rPr>
          <w:rFonts w:hint="eastAsia" w:ascii="宋体" w:hAnsi="宋体" w:eastAsia="宋体" w:cs="Times New Roman"/>
          <w:color w:val="auto"/>
          <w:sz w:val="24"/>
          <w:highlight w:val="none"/>
          <w:lang w:eastAsia="zh-CN"/>
        </w:rPr>
        <w:t>。</w:t>
      </w:r>
    </w:p>
    <w:p>
      <w:pPr>
        <w:snapToGrid w:val="0"/>
        <w:spacing w:line="360" w:lineRule="auto"/>
        <w:ind w:firstLine="482" w:firstLineChars="200"/>
        <w:jc w:val="left"/>
        <w:rPr>
          <w:rFonts w:hint="eastAsia" w:ascii="宋体" w:hAnsi="宋体" w:eastAsia="宋体" w:cs="Times New Roman"/>
          <w:b/>
          <w:bCs/>
          <w:color w:val="auto"/>
          <w:sz w:val="24"/>
          <w:highlight w:val="none"/>
        </w:rPr>
      </w:pPr>
      <w:r>
        <w:rPr>
          <w:rFonts w:hint="eastAsia" w:ascii="宋体" w:hAnsi="宋体" w:eastAsia="宋体" w:cs="Times New Roman"/>
          <w:b/>
          <w:bCs/>
          <w:color w:val="auto"/>
          <w:sz w:val="24"/>
          <w:highlight w:val="none"/>
        </w:rPr>
        <w:t>（</w:t>
      </w:r>
      <w:r>
        <w:rPr>
          <w:rFonts w:hint="eastAsia" w:ascii="宋体" w:hAnsi="宋体" w:eastAsia="宋体" w:cs="Times New Roman"/>
          <w:b/>
          <w:bCs/>
          <w:color w:val="auto"/>
          <w:sz w:val="24"/>
          <w:highlight w:val="none"/>
          <w:lang w:val="en-US" w:eastAsia="zh-CN"/>
        </w:rPr>
        <w:t>六</w:t>
      </w:r>
      <w:r>
        <w:rPr>
          <w:rFonts w:hint="eastAsia" w:ascii="宋体" w:hAnsi="宋体" w:eastAsia="宋体" w:cs="Times New Roman"/>
          <w:b/>
          <w:bCs/>
          <w:color w:val="auto"/>
          <w:sz w:val="24"/>
          <w:highlight w:val="none"/>
        </w:rPr>
        <w:t>）报价文件的签署和份数</w:t>
      </w:r>
    </w:p>
    <w:p>
      <w:pPr>
        <w:snapToGrid w:val="0"/>
        <w:spacing w:line="360" w:lineRule="auto"/>
        <w:ind w:firstLine="480" w:firstLineChars="200"/>
        <w:jc w:val="left"/>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1.投标人按本招标文件规定的要求使用电子投标文件，并标注页码，投标文件内容不完整、编排混乱导致投标文件被误读、漏读或者查找不到相关内容的，是投标人的责任。</w:t>
      </w:r>
    </w:p>
    <w:p>
      <w:pPr>
        <w:snapToGrid w:val="0"/>
        <w:spacing w:line="360" w:lineRule="auto"/>
        <w:ind w:firstLine="480" w:firstLineChars="200"/>
        <w:jc w:val="left"/>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2.投标文件须由投标人在规定位置盖章并由法定代表人</w:t>
      </w:r>
      <w:r>
        <w:rPr>
          <w:rFonts w:hint="eastAsia" w:ascii="宋体"/>
          <w:sz w:val="24"/>
          <w:highlight w:val="none"/>
          <w:lang w:val="en-US" w:eastAsia="zh-CN"/>
        </w:rPr>
        <w:t>/经营者</w:t>
      </w:r>
      <w:r>
        <w:rPr>
          <w:rFonts w:hint="eastAsia" w:ascii="宋体" w:hAnsi="宋体" w:eastAsia="宋体" w:cs="Times New Roman"/>
          <w:color w:val="auto"/>
          <w:sz w:val="24"/>
          <w:highlight w:val="none"/>
        </w:rPr>
        <w:t>或法定代表人</w:t>
      </w:r>
      <w:r>
        <w:rPr>
          <w:rFonts w:hint="eastAsia" w:ascii="宋体"/>
          <w:sz w:val="24"/>
          <w:highlight w:val="none"/>
          <w:lang w:val="en-US" w:eastAsia="zh-CN"/>
        </w:rPr>
        <w:t>/经营者</w:t>
      </w:r>
      <w:r>
        <w:rPr>
          <w:rFonts w:hint="eastAsia" w:ascii="宋体" w:hAnsi="宋体" w:eastAsia="宋体" w:cs="Times New Roman"/>
          <w:color w:val="auto"/>
          <w:sz w:val="24"/>
          <w:highlight w:val="none"/>
        </w:rPr>
        <w:t>的授权委托人签署或盖章，投标人应写全称。</w:t>
      </w:r>
    </w:p>
    <w:p>
      <w:pPr>
        <w:snapToGrid w:val="0"/>
        <w:spacing w:line="360" w:lineRule="auto"/>
        <w:ind w:firstLine="480" w:firstLineChars="200"/>
        <w:jc w:val="left"/>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3.投标文件不得涂改，若有修改错漏处，须加盖单位公章或者法定代表人</w:t>
      </w:r>
      <w:r>
        <w:rPr>
          <w:rFonts w:hint="eastAsia" w:ascii="宋体"/>
          <w:sz w:val="24"/>
          <w:highlight w:val="none"/>
          <w:lang w:val="en-US" w:eastAsia="zh-CN"/>
        </w:rPr>
        <w:t>/经营者</w:t>
      </w:r>
      <w:r>
        <w:rPr>
          <w:rFonts w:hint="eastAsia" w:ascii="宋体" w:hAnsi="宋体" w:eastAsia="宋体" w:cs="Times New Roman"/>
          <w:color w:val="auto"/>
          <w:sz w:val="24"/>
          <w:highlight w:val="none"/>
        </w:rPr>
        <w:t>或授权委托人签字或盖章。投标文件因字迹潦草或表达不清所引起的后果由投标人负责。</w:t>
      </w:r>
    </w:p>
    <w:p>
      <w:pPr>
        <w:snapToGrid w:val="0"/>
        <w:spacing w:line="360" w:lineRule="auto"/>
        <w:ind w:firstLine="482" w:firstLineChars="200"/>
        <w:jc w:val="left"/>
        <w:rPr>
          <w:rFonts w:hint="eastAsia" w:ascii="宋体" w:hAnsi="宋体" w:eastAsia="宋体" w:cs="Times New Roman"/>
          <w:b/>
          <w:bCs/>
          <w:color w:val="auto"/>
          <w:sz w:val="24"/>
          <w:highlight w:val="none"/>
        </w:rPr>
      </w:pPr>
      <w:r>
        <w:rPr>
          <w:rFonts w:hint="eastAsia" w:ascii="宋体" w:hAnsi="宋体" w:eastAsia="宋体" w:cs="Times New Roman"/>
          <w:b/>
          <w:bCs/>
          <w:color w:val="auto"/>
          <w:sz w:val="24"/>
          <w:highlight w:val="none"/>
        </w:rPr>
        <w:t>（</w:t>
      </w:r>
      <w:r>
        <w:rPr>
          <w:rFonts w:hint="eastAsia" w:ascii="宋体" w:hAnsi="宋体" w:eastAsia="宋体" w:cs="Times New Roman"/>
          <w:b/>
          <w:bCs/>
          <w:color w:val="auto"/>
          <w:sz w:val="24"/>
          <w:highlight w:val="none"/>
          <w:lang w:val="en-US" w:eastAsia="zh-CN"/>
        </w:rPr>
        <w:t>七</w:t>
      </w:r>
      <w:r>
        <w:rPr>
          <w:rFonts w:hint="eastAsia" w:ascii="宋体" w:hAnsi="宋体" w:eastAsia="宋体" w:cs="Times New Roman"/>
          <w:b/>
          <w:bCs/>
          <w:color w:val="auto"/>
          <w:sz w:val="24"/>
          <w:highlight w:val="none"/>
        </w:rPr>
        <w:t>）报价文件的包装、递交、修改和撤回</w:t>
      </w:r>
    </w:p>
    <w:p>
      <w:pPr>
        <w:snapToGrid w:val="0"/>
        <w:spacing w:line="360" w:lineRule="auto"/>
        <w:ind w:firstLine="480" w:firstLineChars="200"/>
        <w:jc w:val="left"/>
        <w:rPr>
          <w:rFonts w:hint="eastAsia" w:ascii="宋体" w:hAnsi="宋体" w:eastAsia="宋体" w:cs="Times New Roman"/>
          <w:color w:val="auto"/>
          <w:sz w:val="24"/>
          <w:highlight w:val="none"/>
          <w:lang w:eastAsia="zh-CN"/>
        </w:rPr>
      </w:pPr>
      <w:r>
        <w:rPr>
          <w:rFonts w:hint="eastAsia" w:ascii="宋体" w:hAnsi="宋体" w:eastAsia="宋体" w:cs="Times New Roman"/>
          <w:color w:val="auto"/>
          <w:sz w:val="24"/>
          <w:highlight w:val="none"/>
        </w:rPr>
        <w:t>1.本工程采用电子投标，无需纸质投标文件</w:t>
      </w:r>
      <w:r>
        <w:rPr>
          <w:rFonts w:hint="eastAsia" w:ascii="宋体" w:hAnsi="宋体" w:eastAsia="宋体" w:cs="Times New Roman"/>
          <w:color w:val="auto"/>
          <w:sz w:val="24"/>
          <w:highlight w:val="none"/>
          <w:lang w:eastAsia="zh-CN"/>
        </w:rPr>
        <w:t>。</w:t>
      </w:r>
    </w:p>
    <w:p>
      <w:pPr>
        <w:snapToGrid w:val="0"/>
        <w:spacing w:line="360" w:lineRule="auto"/>
        <w:ind w:firstLine="480" w:firstLineChars="200"/>
        <w:jc w:val="left"/>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2.投标人应在投标截止时间前上传投标文件。逾期上传的或者未上传指定系统的，视为投标文件未送达。</w:t>
      </w:r>
    </w:p>
    <w:p>
      <w:pPr>
        <w:snapToGrid w:val="0"/>
        <w:spacing w:line="360" w:lineRule="auto"/>
        <w:ind w:firstLine="480" w:firstLineChars="200"/>
        <w:jc w:val="left"/>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3.在规定的投标截止时间前，投标人可以修改或撤回已递交的电子投标文件；修改好后重新上传加密电子投标文件。</w:t>
      </w:r>
    </w:p>
    <w:p>
      <w:pPr>
        <w:snapToGrid w:val="0"/>
        <w:spacing w:line="360" w:lineRule="auto"/>
        <w:ind w:firstLine="480" w:firstLineChars="200"/>
        <w:jc w:val="left"/>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4.在投标截止时间至投标有效期满之前，投标人不得撤回其投标文件，否则其投标担保将被没收。</w:t>
      </w:r>
    </w:p>
    <w:p>
      <w:pPr>
        <w:snapToGrid w:val="0"/>
        <w:spacing w:before="120" w:beforeLines="50" w:line="360" w:lineRule="auto"/>
        <w:ind w:firstLine="472" w:firstLineChars="196"/>
        <w:outlineLvl w:val="2"/>
        <w:rPr>
          <w:rFonts w:ascii="宋体" w:hAnsi="宋体"/>
          <w:b/>
          <w:color w:val="0D0D0D"/>
          <w:sz w:val="24"/>
          <w:szCs w:val="20"/>
          <w:highlight w:val="none"/>
        </w:rPr>
      </w:pPr>
      <w:r>
        <w:rPr>
          <w:rFonts w:hint="eastAsia" w:ascii="宋体" w:hAnsi="宋体"/>
          <w:b/>
          <w:color w:val="0D0D0D"/>
          <w:sz w:val="24"/>
          <w:highlight w:val="none"/>
        </w:rPr>
        <w:t>（</w:t>
      </w:r>
      <w:r>
        <w:rPr>
          <w:rFonts w:hint="eastAsia" w:ascii="宋体" w:hAnsi="宋体"/>
          <w:b/>
          <w:color w:val="0D0D0D"/>
          <w:sz w:val="24"/>
          <w:highlight w:val="none"/>
          <w:lang w:val="en-US" w:eastAsia="zh-CN"/>
        </w:rPr>
        <w:t>八</w:t>
      </w:r>
      <w:r>
        <w:rPr>
          <w:rFonts w:hint="eastAsia" w:ascii="宋体" w:hAnsi="宋体"/>
          <w:b/>
          <w:color w:val="0D0D0D"/>
          <w:sz w:val="24"/>
          <w:highlight w:val="none"/>
        </w:rPr>
        <w:t>）投标无效的情形</w:t>
      </w:r>
    </w:p>
    <w:p>
      <w:pPr>
        <w:snapToGrid w:val="0"/>
        <w:spacing w:line="360" w:lineRule="auto"/>
        <w:ind w:firstLine="480" w:firstLineChars="200"/>
        <w:rPr>
          <w:rFonts w:ascii="宋体" w:hAnsi="宋体"/>
          <w:bCs/>
          <w:color w:val="0D0D0D"/>
          <w:sz w:val="24"/>
          <w:szCs w:val="20"/>
          <w:highlight w:val="none"/>
        </w:rPr>
      </w:pPr>
      <w:r>
        <w:rPr>
          <w:rFonts w:hint="eastAsia" w:ascii="宋体" w:hAnsi="宋体"/>
          <w:bCs/>
          <w:color w:val="0D0D0D"/>
          <w:sz w:val="24"/>
          <w:highlight w:val="none"/>
        </w:rPr>
        <w:t>实质上没有响应招标文件要求的投标将被视为无效投标。投标人不得通过修正或撤消不合要求的偏离或保留从而使其投标成为实质上响应的投标，但经评标委员会认定属于投标人疏忽、笔误所造成的差错，应当允许其在评标结束之前进行修改或者补正（可以是复印件、传真件等，原件必须加盖单位公章）。修改或者补正报价文件必须以书面形式进行，并应在中标结果公告之前查核原件。限期内不补正或经补正后仍不符合招标文件要求的，应认定其投标无效。投标人修改、补正报价文件后，不影响评标委员会对其报价文件所作的评价和评分结果。</w:t>
      </w:r>
    </w:p>
    <w:p>
      <w:pPr>
        <w:snapToGrid w:val="0"/>
        <w:spacing w:line="360" w:lineRule="auto"/>
        <w:ind w:firstLine="472" w:firstLineChars="196"/>
        <w:rPr>
          <w:rFonts w:ascii="宋体" w:hAnsi="宋体"/>
          <w:b/>
          <w:bCs/>
          <w:color w:val="0D0D0D"/>
          <w:sz w:val="24"/>
          <w:szCs w:val="20"/>
          <w:highlight w:val="none"/>
        </w:rPr>
      </w:pPr>
      <w:r>
        <w:rPr>
          <w:rFonts w:ascii="宋体" w:hAnsi="宋体"/>
          <w:b/>
          <w:bCs/>
          <w:color w:val="0D0D0D"/>
          <w:sz w:val="24"/>
          <w:highlight w:val="none"/>
        </w:rPr>
        <w:t>1</w:t>
      </w:r>
      <w:r>
        <w:rPr>
          <w:rFonts w:hint="eastAsia" w:ascii="宋体" w:hAnsi="宋体"/>
          <w:b/>
          <w:bCs/>
          <w:color w:val="0D0D0D"/>
          <w:sz w:val="24"/>
          <w:highlight w:val="none"/>
        </w:rPr>
        <w:t>.</w:t>
      </w:r>
      <w:r>
        <w:rPr>
          <w:rFonts w:ascii="宋体" w:hAnsi="宋体"/>
          <w:b/>
          <w:bCs/>
          <w:color w:val="0D0D0D"/>
          <w:sz w:val="24"/>
          <w:highlight w:val="none"/>
        </w:rPr>
        <w:t>在符合性审查和商务评审时，如发现下列情形之一的，报价文件将被视为无效：</w:t>
      </w:r>
    </w:p>
    <w:p>
      <w:pPr>
        <w:snapToGrid w:val="0"/>
        <w:spacing w:line="360" w:lineRule="auto"/>
        <w:ind w:firstLine="480" w:firstLineChars="200"/>
        <w:rPr>
          <w:rFonts w:hint="eastAsia" w:ascii="宋体" w:hAnsi="宋体" w:eastAsia="宋体" w:cs="Times New Roman"/>
          <w:bCs/>
          <w:color w:val="auto"/>
          <w:sz w:val="24"/>
          <w:highlight w:val="none"/>
        </w:rPr>
      </w:pPr>
      <w:r>
        <w:rPr>
          <w:rFonts w:hint="eastAsia" w:ascii="宋体" w:hAnsi="宋体" w:eastAsia="宋体" w:cs="Times New Roman"/>
          <w:bCs/>
          <w:color w:val="auto"/>
          <w:sz w:val="24"/>
          <w:highlight w:val="none"/>
        </w:rPr>
        <w:t>（1）未按照招标文件的规定提交投标保证金的；</w:t>
      </w:r>
    </w:p>
    <w:p>
      <w:pPr>
        <w:snapToGrid w:val="0"/>
        <w:spacing w:line="360" w:lineRule="auto"/>
        <w:ind w:firstLine="480" w:firstLineChars="200"/>
        <w:rPr>
          <w:rFonts w:hint="eastAsia" w:ascii="宋体" w:hAnsi="宋体" w:eastAsia="宋体" w:cs="Times New Roman"/>
          <w:bCs/>
          <w:color w:val="auto"/>
          <w:sz w:val="24"/>
          <w:highlight w:val="none"/>
        </w:rPr>
      </w:pPr>
      <w:r>
        <w:rPr>
          <w:rFonts w:hint="eastAsia" w:ascii="宋体" w:hAnsi="宋体" w:eastAsia="宋体" w:cs="Times New Roman"/>
          <w:bCs/>
          <w:color w:val="auto"/>
          <w:sz w:val="24"/>
          <w:highlight w:val="none"/>
        </w:rPr>
        <w:t>（2）不具备招标文件中规定的资格要求的或资格证明文件不全的；</w:t>
      </w:r>
    </w:p>
    <w:p>
      <w:pPr>
        <w:snapToGrid w:val="0"/>
        <w:spacing w:line="360" w:lineRule="auto"/>
        <w:ind w:firstLine="480" w:firstLineChars="200"/>
        <w:rPr>
          <w:rFonts w:hint="eastAsia" w:ascii="宋体" w:hAnsi="宋体" w:eastAsia="宋体" w:cs="Times New Roman"/>
          <w:bCs/>
          <w:color w:val="auto"/>
          <w:sz w:val="24"/>
          <w:highlight w:val="none"/>
        </w:rPr>
      </w:pPr>
      <w:r>
        <w:rPr>
          <w:rFonts w:hint="eastAsia" w:ascii="宋体" w:hAnsi="宋体" w:eastAsia="宋体" w:cs="Times New Roman"/>
          <w:bCs/>
          <w:color w:val="auto"/>
          <w:sz w:val="24"/>
          <w:highlight w:val="none"/>
        </w:rPr>
        <w:t>（3）投标文件未按招标文件要求签署、盖章的；</w:t>
      </w:r>
    </w:p>
    <w:p>
      <w:pPr>
        <w:snapToGrid w:val="0"/>
        <w:spacing w:line="360" w:lineRule="auto"/>
        <w:ind w:firstLine="480" w:firstLineChars="200"/>
        <w:rPr>
          <w:rFonts w:hint="eastAsia" w:ascii="宋体" w:hAnsi="宋体" w:eastAsia="宋体" w:cs="Times New Roman"/>
          <w:bCs/>
          <w:color w:val="auto"/>
          <w:sz w:val="24"/>
          <w:highlight w:val="none"/>
        </w:rPr>
      </w:pPr>
      <w:r>
        <w:rPr>
          <w:rFonts w:hint="eastAsia" w:ascii="宋体" w:hAnsi="宋体" w:eastAsia="宋体" w:cs="Times New Roman"/>
          <w:bCs/>
          <w:color w:val="auto"/>
          <w:sz w:val="24"/>
          <w:highlight w:val="none"/>
        </w:rPr>
        <w:t>（4）投标代表人未能出具身份证明或与法定代表人</w:t>
      </w:r>
      <w:r>
        <w:rPr>
          <w:rFonts w:hint="eastAsia" w:ascii="宋体"/>
          <w:sz w:val="24"/>
          <w:highlight w:val="none"/>
          <w:lang w:val="en-US" w:eastAsia="zh-CN"/>
        </w:rPr>
        <w:t>/经营者</w:t>
      </w:r>
      <w:r>
        <w:rPr>
          <w:rFonts w:hint="eastAsia" w:ascii="宋体" w:hAnsi="宋体" w:eastAsia="宋体" w:cs="Times New Roman"/>
          <w:bCs/>
          <w:color w:val="auto"/>
          <w:sz w:val="24"/>
          <w:highlight w:val="none"/>
        </w:rPr>
        <w:t xml:space="preserve">授权委托人身份不符的； </w:t>
      </w:r>
    </w:p>
    <w:p>
      <w:pPr>
        <w:snapToGrid w:val="0"/>
        <w:spacing w:line="360" w:lineRule="auto"/>
        <w:ind w:firstLine="480" w:firstLineChars="200"/>
        <w:rPr>
          <w:rFonts w:hint="eastAsia" w:ascii="宋体" w:hAnsi="宋体" w:eastAsia="宋体" w:cs="Times New Roman"/>
          <w:bCs/>
          <w:color w:val="auto"/>
          <w:sz w:val="24"/>
          <w:highlight w:val="none"/>
        </w:rPr>
      </w:pPr>
      <w:r>
        <w:rPr>
          <w:rFonts w:hint="eastAsia" w:ascii="宋体" w:hAnsi="宋体" w:eastAsia="宋体" w:cs="Times New Roman"/>
          <w:bCs/>
          <w:color w:val="auto"/>
          <w:sz w:val="24"/>
          <w:highlight w:val="none"/>
        </w:rPr>
        <w:t>（5）投标文件组成不符合招标文件要求的；</w:t>
      </w:r>
    </w:p>
    <w:p>
      <w:pPr>
        <w:snapToGrid w:val="0"/>
        <w:spacing w:line="360" w:lineRule="auto"/>
        <w:ind w:firstLine="480" w:firstLineChars="200"/>
        <w:rPr>
          <w:rFonts w:hint="eastAsia" w:ascii="宋体" w:hAnsi="宋体" w:eastAsia="宋体" w:cs="Times New Roman"/>
          <w:bCs/>
          <w:color w:val="auto"/>
          <w:sz w:val="24"/>
          <w:highlight w:val="none"/>
        </w:rPr>
      </w:pPr>
      <w:r>
        <w:rPr>
          <w:rFonts w:hint="eastAsia" w:ascii="宋体" w:hAnsi="宋体" w:eastAsia="宋体" w:cs="Times New Roman"/>
          <w:bCs/>
          <w:color w:val="auto"/>
          <w:sz w:val="24"/>
          <w:highlight w:val="none"/>
          <w:lang w:eastAsia="zh-CN"/>
        </w:rPr>
        <w:t>（</w:t>
      </w:r>
      <w:r>
        <w:rPr>
          <w:rFonts w:hint="eastAsia" w:ascii="宋体" w:hAnsi="宋体" w:eastAsia="宋体" w:cs="Times New Roman"/>
          <w:bCs/>
          <w:color w:val="auto"/>
          <w:sz w:val="24"/>
          <w:highlight w:val="none"/>
          <w:lang w:val="en-US" w:eastAsia="zh-CN"/>
        </w:rPr>
        <w:t>6</w:t>
      </w:r>
      <w:r>
        <w:rPr>
          <w:rFonts w:hint="eastAsia" w:ascii="宋体" w:hAnsi="宋体" w:eastAsia="宋体" w:cs="Times New Roman"/>
          <w:bCs/>
          <w:color w:val="auto"/>
          <w:sz w:val="24"/>
          <w:highlight w:val="none"/>
          <w:lang w:eastAsia="zh-CN"/>
        </w:rPr>
        <w:t>）</w:t>
      </w:r>
      <w:r>
        <w:rPr>
          <w:rFonts w:hint="eastAsia" w:ascii="宋体" w:hAnsi="宋体" w:eastAsia="宋体" w:cs="Times New Roman"/>
          <w:bCs/>
          <w:color w:val="auto"/>
          <w:sz w:val="24"/>
          <w:highlight w:val="none"/>
        </w:rPr>
        <w:t>投标文件</w:t>
      </w:r>
      <w:r>
        <w:rPr>
          <w:rFonts w:hint="eastAsia" w:ascii="宋体" w:hAnsi="宋体" w:eastAsia="宋体" w:cs="Times New Roman"/>
          <w:bCs/>
          <w:color w:val="auto"/>
          <w:sz w:val="24"/>
          <w:highlight w:val="none"/>
          <w:lang w:val="en-US" w:eastAsia="zh-CN"/>
        </w:rPr>
        <w:t>格式</w:t>
      </w:r>
      <w:r>
        <w:rPr>
          <w:rFonts w:hint="eastAsia" w:ascii="宋体" w:hAnsi="宋体" w:eastAsia="宋体" w:cs="Times New Roman"/>
          <w:bCs/>
          <w:color w:val="auto"/>
          <w:sz w:val="24"/>
          <w:highlight w:val="none"/>
        </w:rPr>
        <w:t>不符合招标文件要求的；</w:t>
      </w:r>
    </w:p>
    <w:p>
      <w:pPr>
        <w:snapToGrid w:val="0"/>
        <w:spacing w:line="360" w:lineRule="auto"/>
        <w:ind w:firstLine="480" w:firstLineChars="200"/>
        <w:rPr>
          <w:rFonts w:hint="eastAsia" w:ascii="宋体" w:hAnsi="宋体" w:eastAsia="宋体" w:cs="Times New Roman"/>
          <w:bCs/>
          <w:color w:val="auto"/>
          <w:sz w:val="24"/>
          <w:highlight w:val="none"/>
        </w:rPr>
      </w:pPr>
      <w:r>
        <w:rPr>
          <w:rFonts w:hint="eastAsia" w:ascii="宋体" w:hAnsi="宋体" w:eastAsia="宋体" w:cs="Times New Roman"/>
          <w:bCs/>
          <w:color w:val="auto"/>
          <w:sz w:val="24"/>
          <w:highlight w:val="none"/>
        </w:rPr>
        <w:t>（</w:t>
      </w:r>
      <w:r>
        <w:rPr>
          <w:rFonts w:hint="eastAsia" w:ascii="宋体" w:hAnsi="宋体" w:eastAsia="宋体" w:cs="Times New Roman"/>
          <w:bCs/>
          <w:color w:val="auto"/>
          <w:sz w:val="24"/>
          <w:highlight w:val="none"/>
          <w:lang w:val="en-US" w:eastAsia="zh-CN"/>
        </w:rPr>
        <w:t>7</w:t>
      </w:r>
      <w:r>
        <w:rPr>
          <w:rFonts w:hint="eastAsia" w:ascii="宋体" w:hAnsi="宋体" w:eastAsia="宋体" w:cs="Times New Roman"/>
          <w:bCs/>
          <w:color w:val="auto"/>
          <w:sz w:val="24"/>
          <w:highlight w:val="none"/>
        </w:rPr>
        <w:t>）投标文件的实质性内容未使用中文表述、意思表述不明确、前后矛盾或者使用计量单位不符合招标文件要求的（经评标委员会认定并允许其当场更正的笔误除外）</w:t>
      </w:r>
    </w:p>
    <w:p>
      <w:pPr>
        <w:snapToGrid w:val="0"/>
        <w:spacing w:line="360" w:lineRule="auto"/>
        <w:ind w:firstLine="480" w:firstLineChars="200"/>
        <w:rPr>
          <w:rFonts w:hint="eastAsia" w:ascii="宋体" w:hAnsi="宋体" w:eastAsia="宋体" w:cs="Times New Roman"/>
          <w:bCs/>
          <w:color w:val="auto"/>
          <w:sz w:val="24"/>
          <w:highlight w:val="none"/>
        </w:rPr>
      </w:pPr>
      <w:r>
        <w:rPr>
          <w:rFonts w:hint="eastAsia" w:ascii="宋体" w:hAnsi="宋体" w:eastAsia="宋体" w:cs="Times New Roman"/>
          <w:bCs/>
          <w:color w:val="auto"/>
          <w:sz w:val="24"/>
          <w:highlight w:val="none"/>
        </w:rPr>
        <w:t>（</w:t>
      </w:r>
      <w:r>
        <w:rPr>
          <w:rFonts w:hint="eastAsia" w:ascii="宋体" w:hAnsi="宋体" w:eastAsia="宋体" w:cs="Times New Roman"/>
          <w:bCs/>
          <w:color w:val="auto"/>
          <w:sz w:val="24"/>
          <w:highlight w:val="none"/>
          <w:lang w:val="en-US" w:eastAsia="zh-CN"/>
        </w:rPr>
        <w:t>8</w:t>
      </w:r>
      <w:r>
        <w:rPr>
          <w:rFonts w:hint="eastAsia" w:ascii="宋体" w:hAnsi="宋体" w:eastAsia="宋体" w:cs="Times New Roman"/>
          <w:bCs/>
          <w:color w:val="auto"/>
          <w:sz w:val="24"/>
          <w:highlight w:val="none"/>
        </w:rPr>
        <w:t>）投标有效期、服务时间等条款不能满足招标文件要求的；</w:t>
      </w:r>
    </w:p>
    <w:p>
      <w:pPr>
        <w:snapToGrid w:val="0"/>
        <w:spacing w:line="360" w:lineRule="auto"/>
        <w:ind w:firstLine="480" w:firstLineChars="200"/>
        <w:rPr>
          <w:rFonts w:hint="eastAsia" w:ascii="宋体" w:hAnsi="宋体" w:eastAsia="宋体" w:cs="Times New Roman"/>
          <w:bCs/>
          <w:color w:val="auto"/>
          <w:sz w:val="24"/>
          <w:highlight w:val="none"/>
        </w:rPr>
      </w:pPr>
      <w:r>
        <w:rPr>
          <w:rFonts w:hint="eastAsia" w:ascii="宋体" w:hAnsi="宋体" w:eastAsia="宋体" w:cs="Times New Roman"/>
          <w:bCs/>
          <w:color w:val="auto"/>
          <w:sz w:val="24"/>
          <w:highlight w:val="none"/>
        </w:rPr>
        <w:t>（</w:t>
      </w:r>
      <w:r>
        <w:rPr>
          <w:rFonts w:hint="eastAsia" w:ascii="宋体" w:hAnsi="宋体" w:eastAsia="宋体" w:cs="Times New Roman"/>
          <w:bCs/>
          <w:color w:val="auto"/>
          <w:sz w:val="24"/>
          <w:highlight w:val="none"/>
          <w:lang w:val="en-US" w:eastAsia="zh-CN"/>
        </w:rPr>
        <w:t>9</w:t>
      </w:r>
      <w:r>
        <w:rPr>
          <w:rFonts w:hint="eastAsia" w:ascii="宋体" w:hAnsi="宋体" w:eastAsia="宋体" w:cs="Times New Roman"/>
          <w:bCs/>
          <w:color w:val="auto"/>
          <w:sz w:val="24"/>
          <w:highlight w:val="none"/>
        </w:rPr>
        <w:t>）未实质性响应招标文件要求或者投标文件有</w:t>
      </w:r>
      <w:r>
        <w:rPr>
          <w:rFonts w:hint="eastAsia" w:ascii="宋体" w:hAnsi="宋体"/>
          <w:color w:val="0D0D0D"/>
          <w:sz w:val="24"/>
          <w:highlight w:val="none"/>
          <w:lang w:val="en-US" w:eastAsia="zh-CN"/>
        </w:rPr>
        <w:t>招标人</w:t>
      </w:r>
      <w:r>
        <w:rPr>
          <w:rFonts w:hint="eastAsia" w:ascii="宋体" w:hAnsi="宋体" w:eastAsia="宋体" w:cs="Times New Roman"/>
          <w:bCs/>
          <w:color w:val="auto"/>
          <w:sz w:val="24"/>
          <w:highlight w:val="none"/>
        </w:rPr>
        <w:t>不能接受的附加条件的；</w:t>
      </w:r>
    </w:p>
    <w:p>
      <w:pPr>
        <w:snapToGrid w:val="0"/>
        <w:spacing w:line="360" w:lineRule="auto"/>
        <w:ind w:firstLine="480" w:firstLineChars="200"/>
        <w:rPr>
          <w:rFonts w:hint="eastAsia" w:ascii="宋体" w:hAnsi="宋体" w:eastAsia="宋体" w:cs="Times New Roman"/>
          <w:bCs/>
          <w:color w:val="auto"/>
          <w:sz w:val="24"/>
          <w:highlight w:val="none"/>
          <w:lang w:eastAsia="zh-CN"/>
        </w:rPr>
      </w:pPr>
      <w:r>
        <w:rPr>
          <w:rFonts w:hint="eastAsia" w:ascii="宋体" w:hAnsi="宋体" w:eastAsia="宋体" w:cs="Times New Roman"/>
          <w:bCs/>
          <w:color w:val="auto"/>
          <w:sz w:val="24"/>
          <w:highlight w:val="none"/>
        </w:rPr>
        <w:t>（</w:t>
      </w:r>
      <w:r>
        <w:rPr>
          <w:rFonts w:hint="eastAsia" w:ascii="宋体" w:hAnsi="宋体" w:eastAsia="宋体" w:cs="Times New Roman"/>
          <w:bCs/>
          <w:color w:val="auto"/>
          <w:sz w:val="24"/>
          <w:highlight w:val="none"/>
          <w:lang w:val="en-US" w:eastAsia="zh-CN"/>
        </w:rPr>
        <w:t>10</w:t>
      </w:r>
      <w:r>
        <w:rPr>
          <w:rFonts w:hint="eastAsia" w:ascii="宋体" w:hAnsi="宋体" w:eastAsia="宋体" w:cs="Times New Roman"/>
          <w:bCs/>
          <w:color w:val="auto"/>
          <w:sz w:val="24"/>
          <w:highlight w:val="none"/>
        </w:rPr>
        <w:t>）两家或两家以上投标单位的ip地址（或工程清单锁地址）相同</w:t>
      </w:r>
      <w:r>
        <w:rPr>
          <w:rFonts w:hint="eastAsia" w:ascii="宋体" w:hAnsi="宋体" w:eastAsia="宋体" w:cs="Times New Roman"/>
          <w:bCs/>
          <w:color w:val="auto"/>
          <w:sz w:val="24"/>
          <w:highlight w:val="none"/>
          <w:lang w:eastAsia="zh-CN"/>
        </w:rPr>
        <w:t>；</w:t>
      </w:r>
    </w:p>
    <w:p>
      <w:pPr>
        <w:snapToGrid w:val="0"/>
        <w:spacing w:line="360" w:lineRule="auto"/>
        <w:ind w:firstLine="480" w:firstLineChars="200"/>
        <w:rPr>
          <w:rFonts w:hint="eastAsia" w:ascii="宋体" w:hAnsi="宋体" w:eastAsia="宋体" w:cs="Times New Roman"/>
          <w:bCs/>
          <w:color w:val="auto"/>
          <w:sz w:val="24"/>
          <w:highlight w:val="none"/>
        </w:rPr>
      </w:pPr>
      <w:r>
        <w:rPr>
          <w:rFonts w:hint="eastAsia" w:ascii="宋体" w:hAnsi="宋体" w:eastAsia="宋体" w:cs="Times New Roman"/>
          <w:bCs/>
          <w:color w:val="auto"/>
          <w:sz w:val="24"/>
          <w:highlight w:val="none"/>
        </w:rPr>
        <w:t>（</w:t>
      </w:r>
      <w:r>
        <w:rPr>
          <w:rFonts w:hint="eastAsia" w:ascii="宋体" w:hAnsi="宋体" w:eastAsia="宋体" w:cs="Times New Roman"/>
          <w:bCs/>
          <w:color w:val="auto"/>
          <w:sz w:val="24"/>
          <w:highlight w:val="none"/>
          <w:lang w:val="en-US" w:eastAsia="zh-CN"/>
        </w:rPr>
        <w:t>11</w:t>
      </w:r>
      <w:r>
        <w:rPr>
          <w:rFonts w:hint="eastAsia" w:ascii="宋体" w:hAnsi="宋体" w:eastAsia="宋体" w:cs="Times New Roman"/>
          <w:bCs/>
          <w:color w:val="auto"/>
          <w:sz w:val="24"/>
          <w:highlight w:val="none"/>
        </w:rPr>
        <w:t>）法律法规或规章规定属无效标情形的。</w:t>
      </w:r>
    </w:p>
    <w:p>
      <w:pPr>
        <w:pStyle w:val="21"/>
        <w:snapToGrid w:val="0"/>
        <w:spacing w:line="360" w:lineRule="auto"/>
        <w:ind w:firstLine="457" w:firstLineChars="196"/>
        <w:rPr>
          <w:rFonts w:hAnsi="宋体"/>
          <w:b/>
          <w:bCs/>
          <w:color w:val="0D0D0D"/>
          <w:sz w:val="24"/>
          <w:highlight w:val="none"/>
        </w:rPr>
      </w:pPr>
      <w:r>
        <w:rPr>
          <w:rFonts w:hAnsi="宋体"/>
          <w:b/>
          <w:bCs/>
          <w:color w:val="0D0D0D"/>
          <w:sz w:val="24"/>
          <w:highlight w:val="none"/>
        </w:rPr>
        <w:t>2.在报价评审时，如发现下列情形之一的，报价文件将被视为无效：</w:t>
      </w:r>
    </w:p>
    <w:p>
      <w:pPr>
        <w:pStyle w:val="21"/>
        <w:snapToGrid w:val="0"/>
        <w:spacing w:line="360" w:lineRule="auto"/>
        <w:ind w:firstLine="454" w:firstLineChars="196"/>
        <w:rPr>
          <w:rFonts w:hAnsi="宋体"/>
          <w:color w:val="0D0D0D"/>
          <w:sz w:val="24"/>
          <w:highlight w:val="none"/>
        </w:rPr>
      </w:pPr>
      <w:r>
        <w:rPr>
          <w:rFonts w:hAnsi="宋体"/>
          <w:color w:val="0D0D0D"/>
          <w:sz w:val="24"/>
          <w:highlight w:val="none"/>
        </w:rPr>
        <w:t>（1）未采用人民币报价或者未按照招标文件标明的币种报价的；</w:t>
      </w:r>
    </w:p>
    <w:p>
      <w:pPr>
        <w:pStyle w:val="21"/>
        <w:snapToGrid w:val="0"/>
        <w:spacing w:line="360" w:lineRule="auto"/>
        <w:ind w:firstLine="464" w:firstLineChars="200"/>
        <w:rPr>
          <w:rFonts w:hAnsi="宋体"/>
          <w:color w:val="0D0D0D"/>
          <w:sz w:val="24"/>
          <w:highlight w:val="none"/>
        </w:rPr>
      </w:pPr>
      <w:r>
        <w:rPr>
          <w:rFonts w:hAnsi="宋体"/>
          <w:color w:val="0D0D0D"/>
          <w:sz w:val="24"/>
          <w:highlight w:val="none"/>
        </w:rPr>
        <w:t>（2）投标报价具有选择性，或者开标价格与投标文件承诺的优惠（折扣）价格不一致的；</w:t>
      </w:r>
    </w:p>
    <w:p>
      <w:pPr>
        <w:pStyle w:val="21"/>
        <w:snapToGrid w:val="0"/>
        <w:spacing w:line="360" w:lineRule="auto"/>
        <w:ind w:firstLine="464" w:firstLineChars="200"/>
        <w:rPr>
          <w:rFonts w:hint="eastAsia" w:hAnsi="宋体" w:eastAsia="宋体"/>
          <w:color w:val="auto"/>
          <w:sz w:val="24"/>
          <w:highlight w:val="none"/>
          <w:lang w:eastAsia="zh-CN"/>
        </w:rPr>
      </w:pPr>
      <w:r>
        <w:rPr>
          <w:rFonts w:hAnsi="宋体"/>
          <w:color w:val="auto"/>
          <w:sz w:val="24"/>
          <w:highlight w:val="none"/>
        </w:rPr>
        <w:t>（3）投标报价不得超过单价最高限价</w:t>
      </w:r>
      <w:r>
        <w:rPr>
          <w:rFonts w:hint="eastAsia" w:hAnsi="宋体"/>
          <w:color w:val="auto"/>
          <w:sz w:val="24"/>
          <w:highlight w:val="none"/>
          <w:lang w:val="en-US" w:eastAsia="zh-CN"/>
        </w:rPr>
        <w:t>或</w:t>
      </w:r>
      <w:r>
        <w:rPr>
          <w:rFonts w:hAnsi="宋体"/>
          <w:color w:val="auto"/>
          <w:sz w:val="24"/>
          <w:highlight w:val="none"/>
        </w:rPr>
        <w:t>总价最高限价，超过单价最高限价</w:t>
      </w:r>
      <w:r>
        <w:rPr>
          <w:rFonts w:hint="eastAsia" w:hAnsi="宋体"/>
          <w:color w:val="auto"/>
          <w:sz w:val="24"/>
          <w:highlight w:val="none"/>
          <w:lang w:val="en-US" w:eastAsia="zh-CN"/>
        </w:rPr>
        <w:t>或</w:t>
      </w:r>
      <w:r>
        <w:rPr>
          <w:rFonts w:hAnsi="宋体"/>
          <w:color w:val="auto"/>
          <w:sz w:val="24"/>
          <w:highlight w:val="none"/>
        </w:rPr>
        <w:t>总价最高限价的报价为无效标</w:t>
      </w:r>
      <w:r>
        <w:rPr>
          <w:rFonts w:hint="eastAsia" w:hAnsi="宋体"/>
          <w:color w:val="auto"/>
          <w:sz w:val="24"/>
          <w:highlight w:val="none"/>
          <w:lang w:eastAsia="zh-CN"/>
        </w:rPr>
        <w:t>；</w:t>
      </w:r>
    </w:p>
    <w:p>
      <w:pPr>
        <w:pStyle w:val="21"/>
        <w:snapToGrid w:val="0"/>
        <w:spacing w:line="360" w:lineRule="auto"/>
        <w:ind w:firstLine="464" w:firstLineChars="200"/>
        <w:rPr>
          <w:rFonts w:hint="default" w:ascii="宋体" w:hAnsi="宋体" w:eastAsia="宋体" w:cs="Times New Roman"/>
          <w:color w:val="0D0D0D"/>
          <w:sz w:val="24"/>
          <w:highlight w:val="none"/>
          <w:lang w:val="en-US" w:eastAsia="zh-CN"/>
        </w:rPr>
      </w:pPr>
      <w:r>
        <w:rPr>
          <w:rFonts w:hint="eastAsia" w:ascii="宋体" w:hAnsi="宋体" w:eastAsia="宋体" w:cs="Times New Roman"/>
          <w:color w:val="0D0D0D"/>
          <w:sz w:val="24"/>
          <w:highlight w:val="none"/>
          <w:lang w:eastAsia="zh-CN"/>
        </w:rPr>
        <w:t>（</w:t>
      </w:r>
      <w:r>
        <w:rPr>
          <w:rFonts w:hint="eastAsia" w:ascii="宋体" w:hAnsi="宋体" w:eastAsia="宋体" w:cs="Times New Roman"/>
          <w:color w:val="0D0D0D"/>
          <w:sz w:val="24"/>
          <w:highlight w:val="none"/>
          <w:lang w:val="en-US" w:eastAsia="zh-CN"/>
        </w:rPr>
        <w:t>4</w:t>
      </w:r>
      <w:r>
        <w:rPr>
          <w:rFonts w:hint="eastAsia" w:ascii="宋体" w:hAnsi="宋体" w:eastAsia="宋体" w:cs="Times New Roman"/>
          <w:color w:val="0D0D0D"/>
          <w:sz w:val="24"/>
          <w:highlight w:val="none"/>
          <w:lang w:eastAsia="zh-CN"/>
        </w:rPr>
        <w:t>）</w:t>
      </w:r>
      <w:r>
        <w:rPr>
          <w:rFonts w:hint="eastAsia" w:ascii="宋体" w:hAnsi="宋体" w:eastAsia="宋体" w:cs="Times New Roman"/>
          <w:color w:val="0D0D0D"/>
          <w:sz w:val="24"/>
          <w:highlight w:val="none"/>
          <w:lang w:val="en-US" w:eastAsia="zh-CN"/>
        </w:rPr>
        <w:t>如综合单价及合价汇总与合计价格不一致，且价格调差超过10元及以上，按招标文件要求作无效标处理</w:t>
      </w:r>
      <w:r>
        <w:rPr>
          <w:rFonts w:hint="eastAsia" w:hAnsi="宋体" w:eastAsia="宋体" w:cs="Times New Roman"/>
          <w:color w:val="0D0D0D"/>
          <w:sz w:val="24"/>
          <w:highlight w:val="none"/>
          <w:lang w:val="en-US" w:eastAsia="zh-CN"/>
        </w:rPr>
        <w:t>；</w:t>
      </w:r>
    </w:p>
    <w:p>
      <w:pPr>
        <w:pStyle w:val="21"/>
        <w:snapToGrid w:val="0"/>
        <w:spacing w:line="360" w:lineRule="auto"/>
        <w:ind w:firstLine="466" w:firstLineChars="200"/>
        <w:rPr>
          <w:rFonts w:hAnsi="宋体"/>
          <w:color w:val="0D0D0D"/>
          <w:sz w:val="24"/>
          <w:highlight w:val="none"/>
        </w:rPr>
      </w:pPr>
      <w:r>
        <w:rPr>
          <w:rFonts w:ascii="宋体" w:hAnsi="宋体" w:eastAsia="宋体" w:cs="Times New Roman"/>
          <w:b/>
          <w:bCs/>
          <w:color w:val="0D0D0D"/>
          <w:sz w:val="24"/>
          <w:highlight w:val="none"/>
        </w:rPr>
        <w:t>（</w:t>
      </w:r>
      <w:r>
        <w:rPr>
          <w:rFonts w:hint="eastAsia" w:ascii="宋体" w:hAnsi="宋体" w:eastAsia="宋体" w:cs="Times New Roman"/>
          <w:b/>
          <w:bCs/>
          <w:color w:val="0D0D0D"/>
          <w:sz w:val="24"/>
          <w:highlight w:val="none"/>
          <w:lang w:val="en-US" w:eastAsia="zh-CN"/>
        </w:rPr>
        <w:t>5</w:t>
      </w:r>
      <w:r>
        <w:rPr>
          <w:rFonts w:ascii="宋体" w:hAnsi="宋体" w:eastAsia="宋体" w:cs="Times New Roman"/>
          <w:b/>
          <w:bCs/>
          <w:color w:val="0D0D0D"/>
          <w:sz w:val="24"/>
          <w:highlight w:val="none"/>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21"/>
        <w:snapToGrid w:val="0"/>
        <w:spacing w:line="360" w:lineRule="auto"/>
        <w:ind w:firstLine="466" w:firstLineChars="200"/>
        <w:rPr>
          <w:rFonts w:hAnsi="宋体"/>
          <w:b/>
          <w:color w:val="0D0D0D"/>
          <w:sz w:val="24"/>
          <w:highlight w:val="none"/>
        </w:rPr>
      </w:pPr>
      <w:r>
        <w:rPr>
          <w:rFonts w:hAnsi="宋体"/>
          <w:b/>
          <w:color w:val="0D0D0D"/>
          <w:sz w:val="24"/>
          <w:highlight w:val="none"/>
        </w:rPr>
        <w:t>3.被拒绝的报价文件为无效。</w:t>
      </w:r>
    </w:p>
    <w:p>
      <w:pPr>
        <w:pStyle w:val="21"/>
        <w:snapToGrid w:val="0"/>
        <w:spacing w:line="360" w:lineRule="auto"/>
        <w:ind w:firstLine="535" w:firstLineChars="196"/>
        <w:outlineLvl w:val="1"/>
        <w:rPr>
          <w:rFonts w:hAnsi="宋体"/>
          <w:b/>
          <w:snapToGrid w:val="0"/>
          <w:color w:val="0D0D0D"/>
          <w:sz w:val="28"/>
          <w:szCs w:val="28"/>
          <w:highlight w:val="none"/>
        </w:rPr>
      </w:pPr>
      <w:r>
        <w:rPr>
          <w:rFonts w:hAnsi="宋体"/>
          <w:b/>
          <w:color w:val="0D0D0D"/>
          <w:sz w:val="28"/>
          <w:szCs w:val="28"/>
          <w:highlight w:val="none"/>
        </w:rPr>
        <w:t>四、开标</w:t>
      </w:r>
    </w:p>
    <w:p>
      <w:pPr>
        <w:pStyle w:val="28"/>
        <w:snapToGrid w:val="0"/>
        <w:spacing w:beforeLines="0" w:afterLines="0" w:line="360" w:lineRule="auto"/>
        <w:ind w:firstLine="472" w:firstLineChars="196"/>
        <w:rPr>
          <w:rFonts w:hAnsi="宋体"/>
          <w:b/>
          <w:color w:val="0D0D0D"/>
          <w:highlight w:val="none"/>
        </w:rPr>
      </w:pPr>
      <w:r>
        <w:rPr>
          <w:rFonts w:hAnsi="宋体"/>
          <w:b/>
          <w:color w:val="0D0D0D"/>
          <w:highlight w:val="none"/>
        </w:rPr>
        <w:t>（一）开标准备</w:t>
      </w:r>
    </w:p>
    <w:p>
      <w:pPr>
        <w:pStyle w:val="42"/>
        <w:widowControl w:val="0"/>
        <w:snapToGrid w:val="0"/>
        <w:spacing w:before="120" w:beforeLines="50" w:beforeAutospacing="0" w:after="0" w:afterAutospacing="0" w:line="360" w:lineRule="auto"/>
        <w:ind w:firstLine="480" w:firstLineChars="200"/>
        <w:jc w:val="both"/>
        <w:rPr>
          <w:bCs/>
          <w:color w:val="auto"/>
          <w:highlight w:val="none"/>
        </w:rPr>
      </w:pPr>
      <w:r>
        <w:rPr>
          <w:color w:val="auto"/>
          <w:szCs w:val="21"/>
          <w:highlight w:val="none"/>
        </w:rPr>
        <w:t>投标人代表一律不参加现场开标，通过在线直播参与监督开标过程。直播网络地址：</w:t>
      </w:r>
      <w:r>
        <w:rPr>
          <w:rFonts w:hint="default"/>
          <w:color w:val="auto"/>
          <w:highlight w:val="none"/>
        </w:rPr>
        <w:fldChar w:fldCharType="begin"/>
      </w:r>
      <w:r>
        <w:rPr>
          <w:rFonts w:hint="default"/>
          <w:color w:val="auto"/>
          <w:highlight w:val="none"/>
        </w:rPr>
        <w:instrText xml:space="preserve"> </w:instrText>
      </w:r>
      <w:r>
        <w:rPr>
          <w:color w:val="auto"/>
          <w:highlight w:val="none"/>
        </w:rPr>
        <w:instrText xml:space="preserve">HYPERLINK "http://www.tzwztb.com/live/"</w:instrText>
      </w:r>
      <w:r>
        <w:rPr>
          <w:rFonts w:hint="default"/>
          <w:color w:val="auto"/>
          <w:highlight w:val="none"/>
        </w:rPr>
        <w:instrText xml:space="preserve"> </w:instrText>
      </w:r>
      <w:r>
        <w:rPr>
          <w:rFonts w:hint="default"/>
          <w:color w:val="auto"/>
          <w:highlight w:val="none"/>
        </w:rPr>
        <w:fldChar w:fldCharType="separate"/>
      </w:r>
      <w:r>
        <w:rPr>
          <w:rStyle w:val="51"/>
          <w:color w:val="auto"/>
          <w:highlight w:val="none"/>
        </w:rPr>
        <w:t>http://www.tzwztb.com/live/</w:t>
      </w:r>
      <w:r>
        <w:rPr>
          <w:rFonts w:hint="default"/>
          <w:color w:val="auto"/>
          <w:highlight w:val="none"/>
        </w:rPr>
        <w:fldChar w:fldCharType="end"/>
      </w:r>
      <w:r>
        <w:rPr>
          <w:rFonts w:hint="default"/>
          <w:color w:val="auto"/>
          <w:highlight w:val="none"/>
        </w:rPr>
        <w:t xml:space="preserve"> </w:t>
      </w:r>
      <w:r>
        <w:rPr>
          <w:color w:val="auto"/>
          <w:highlight w:val="none"/>
        </w:rPr>
        <w:t>。</w:t>
      </w:r>
    </w:p>
    <w:p>
      <w:pPr>
        <w:pStyle w:val="28"/>
        <w:snapToGrid w:val="0"/>
        <w:spacing w:beforeLines="0" w:afterLines="0" w:line="360" w:lineRule="auto"/>
        <w:ind w:firstLine="472" w:firstLineChars="196"/>
        <w:rPr>
          <w:rFonts w:hAnsi="宋体"/>
          <w:b/>
          <w:color w:val="0D0D0D"/>
          <w:highlight w:val="none"/>
        </w:rPr>
      </w:pPr>
      <w:r>
        <w:rPr>
          <w:rFonts w:hAnsi="宋体"/>
          <w:b/>
          <w:color w:val="0D0D0D"/>
          <w:highlight w:val="none"/>
        </w:rPr>
        <w:t>（二） 开标程序：</w:t>
      </w:r>
    </w:p>
    <w:p>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1、开标由采购代理机构工作人员主持</w:t>
      </w:r>
      <w:r>
        <w:rPr>
          <w:rFonts w:hint="eastAsia" w:ascii="宋体" w:hAnsi="宋体" w:cs="宋体"/>
          <w:color w:val="auto"/>
          <w:sz w:val="24"/>
          <w:highlight w:val="none"/>
        </w:rPr>
        <w:t>。</w:t>
      </w:r>
    </w:p>
    <w:p>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2、投标人</w:t>
      </w:r>
      <w:r>
        <w:rPr>
          <w:rFonts w:hint="eastAsia" w:ascii="宋体" w:hAnsi="宋体" w:cs="宋体"/>
          <w:color w:val="auto"/>
          <w:sz w:val="24"/>
          <w:highlight w:val="none"/>
        </w:rPr>
        <w:t>可</w:t>
      </w:r>
      <w:r>
        <w:rPr>
          <w:rFonts w:ascii="宋体" w:hAnsi="宋体" w:cs="宋体"/>
          <w:color w:val="auto"/>
          <w:sz w:val="24"/>
          <w:highlight w:val="none"/>
        </w:rPr>
        <w:t>进行在线</w:t>
      </w:r>
      <w:r>
        <w:rPr>
          <w:rFonts w:hint="eastAsia" w:ascii="宋体" w:hAnsi="宋体" w:cs="宋体"/>
          <w:color w:val="auto"/>
          <w:sz w:val="24"/>
          <w:highlight w:val="none"/>
        </w:rPr>
        <w:t>沟通</w:t>
      </w:r>
      <w:r>
        <w:rPr>
          <w:rFonts w:ascii="宋体" w:hAnsi="宋体" w:cs="宋体"/>
          <w:color w:val="auto"/>
          <w:sz w:val="24"/>
          <w:highlight w:val="none"/>
        </w:rPr>
        <w:t>。</w:t>
      </w:r>
    </w:p>
    <w:p>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3、</w:t>
      </w:r>
      <w:r>
        <w:rPr>
          <w:rFonts w:hint="eastAsia" w:ascii="宋体" w:hAnsi="宋体"/>
          <w:color w:val="0D0D0D"/>
          <w:sz w:val="24"/>
          <w:highlight w:val="none"/>
          <w:lang w:val="en-US" w:eastAsia="zh-CN"/>
        </w:rPr>
        <w:t>招标人</w:t>
      </w:r>
      <w:r>
        <w:rPr>
          <w:rFonts w:ascii="宋体" w:hAnsi="宋体" w:cs="宋体"/>
          <w:color w:val="auto"/>
          <w:sz w:val="24"/>
          <w:highlight w:val="none"/>
        </w:rPr>
        <w:t>依法对</w:t>
      </w:r>
      <w:r>
        <w:rPr>
          <w:rFonts w:hint="eastAsia" w:ascii="宋体" w:hAnsi="宋体" w:cs="宋体"/>
          <w:color w:val="auto"/>
          <w:sz w:val="24"/>
          <w:highlight w:val="none"/>
          <w:lang w:val="en-US" w:eastAsia="zh-CN"/>
        </w:rPr>
        <w:t>商务标</w:t>
      </w:r>
      <w:r>
        <w:rPr>
          <w:rFonts w:ascii="宋体" w:hAnsi="宋体" w:cs="宋体"/>
          <w:color w:val="auto"/>
          <w:sz w:val="24"/>
          <w:highlight w:val="none"/>
        </w:rPr>
        <w:t>进行审查，评标委员会对</w:t>
      </w:r>
      <w:r>
        <w:rPr>
          <w:rFonts w:hint="eastAsia" w:ascii="宋体" w:hAnsi="宋体" w:cs="宋体"/>
          <w:color w:val="auto"/>
          <w:sz w:val="24"/>
          <w:highlight w:val="none"/>
          <w:lang w:val="en-US" w:eastAsia="zh-CN"/>
        </w:rPr>
        <w:t>商务标</w:t>
      </w:r>
      <w:r>
        <w:rPr>
          <w:rFonts w:ascii="宋体" w:hAnsi="宋体" w:cs="宋体"/>
          <w:color w:val="auto"/>
          <w:sz w:val="24"/>
          <w:highlight w:val="none"/>
        </w:rPr>
        <w:t>进行评审。</w:t>
      </w:r>
    </w:p>
    <w:p>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4、商务</w:t>
      </w:r>
      <w:r>
        <w:rPr>
          <w:rFonts w:hint="eastAsia" w:ascii="宋体" w:hAnsi="宋体" w:cs="宋体"/>
          <w:color w:val="auto"/>
          <w:sz w:val="24"/>
          <w:highlight w:val="none"/>
          <w:lang w:val="en-US" w:eastAsia="zh-CN"/>
        </w:rPr>
        <w:t>标</w:t>
      </w:r>
      <w:r>
        <w:rPr>
          <w:rFonts w:ascii="宋体" w:hAnsi="宋体" w:cs="宋体"/>
          <w:color w:val="auto"/>
          <w:sz w:val="24"/>
          <w:highlight w:val="none"/>
        </w:rPr>
        <w:t>评审完成后，主持人宣告</w:t>
      </w:r>
      <w:r>
        <w:rPr>
          <w:rFonts w:hint="eastAsia" w:ascii="宋体" w:hAnsi="宋体" w:cs="宋体"/>
          <w:color w:val="auto"/>
          <w:sz w:val="24"/>
          <w:highlight w:val="none"/>
          <w:lang w:val="en-US" w:eastAsia="zh-CN"/>
        </w:rPr>
        <w:t>商务标</w:t>
      </w:r>
      <w:r>
        <w:rPr>
          <w:rFonts w:ascii="宋体" w:hAnsi="宋体" w:cs="宋体"/>
          <w:color w:val="auto"/>
          <w:sz w:val="24"/>
          <w:highlight w:val="none"/>
        </w:rPr>
        <w:t>评审无效投标人名称及理由。</w:t>
      </w:r>
    </w:p>
    <w:p>
      <w:pPr>
        <w:snapToGrid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en-US" w:eastAsia="zh-CN"/>
        </w:rPr>
        <w:t>5</w:t>
      </w:r>
      <w:r>
        <w:rPr>
          <w:rFonts w:ascii="宋体" w:hAnsi="宋体" w:cs="宋体"/>
          <w:color w:val="auto"/>
          <w:sz w:val="24"/>
          <w:highlight w:val="none"/>
        </w:rPr>
        <w:t>、当场制作并打印开标记录表，由唱标人、记录人、监督人当场签字确认。唱标结束后，由评标委员会对报价的合理性、准确性等进行审查核实。</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6</w:t>
      </w:r>
      <w:r>
        <w:rPr>
          <w:rFonts w:ascii="宋体" w:hAnsi="宋体" w:cs="宋体"/>
          <w:color w:val="auto"/>
          <w:sz w:val="24"/>
          <w:highlight w:val="none"/>
        </w:rPr>
        <w:t>、评标结束后，主持人公布投标报价以及推荐中标候选人排序名单。</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7</w:t>
      </w:r>
      <w:r>
        <w:rPr>
          <w:rFonts w:ascii="宋体" w:hAnsi="宋体" w:cs="宋体"/>
          <w:color w:val="auto"/>
          <w:sz w:val="24"/>
          <w:highlight w:val="none"/>
        </w:rPr>
        <w:t>、开标会议结束。</w:t>
      </w:r>
    </w:p>
    <w:p>
      <w:pPr>
        <w:pStyle w:val="28"/>
        <w:spacing w:before="120" w:after="120" w:line="360" w:lineRule="auto"/>
        <w:ind w:firstLine="540" w:firstLineChars="225"/>
        <w:rPr>
          <w:rFonts w:hAnsi="宋体"/>
          <w:b w:val="0"/>
          <w:bCs/>
          <w:color w:val="auto"/>
          <w:highlight w:val="none"/>
        </w:rPr>
      </w:pPr>
      <w:r>
        <w:rPr>
          <w:rFonts w:hint="eastAsia" w:hAnsi="宋体"/>
          <w:b w:val="0"/>
          <w:bCs/>
          <w:color w:val="auto"/>
          <w:highlight w:val="none"/>
          <w:lang w:val="en-US" w:eastAsia="zh-CN"/>
        </w:rPr>
        <w:t>8</w:t>
      </w:r>
      <w:r>
        <w:rPr>
          <w:rFonts w:hAnsi="宋体"/>
          <w:b w:val="0"/>
          <w:bCs/>
          <w:color w:val="auto"/>
          <w:highlight w:val="none"/>
        </w:rPr>
        <w:t>、其他注意事项：</w:t>
      </w:r>
    </w:p>
    <w:p>
      <w:pPr>
        <w:pStyle w:val="28"/>
        <w:spacing w:before="120" w:after="120" w:line="360" w:lineRule="auto"/>
        <w:ind w:firstLine="540" w:firstLineChars="225"/>
        <w:rPr>
          <w:rFonts w:hAnsi="宋体"/>
          <w:b w:val="0"/>
          <w:bCs/>
          <w:color w:val="auto"/>
          <w:highlight w:val="none"/>
        </w:rPr>
      </w:pPr>
      <w:r>
        <w:rPr>
          <w:rFonts w:hAnsi="宋体"/>
          <w:b w:val="0"/>
          <w:bCs/>
          <w:color w:val="auto"/>
          <w:highlight w:val="none"/>
        </w:rPr>
        <w:t>1）、投开标当日，投标人不必抵达开标现场，通过台州湾新区小额工程电子交易平台不见面开标大厅参加开标会议，并根据需要使用开标系统与现场招标人进行互动交流、澄清、质疑等活动。未能在开标会议区内全程参与交互的，视为放弃交互和放弃对开评标全过程提疑的权利。</w:t>
      </w:r>
    </w:p>
    <w:p>
      <w:pPr>
        <w:pStyle w:val="28"/>
        <w:spacing w:before="120" w:after="120" w:line="360" w:lineRule="auto"/>
        <w:ind w:firstLine="540" w:firstLineChars="225"/>
        <w:rPr>
          <w:rFonts w:hAnsi="宋体"/>
          <w:b w:val="0"/>
          <w:bCs/>
          <w:color w:val="auto"/>
          <w:highlight w:val="none"/>
        </w:rPr>
      </w:pPr>
      <w:r>
        <w:rPr>
          <w:rFonts w:hAnsi="宋体"/>
          <w:b w:val="0"/>
          <w:bCs/>
          <w:color w:val="auto"/>
          <w:highlight w:val="none"/>
        </w:rPr>
        <w:t>2)、因投标人网络与电源不稳定、未按操作手册要求配置软硬件等自身原因，导致投标文件未在规定时间内上传，视为投标人放弃投标；因招标人原因或网上招投标平台发生故障等，导致无法按时完成投标文件解密或开、评标工作无法进行的，可根据实际情况相应延迟解密时间或调整开、评标时间。</w:t>
      </w:r>
    </w:p>
    <w:p>
      <w:pPr>
        <w:autoSpaceDE w:val="0"/>
        <w:autoSpaceDN w:val="0"/>
        <w:adjustRightInd w:val="0"/>
        <w:spacing w:line="360" w:lineRule="auto"/>
        <w:ind w:right="-14" w:firstLine="480" w:firstLineChars="200"/>
        <w:jc w:val="left"/>
        <w:rPr>
          <w:rFonts w:ascii="宋体" w:hAnsi="宋体"/>
          <w:b/>
          <w:color w:val="auto"/>
          <w:sz w:val="24"/>
          <w:highlight w:val="none"/>
        </w:rPr>
      </w:pPr>
      <w:r>
        <w:rPr>
          <w:rFonts w:ascii="宋体" w:hAnsi="宋体"/>
          <w:bCs/>
          <w:color w:val="auto"/>
          <w:sz w:val="24"/>
          <w:highlight w:val="none"/>
        </w:rPr>
        <w:t>3</w:t>
      </w:r>
      <w:r>
        <w:rPr>
          <w:rFonts w:hint="eastAsia" w:ascii="宋体" w:hAnsi="宋体"/>
          <w:bCs/>
          <w:color w:val="auto"/>
          <w:sz w:val="24"/>
          <w:highlight w:val="none"/>
        </w:rPr>
        <w:t>)、开评标全过程中，各投标人参与远程交互的授权委托人或法人代表应始终为同一个人，中途不得更换，在唱标、提疑、传送文件等特殊情况下需要交互时，投标人一端参与交互的人员将均被视为是投标人的授权委托人或法人代表，投标人不得以不承认交互人员的资格或身份等为借口抵赖推脱，投标人自行承担随意更换人员所导致的一切后果。</w:t>
      </w:r>
    </w:p>
    <w:p>
      <w:pPr>
        <w:autoSpaceDE w:val="0"/>
        <w:autoSpaceDN w:val="0"/>
        <w:adjustRightInd w:val="0"/>
        <w:spacing w:line="360" w:lineRule="auto"/>
        <w:ind w:right="-14"/>
        <w:jc w:val="left"/>
        <w:rPr>
          <w:rFonts w:hint="eastAsia" w:ascii="宋体" w:hAnsi="宋体"/>
          <w:b/>
          <w:color w:val="auto"/>
          <w:sz w:val="24"/>
          <w:highlight w:val="none"/>
        </w:rPr>
      </w:pPr>
      <w:r>
        <w:rPr>
          <w:rFonts w:hint="eastAsia" w:ascii="宋体" w:hAnsi="宋体"/>
          <w:b/>
          <w:color w:val="auto"/>
          <w:sz w:val="24"/>
          <w:highlight w:val="none"/>
        </w:rPr>
        <w:t>重要事项说明：</w:t>
      </w:r>
    </w:p>
    <w:p>
      <w:pPr>
        <w:autoSpaceDE w:val="0"/>
        <w:autoSpaceDN w:val="0"/>
        <w:adjustRightInd w:val="0"/>
        <w:spacing w:line="360" w:lineRule="auto"/>
        <w:ind w:right="-14" w:firstLine="240" w:firstLineChars="100"/>
        <w:jc w:val="left"/>
        <w:rPr>
          <w:rFonts w:hint="eastAsia" w:ascii="宋体" w:hAnsi="宋体"/>
          <w:bCs/>
          <w:color w:val="auto"/>
          <w:sz w:val="24"/>
          <w:highlight w:val="none"/>
        </w:rPr>
      </w:pPr>
      <w:r>
        <w:rPr>
          <w:rFonts w:hint="eastAsia" w:ascii="宋体" w:hAnsi="宋体"/>
          <w:bCs/>
          <w:color w:val="auto"/>
          <w:sz w:val="24"/>
          <w:highlight w:val="none"/>
        </w:rPr>
        <w:t>（1）开标项目的时间均以国家授时中心发布的时间为准。</w:t>
      </w:r>
    </w:p>
    <w:p>
      <w:pPr>
        <w:autoSpaceDE w:val="0"/>
        <w:autoSpaceDN w:val="0"/>
        <w:adjustRightInd w:val="0"/>
        <w:spacing w:line="360" w:lineRule="auto"/>
        <w:ind w:right="-14" w:firstLine="240" w:firstLineChars="100"/>
        <w:jc w:val="left"/>
        <w:rPr>
          <w:rFonts w:hint="eastAsia" w:ascii="宋体" w:hAnsi="宋体"/>
          <w:bCs/>
          <w:color w:val="auto"/>
          <w:sz w:val="24"/>
          <w:highlight w:val="none"/>
        </w:rPr>
      </w:pPr>
      <w:r>
        <w:rPr>
          <w:rFonts w:hint="eastAsia" w:ascii="宋体" w:hAnsi="宋体"/>
          <w:bCs/>
          <w:color w:val="auto"/>
          <w:sz w:val="24"/>
          <w:highlight w:val="none"/>
        </w:rPr>
        <w:t>（2）若投标人已申请多把CA锁，请注意使用差别。因ca锁使用错误引发的问题，由投标人自己负责。</w:t>
      </w:r>
    </w:p>
    <w:p>
      <w:pPr>
        <w:autoSpaceDE w:val="0"/>
        <w:autoSpaceDN w:val="0"/>
        <w:adjustRightInd w:val="0"/>
        <w:spacing w:line="360" w:lineRule="auto"/>
        <w:ind w:right="-14" w:firstLine="240" w:firstLineChars="100"/>
        <w:jc w:val="left"/>
        <w:rPr>
          <w:rFonts w:hint="eastAsia" w:ascii="宋体" w:hAnsi="宋体" w:eastAsia="宋体" w:cs="Times New Roman"/>
          <w:bCs/>
          <w:color w:val="auto"/>
          <w:sz w:val="24"/>
          <w:highlight w:val="none"/>
        </w:rPr>
      </w:pPr>
      <w:r>
        <w:rPr>
          <w:rFonts w:hint="eastAsia" w:ascii="宋体" w:hAnsi="宋体" w:eastAsia="宋体" w:cs="Times New Roman"/>
          <w:bCs/>
          <w:color w:val="auto"/>
          <w:sz w:val="24"/>
          <w:highlight w:val="none"/>
        </w:rPr>
        <w:t>（3）如有疑问，请咨询平台技术服务电话：蔡先生，13454667697；王女士，13757680207。QQ “台州湾新区小额工程交易平台交流”（群号：435057190），进行业务咨询。此群也作为不见面开标的备用远程交互群。</w:t>
      </w:r>
    </w:p>
    <w:p>
      <w:pPr>
        <w:autoSpaceDE w:val="0"/>
        <w:autoSpaceDN w:val="0"/>
        <w:adjustRightInd w:val="0"/>
        <w:spacing w:line="360" w:lineRule="auto"/>
        <w:ind w:right="-14" w:firstLine="241" w:firstLineChars="100"/>
        <w:jc w:val="left"/>
        <w:rPr>
          <w:rFonts w:hint="eastAsia" w:ascii="宋体" w:hAnsi="宋体" w:eastAsia="宋体" w:cs="Times New Roman"/>
          <w:b/>
          <w:bCs w:val="0"/>
          <w:color w:val="auto"/>
          <w:sz w:val="24"/>
          <w:highlight w:val="none"/>
          <w:lang w:eastAsia="zh-CN"/>
        </w:rPr>
      </w:pPr>
      <w:r>
        <w:rPr>
          <w:rFonts w:hint="eastAsia" w:ascii="宋体" w:hAnsi="宋体" w:eastAsia="宋体" w:cs="Times New Roman"/>
          <w:b/>
          <w:bCs w:val="0"/>
          <w:color w:val="auto"/>
          <w:sz w:val="24"/>
          <w:highlight w:val="none"/>
          <w:lang w:eastAsia="zh-CN"/>
        </w:rPr>
        <w:t>（</w:t>
      </w:r>
      <w:r>
        <w:rPr>
          <w:rFonts w:hint="eastAsia" w:ascii="宋体" w:hAnsi="宋体" w:eastAsia="宋体" w:cs="Times New Roman"/>
          <w:b/>
          <w:bCs w:val="0"/>
          <w:color w:val="auto"/>
          <w:sz w:val="24"/>
          <w:highlight w:val="none"/>
          <w:lang w:val="en-US" w:eastAsia="zh-CN"/>
        </w:rPr>
        <w:t>4</w:t>
      </w:r>
      <w:r>
        <w:rPr>
          <w:rFonts w:hint="eastAsia" w:ascii="宋体" w:hAnsi="宋体" w:eastAsia="宋体" w:cs="Times New Roman"/>
          <w:b/>
          <w:bCs w:val="0"/>
          <w:color w:val="auto"/>
          <w:sz w:val="24"/>
          <w:highlight w:val="none"/>
          <w:lang w:eastAsia="zh-CN"/>
        </w:rPr>
        <w:t>）根据招标的情况，曾多次出现不同公司IP地址及工程清单锁相同等问题，请投标单位严格遵守招标纪律，请勿在同一IP地址下载招标文件、投标报名、上传投标文件、购买保函或参加投标活动，经平台检测认定IP地址重复的投标单位一律没收投标保证金。</w:t>
      </w:r>
    </w:p>
    <w:p>
      <w:pPr>
        <w:pStyle w:val="28"/>
        <w:snapToGrid w:val="0"/>
        <w:spacing w:beforeLines="0" w:afterLines="0" w:line="360" w:lineRule="auto"/>
        <w:ind w:left="1029" w:leftChars="193" w:hanging="489" w:hangingChars="174"/>
        <w:outlineLvl w:val="1"/>
        <w:rPr>
          <w:rFonts w:hAnsi="宋体"/>
          <w:b/>
          <w:color w:val="0D0D0D"/>
          <w:sz w:val="28"/>
          <w:szCs w:val="28"/>
          <w:highlight w:val="none"/>
        </w:rPr>
      </w:pPr>
      <w:r>
        <w:rPr>
          <w:rFonts w:hAnsi="宋体"/>
          <w:b/>
          <w:color w:val="0D0D0D"/>
          <w:sz w:val="28"/>
          <w:szCs w:val="28"/>
          <w:highlight w:val="none"/>
        </w:rPr>
        <w:t>五、评标</w:t>
      </w:r>
    </w:p>
    <w:p>
      <w:pPr>
        <w:pStyle w:val="28"/>
        <w:snapToGrid w:val="0"/>
        <w:spacing w:beforeLines="0" w:afterLines="0" w:line="360" w:lineRule="auto"/>
        <w:ind w:left="876" w:leftChars="128" w:hanging="518" w:hangingChars="215"/>
        <w:rPr>
          <w:rFonts w:hAnsi="宋体"/>
          <w:b/>
          <w:color w:val="0D0D0D"/>
          <w:highlight w:val="none"/>
        </w:rPr>
      </w:pPr>
      <w:r>
        <w:rPr>
          <w:rFonts w:hAnsi="宋体"/>
          <w:b/>
          <w:color w:val="0D0D0D"/>
          <w:highlight w:val="none"/>
        </w:rPr>
        <w:t>（一）组建</w:t>
      </w:r>
      <w:r>
        <w:rPr>
          <w:rFonts w:hint="eastAsia" w:hAnsi="宋体"/>
          <w:b/>
          <w:color w:val="0D0D0D"/>
          <w:highlight w:val="none"/>
        </w:rPr>
        <w:t>评标委员会</w:t>
      </w:r>
    </w:p>
    <w:p>
      <w:pPr>
        <w:pStyle w:val="28"/>
        <w:snapToGrid w:val="0"/>
        <w:spacing w:beforeLines="0" w:afterLines="0" w:line="360" w:lineRule="auto"/>
        <w:ind w:firstLine="480" w:firstLineChars="200"/>
        <w:rPr>
          <w:rFonts w:hAnsi="宋体"/>
          <w:color w:val="0D0D0D"/>
          <w:highlight w:val="none"/>
        </w:rPr>
      </w:pPr>
      <w:r>
        <w:rPr>
          <w:rFonts w:hAnsi="宋体"/>
          <w:color w:val="0D0D0D"/>
          <w:highlight w:val="none"/>
        </w:rPr>
        <w:t>本项目</w:t>
      </w:r>
      <w:r>
        <w:rPr>
          <w:rFonts w:hint="eastAsia" w:hAnsi="宋体"/>
          <w:color w:val="0D0D0D"/>
          <w:highlight w:val="none"/>
        </w:rPr>
        <w:t>评标委员会</w:t>
      </w:r>
      <w:r>
        <w:rPr>
          <w:rFonts w:hAnsi="宋体"/>
          <w:color w:val="0D0D0D"/>
          <w:highlight w:val="none"/>
        </w:rPr>
        <w:t>由评审专家和</w:t>
      </w:r>
      <w:r>
        <w:rPr>
          <w:rFonts w:hint="eastAsia" w:ascii="宋体" w:hAnsi="宋体"/>
          <w:color w:val="0D0D0D"/>
          <w:sz w:val="24"/>
          <w:highlight w:val="none"/>
          <w:lang w:val="en-US" w:eastAsia="zh-CN"/>
        </w:rPr>
        <w:t>招标人</w:t>
      </w:r>
      <w:r>
        <w:rPr>
          <w:rFonts w:hAnsi="宋体"/>
          <w:color w:val="0D0D0D"/>
          <w:highlight w:val="none"/>
        </w:rPr>
        <w:t>代表</w:t>
      </w:r>
      <w:r>
        <w:rPr>
          <w:rFonts w:hint="eastAsia" w:hAnsi="宋体"/>
          <w:color w:val="0D0D0D"/>
          <w:highlight w:val="none"/>
          <w:lang w:eastAsia="zh-CN"/>
        </w:rPr>
        <w:t>（</w:t>
      </w:r>
      <w:r>
        <w:rPr>
          <w:rFonts w:hint="eastAsia" w:hAnsi="宋体"/>
          <w:color w:val="0D0D0D"/>
          <w:highlight w:val="none"/>
          <w:lang w:val="en-US" w:eastAsia="zh-CN"/>
        </w:rPr>
        <w:t>如有</w:t>
      </w:r>
      <w:r>
        <w:rPr>
          <w:rFonts w:hint="eastAsia" w:hAnsi="宋体"/>
          <w:color w:val="0D0D0D"/>
          <w:highlight w:val="none"/>
          <w:lang w:eastAsia="zh-CN"/>
        </w:rPr>
        <w:t>）</w:t>
      </w:r>
      <w:r>
        <w:rPr>
          <w:rFonts w:hAnsi="宋体"/>
          <w:color w:val="0D0D0D"/>
          <w:highlight w:val="none"/>
        </w:rPr>
        <w:t>组成。</w:t>
      </w:r>
    </w:p>
    <w:p>
      <w:pPr>
        <w:pStyle w:val="28"/>
        <w:snapToGrid w:val="0"/>
        <w:spacing w:beforeLines="0" w:afterLines="0" w:line="360" w:lineRule="auto"/>
        <w:ind w:left="879" w:leftChars="129" w:hanging="518" w:hangingChars="215"/>
        <w:rPr>
          <w:rFonts w:hAnsi="宋体"/>
          <w:b/>
          <w:color w:val="0D0D0D"/>
          <w:highlight w:val="none"/>
        </w:rPr>
      </w:pPr>
      <w:r>
        <w:rPr>
          <w:rFonts w:hAnsi="宋体"/>
          <w:b/>
          <w:color w:val="0D0D0D"/>
          <w:highlight w:val="none"/>
        </w:rPr>
        <w:t>（二）评标的方式</w:t>
      </w:r>
    </w:p>
    <w:p>
      <w:pPr>
        <w:pStyle w:val="28"/>
        <w:snapToGrid w:val="0"/>
        <w:spacing w:beforeLines="0" w:afterLines="0" w:line="360" w:lineRule="auto"/>
        <w:ind w:left="878" w:leftChars="228" w:hanging="240" w:hangingChars="100"/>
        <w:rPr>
          <w:rFonts w:hAnsi="宋体"/>
          <w:color w:val="0D0D0D"/>
          <w:highlight w:val="none"/>
        </w:rPr>
      </w:pPr>
      <w:r>
        <w:rPr>
          <w:rFonts w:hAnsi="宋体"/>
          <w:color w:val="0D0D0D"/>
          <w:highlight w:val="none"/>
        </w:rPr>
        <w:t>本项目采用不公开方式评标，评标的依据为</w:t>
      </w:r>
      <w:r>
        <w:rPr>
          <w:rFonts w:hint="eastAsia" w:hAnsi="宋体"/>
          <w:color w:val="0D0D0D"/>
          <w:highlight w:val="none"/>
        </w:rPr>
        <w:t>招标文件</w:t>
      </w:r>
      <w:r>
        <w:rPr>
          <w:rFonts w:hAnsi="宋体"/>
          <w:color w:val="0D0D0D"/>
          <w:highlight w:val="none"/>
        </w:rPr>
        <w:t>和报价文件。</w:t>
      </w:r>
    </w:p>
    <w:p>
      <w:pPr>
        <w:pStyle w:val="28"/>
        <w:snapToGrid w:val="0"/>
        <w:spacing w:beforeLines="0" w:afterLines="0" w:line="360" w:lineRule="auto"/>
        <w:ind w:left="879" w:leftChars="129" w:hanging="518" w:hangingChars="215"/>
        <w:rPr>
          <w:rFonts w:hAnsi="宋体"/>
          <w:b/>
          <w:color w:val="0D0D0D"/>
          <w:highlight w:val="none"/>
        </w:rPr>
      </w:pPr>
      <w:r>
        <w:rPr>
          <w:rFonts w:hAnsi="宋体"/>
          <w:b/>
          <w:color w:val="0D0D0D"/>
          <w:highlight w:val="none"/>
        </w:rPr>
        <w:t>（三）</w:t>
      </w:r>
      <w:r>
        <w:rPr>
          <w:rFonts w:hAnsi="宋体"/>
          <w:b/>
          <w:bCs/>
          <w:color w:val="0D0D0D"/>
          <w:highlight w:val="none"/>
        </w:rPr>
        <w:t>评标程序</w:t>
      </w:r>
    </w:p>
    <w:p>
      <w:pPr>
        <w:snapToGrid w:val="0"/>
        <w:spacing w:line="360" w:lineRule="auto"/>
        <w:ind w:firstLine="472" w:firstLineChars="196"/>
        <w:rPr>
          <w:rFonts w:ascii="宋体" w:hAnsi="宋体"/>
          <w:b/>
          <w:bCs/>
          <w:color w:val="0D0D0D"/>
          <w:sz w:val="24"/>
          <w:szCs w:val="20"/>
          <w:highlight w:val="none"/>
        </w:rPr>
      </w:pPr>
      <w:r>
        <w:rPr>
          <w:rFonts w:ascii="宋体" w:hAnsi="宋体"/>
          <w:b/>
          <w:bCs/>
          <w:color w:val="0D0D0D"/>
          <w:sz w:val="24"/>
          <w:highlight w:val="none"/>
        </w:rPr>
        <w:t>1</w:t>
      </w:r>
      <w:r>
        <w:rPr>
          <w:rFonts w:hint="eastAsia" w:ascii="宋体" w:hAnsi="宋体"/>
          <w:b/>
          <w:bCs/>
          <w:color w:val="0D0D0D"/>
          <w:sz w:val="24"/>
          <w:highlight w:val="none"/>
        </w:rPr>
        <w:t>.</w:t>
      </w:r>
      <w:r>
        <w:rPr>
          <w:rFonts w:ascii="宋体" w:hAnsi="宋体"/>
          <w:b/>
          <w:bCs/>
          <w:color w:val="0D0D0D"/>
          <w:sz w:val="24"/>
          <w:highlight w:val="none"/>
        </w:rPr>
        <w:t>形式审查</w:t>
      </w:r>
    </w:p>
    <w:p>
      <w:pPr>
        <w:snapToGrid w:val="0"/>
        <w:spacing w:line="360" w:lineRule="auto"/>
        <w:ind w:firstLine="480" w:firstLineChars="200"/>
        <w:rPr>
          <w:rFonts w:hint="eastAsia" w:ascii="宋体" w:hAnsi="宋体"/>
          <w:b/>
          <w:color w:val="0D0D0D"/>
          <w:sz w:val="24"/>
          <w:szCs w:val="20"/>
          <w:highlight w:val="none"/>
        </w:rPr>
      </w:pPr>
      <w:r>
        <w:rPr>
          <w:rFonts w:hint="eastAsia" w:ascii="宋体" w:hAnsi="宋体"/>
          <w:color w:val="0D0D0D"/>
          <w:sz w:val="24"/>
          <w:highlight w:val="none"/>
          <w:lang w:val="en-US" w:eastAsia="zh-CN"/>
        </w:rPr>
        <w:t>招标人</w:t>
      </w:r>
      <w:r>
        <w:rPr>
          <w:rFonts w:hint="eastAsia" w:ascii="宋体" w:hAnsi="宋体"/>
          <w:color w:val="0D0D0D"/>
          <w:sz w:val="24"/>
          <w:highlight w:val="none"/>
        </w:rPr>
        <w:t>代表和代理机构工作人员协助评标委员会对投标人的资格</w:t>
      </w:r>
      <w:r>
        <w:rPr>
          <w:rFonts w:ascii="宋体" w:hAnsi="宋体"/>
          <w:color w:val="0D0D0D"/>
          <w:sz w:val="24"/>
          <w:highlight w:val="none"/>
        </w:rPr>
        <w:t>和报价文件的完整性、合法性等进行审查。</w:t>
      </w:r>
    </w:p>
    <w:p>
      <w:pPr>
        <w:snapToGrid w:val="0"/>
        <w:spacing w:line="360" w:lineRule="auto"/>
        <w:ind w:firstLine="472" w:firstLineChars="196"/>
        <w:rPr>
          <w:rFonts w:ascii="宋体" w:hAnsi="宋体"/>
          <w:b/>
          <w:bCs/>
          <w:color w:val="0D0D0D"/>
          <w:sz w:val="24"/>
          <w:szCs w:val="20"/>
          <w:highlight w:val="none"/>
        </w:rPr>
      </w:pPr>
      <w:r>
        <w:rPr>
          <w:rFonts w:ascii="宋体" w:hAnsi="宋体"/>
          <w:b/>
          <w:bCs/>
          <w:color w:val="0D0D0D"/>
          <w:sz w:val="24"/>
          <w:highlight w:val="none"/>
        </w:rPr>
        <w:t>2</w:t>
      </w:r>
      <w:r>
        <w:rPr>
          <w:rFonts w:hint="eastAsia" w:ascii="宋体" w:hAnsi="宋体"/>
          <w:b/>
          <w:bCs/>
          <w:color w:val="0D0D0D"/>
          <w:sz w:val="24"/>
          <w:highlight w:val="none"/>
        </w:rPr>
        <w:t>.</w:t>
      </w:r>
      <w:r>
        <w:rPr>
          <w:rFonts w:ascii="宋体" w:hAnsi="宋体"/>
          <w:b/>
          <w:bCs/>
          <w:color w:val="0D0D0D"/>
          <w:sz w:val="24"/>
          <w:highlight w:val="none"/>
        </w:rPr>
        <w:t>实质审查与比较</w:t>
      </w:r>
    </w:p>
    <w:p>
      <w:pPr>
        <w:snapToGrid w:val="0"/>
        <w:spacing w:line="360" w:lineRule="auto"/>
        <w:ind w:firstLine="480" w:firstLineChars="200"/>
        <w:rPr>
          <w:rFonts w:ascii="宋体" w:hAnsi="宋体"/>
          <w:color w:val="0D0D0D"/>
          <w:sz w:val="24"/>
          <w:szCs w:val="20"/>
          <w:highlight w:val="none"/>
        </w:rPr>
      </w:pPr>
      <w:r>
        <w:rPr>
          <w:rFonts w:hint="eastAsia" w:ascii="宋体" w:hAnsi="宋体"/>
          <w:color w:val="0D0D0D"/>
          <w:sz w:val="24"/>
          <w:highlight w:val="none"/>
        </w:rPr>
        <w:t>（</w:t>
      </w:r>
      <w:r>
        <w:rPr>
          <w:rFonts w:ascii="宋体" w:hAnsi="宋体"/>
          <w:color w:val="0D0D0D"/>
          <w:sz w:val="24"/>
          <w:highlight w:val="none"/>
        </w:rPr>
        <w:t>1）</w:t>
      </w:r>
      <w:r>
        <w:rPr>
          <w:rFonts w:hint="eastAsia" w:ascii="宋体" w:hAnsi="宋体"/>
          <w:color w:val="0D0D0D"/>
          <w:sz w:val="24"/>
          <w:highlight w:val="none"/>
        </w:rPr>
        <w:t>评标委员会</w:t>
      </w:r>
      <w:r>
        <w:rPr>
          <w:rFonts w:ascii="宋体" w:hAnsi="宋体"/>
          <w:color w:val="0D0D0D"/>
          <w:sz w:val="24"/>
          <w:highlight w:val="none"/>
        </w:rPr>
        <w:t>审查报价文件的实质性内容是否符合</w:t>
      </w:r>
      <w:r>
        <w:rPr>
          <w:rFonts w:hint="eastAsia" w:ascii="宋体" w:hAnsi="宋体"/>
          <w:color w:val="0D0D0D"/>
          <w:sz w:val="24"/>
          <w:highlight w:val="none"/>
        </w:rPr>
        <w:t>招标文件</w:t>
      </w:r>
      <w:r>
        <w:rPr>
          <w:rFonts w:ascii="宋体" w:hAnsi="宋体"/>
          <w:color w:val="0D0D0D"/>
          <w:sz w:val="24"/>
          <w:highlight w:val="none"/>
        </w:rPr>
        <w:t>的实质性要求。</w:t>
      </w:r>
    </w:p>
    <w:p>
      <w:pPr>
        <w:snapToGrid w:val="0"/>
        <w:spacing w:line="360" w:lineRule="auto"/>
        <w:ind w:firstLine="480" w:firstLineChars="200"/>
        <w:rPr>
          <w:rFonts w:ascii="宋体" w:hAnsi="宋体"/>
          <w:color w:val="0D0D0D"/>
          <w:sz w:val="24"/>
          <w:szCs w:val="20"/>
          <w:highlight w:val="none"/>
        </w:rPr>
      </w:pPr>
      <w:r>
        <w:rPr>
          <w:rFonts w:hint="eastAsia" w:ascii="宋体" w:hAnsi="宋体"/>
          <w:color w:val="0D0D0D"/>
          <w:sz w:val="24"/>
          <w:highlight w:val="none"/>
        </w:rPr>
        <w:t>（</w:t>
      </w:r>
      <w:r>
        <w:rPr>
          <w:rFonts w:ascii="宋体" w:hAnsi="宋体"/>
          <w:color w:val="0D0D0D"/>
          <w:sz w:val="24"/>
          <w:highlight w:val="none"/>
        </w:rPr>
        <w:t>2）</w:t>
      </w:r>
      <w:r>
        <w:rPr>
          <w:rFonts w:hint="eastAsia" w:ascii="宋体" w:hAnsi="宋体"/>
          <w:color w:val="0D0D0D"/>
          <w:sz w:val="24"/>
          <w:highlight w:val="none"/>
        </w:rPr>
        <w:t>评标委员会</w:t>
      </w:r>
      <w:r>
        <w:rPr>
          <w:rFonts w:ascii="宋体" w:hAnsi="宋体"/>
          <w:color w:val="0D0D0D"/>
          <w:sz w:val="24"/>
          <w:highlight w:val="none"/>
        </w:rPr>
        <w:t>将根据投标人的报价文件进行审查、核对,如有疑问,将对投标人进行询标,投标人要向</w:t>
      </w:r>
      <w:r>
        <w:rPr>
          <w:rFonts w:hint="eastAsia" w:ascii="宋体" w:hAnsi="宋体"/>
          <w:color w:val="0D0D0D"/>
          <w:sz w:val="24"/>
          <w:highlight w:val="none"/>
        </w:rPr>
        <w:t>评标委员会</w:t>
      </w:r>
      <w:r>
        <w:rPr>
          <w:rFonts w:ascii="宋体" w:hAnsi="宋体"/>
          <w:color w:val="0D0D0D"/>
          <w:sz w:val="24"/>
          <w:highlight w:val="none"/>
        </w:rPr>
        <w:t>澄清有关问题,并最终以书面形式进行答复。</w:t>
      </w:r>
      <w:r>
        <w:rPr>
          <w:rFonts w:hint="eastAsia" w:ascii="宋体" w:hAnsi="宋体"/>
          <w:color w:val="0D0D0D"/>
          <w:sz w:val="24"/>
          <w:highlight w:val="none"/>
        </w:rPr>
        <w:t>投标人代表未到场或者拒绝澄清或者澄清的内容改变了报价文件的实质性内容的，评标委员会有权对该报价文件作出不利于投标人的评判。</w:t>
      </w:r>
    </w:p>
    <w:p>
      <w:pPr>
        <w:snapToGrid w:val="0"/>
        <w:spacing w:line="360" w:lineRule="auto"/>
        <w:ind w:firstLine="480" w:firstLineChars="200"/>
        <w:rPr>
          <w:rFonts w:hint="eastAsia" w:ascii="宋体" w:hAnsi="宋体"/>
          <w:color w:val="0D0D0D"/>
          <w:sz w:val="24"/>
          <w:szCs w:val="20"/>
          <w:highlight w:val="none"/>
        </w:rPr>
      </w:pPr>
      <w:r>
        <w:rPr>
          <w:rFonts w:hint="eastAsia" w:ascii="宋体" w:hAnsi="宋体"/>
          <w:color w:val="0D0D0D"/>
          <w:sz w:val="24"/>
          <w:highlight w:val="none"/>
        </w:rPr>
        <w:t>（</w:t>
      </w:r>
      <w:r>
        <w:rPr>
          <w:rFonts w:ascii="宋体" w:hAnsi="宋体"/>
          <w:color w:val="0D0D0D"/>
          <w:sz w:val="24"/>
          <w:highlight w:val="none"/>
        </w:rPr>
        <w:t>3）</w:t>
      </w:r>
      <w:r>
        <w:rPr>
          <w:rFonts w:hint="eastAsia" w:ascii="宋体" w:hAnsi="宋体"/>
          <w:color w:val="0D0D0D"/>
          <w:sz w:val="24"/>
          <w:highlight w:val="none"/>
        </w:rPr>
        <w:t>代理机构工作人员协助评标委员会</w:t>
      </w:r>
      <w:r>
        <w:rPr>
          <w:rFonts w:ascii="宋体" w:hAnsi="宋体"/>
          <w:color w:val="0D0D0D"/>
          <w:sz w:val="24"/>
          <w:highlight w:val="none"/>
        </w:rPr>
        <w:t>根据</w:t>
      </w:r>
      <w:r>
        <w:rPr>
          <w:rFonts w:hint="eastAsia" w:ascii="宋体" w:hAnsi="宋体"/>
          <w:color w:val="0D0D0D"/>
          <w:sz w:val="24"/>
          <w:highlight w:val="none"/>
        </w:rPr>
        <w:t>本项目的评分标准</w:t>
      </w:r>
      <w:r>
        <w:rPr>
          <w:rFonts w:ascii="宋体" w:hAnsi="宋体"/>
          <w:color w:val="0D0D0D"/>
          <w:sz w:val="24"/>
          <w:highlight w:val="none"/>
        </w:rPr>
        <w:t>计算各投标人的商务报价得分</w:t>
      </w:r>
      <w:r>
        <w:rPr>
          <w:rFonts w:hint="eastAsia" w:ascii="宋体" w:hAnsi="宋体"/>
          <w:color w:val="0D0D0D"/>
          <w:sz w:val="24"/>
          <w:highlight w:val="none"/>
        </w:rPr>
        <w:t>。</w:t>
      </w:r>
    </w:p>
    <w:p>
      <w:pPr>
        <w:snapToGrid w:val="0"/>
        <w:spacing w:line="360" w:lineRule="auto"/>
        <w:ind w:firstLine="480" w:firstLineChars="200"/>
        <w:rPr>
          <w:rFonts w:ascii="宋体" w:hAnsi="宋体"/>
          <w:color w:val="0D0D0D"/>
          <w:sz w:val="24"/>
          <w:szCs w:val="20"/>
          <w:highlight w:val="none"/>
        </w:rPr>
      </w:pPr>
      <w:r>
        <w:rPr>
          <w:rFonts w:hint="eastAsia" w:ascii="宋体" w:hAnsi="宋体"/>
          <w:color w:val="0D0D0D"/>
          <w:sz w:val="24"/>
          <w:highlight w:val="none"/>
        </w:rPr>
        <w:t>（4</w:t>
      </w:r>
      <w:r>
        <w:rPr>
          <w:rFonts w:ascii="宋体" w:hAnsi="宋体"/>
          <w:color w:val="0D0D0D"/>
          <w:sz w:val="24"/>
          <w:highlight w:val="none"/>
        </w:rPr>
        <w:t>）</w:t>
      </w:r>
      <w:r>
        <w:rPr>
          <w:rFonts w:hint="eastAsia" w:ascii="宋体" w:hAnsi="宋体"/>
          <w:color w:val="0D0D0D"/>
          <w:sz w:val="24"/>
          <w:highlight w:val="none"/>
        </w:rPr>
        <w:t>评标委员会</w:t>
      </w:r>
      <w:r>
        <w:rPr>
          <w:rFonts w:ascii="宋体" w:hAnsi="宋体"/>
          <w:color w:val="0D0D0D"/>
          <w:sz w:val="24"/>
          <w:highlight w:val="none"/>
        </w:rPr>
        <w:t>完成评标后,评委对各部分得分汇总,</w:t>
      </w:r>
      <w:r>
        <w:rPr>
          <w:rFonts w:hint="eastAsia" w:ascii="宋体" w:hAnsi="宋体"/>
          <w:color w:val="0D0D0D"/>
          <w:sz w:val="24"/>
          <w:highlight w:val="none"/>
        </w:rPr>
        <w:t>计算</w:t>
      </w:r>
      <w:r>
        <w:rPr>
          <w:rFonts w:ascii="宋体" w:hAnsi="宋体"/>
          <w:color w:val="0D0D0D"/>
          <w:sz w:val="24"/>
          <w:highlight w:val="none"/>
        </w:rPr>
        <w:t>出本项目</w:t>
      </w:r>
      <w:r>
        <w:rPr>
          <w:rFonts w:hint="eastAsia" w:ascii="宋体" w:hAnsi="宋体"/>
          <w:color w:val="0D0D0D"/>
          <w:sz w:val="24"/>
          <w:highlight w:val="none"/>
        </w:rPr>
        <w:t>最终得分</w:t>
      </w:r>
      <w:r>
        <w:rPr>
          <w:rFonts w:ascii="宋体" w:hAnsi="宋体"/>
          <w:color w:val="0D0D0D"/>
          <w:sz w:val="24"/>
          <w:highlight w:val="none"/>
        </w:rPr>
        <w:t>。</w:t>
      </w:r>
      <w:r>
        <w:rPr>
          <w:rFonts w:hint="eastAsia" w:ascii="宋体" w:hAnsi="宋体"/>
          <w:color w:val="0D0D0D"/>
          <w:sz w:val="24"/>
          <w:highlight w:val="none"/>
        </w:rPr>
        <w:t>评标委员会</w:t>
      </w:r>
      <w:r>
        <w:rPr>
          <w:rFonts w:ascii="宋体" w:hAnsi="宋体"/>
          <w:color w:val="0D0D0D"/>
          <w:sz w:val="24"/>
          <w:highlight w:val="none"/>
        </w:rPr>
        <w:t>按评标原则推荐中标候选人同时起草评标报告。</w:t>
      </w:r>
    </w:p>
    <w:p>
      <w:pPr>
        <w:snapToGrid w:val="0"/>
        <w:spacing w:line="360" w:lineRule="auto"/>
        <w:ind w:firstLine="359" w:firstLineChars="149"/>
        <w:rPr>
          <w:rFonts w:ascii="宋体" w:hAnsi="宋体"/>
          <w:b/>
          <w:color w:val="0D0D0D"/>
          <w:sz w:val="24"/>
          <w:szCs w:val="20"/>
          <w:highlight w:val="none"/>
        </w:rPr>
      </w:pPr>
      <w:r>
        <w:rPr>
          <w:rFonts w:hint="eastAsia" w:ascii="宋体" w:hAnsi="宋体"/>
          <w:b/>
          <w:color w:val="0D0D0D"/>
          <w:sz w:val="24"/>
          <w:highlight w:val="none"/>
        </w:rPr>
        <w:t>（四）澄清问题的形式</w:t>
      </w:r>
    </w:p>
    <w:p>
      <w:pPr>
        <w:snapToGrid w:val="0"/>
        <w:spacing w:line="360" w:lineRule="auto"/>
        <w:ind w:firstLine="480" w:firstLineChars="200"/>
        <w:rPr>
          <w:rFonts w:ascii="宋体" w:hAnsi="宋体"/>
          <w:color w:val="0D0D0D"/>
          <w:sz w:val="24"/>
          <w:szCs w:val="20"/>
          <w:highlight w:val="none"/>
        </w:rPr>
      </w:pPr>
      <w:r>
        <w:rPr>
          <w:rFonts w:hint="eastAsia" w:ascii="宋体" w:hAnsi="宋体"/>
          <w:color w:val="0D0D0D"/>
          <w:sz w:val="24"/>
          <w:highlight w:val="none"/>
        </w:rPr>
        <w:t>对报价文件中含义不明确、同类问题表述不一致或者有明显文字和计算错误的内容，评标委员会可要求投标人作出必要的澄清、说明或者纠正。投标人的澄清、说明或者补正应当采用书面形式，由其授权代表签字或盖章确认，并不得超出报价文件的范围或者改变报价文件的实质性内容。</w:t>
      </w:r>
    </w:p>
    <w:p>
      <w:pPr>
        <w:pStyle w:val="28"/>
        <w:snapToGrid w:val="0"/>
        <w:spacing w:beforeLines="0" w:afterLines="0" w:line="360" w:lineRule="auto"/>
        <w:ind w:left="877" w:leftChars="129" w:hanging="516" w:hangingChars="214"/>
        <w:rPr>
          <w:rFonts w:hAnsi="宋体"/>
          <w:b/>
          <w:color w:val="0D0D0D"/>
          <w:highlight w:val="none"/>
        </w:rPr>
      </w:pPr>
      <w:r>
        <w:rPr>
          <w:rFonts w:hAnsi="宋体"/>
          <w:b/>
          <w:color w:val="0D0D0D"/>
          <w:highlight w:val="none"/>
        </w:rPr>
        <w:t>（五）错误修正</w:t>
      </w:r>
    </w:p>
    <w:p>
      <w:pPr>
        <w:pStyle w:val="28"/>
        <w:snapToGrid w:val="0"/>
        <w:spacing w:beforeLines="0" w:afterLines="0" w:line="360" w:lineRule="auto"/>
        <w:ind w:firstLine="480" w:firstLineChars="200"/>
        <w:rPr>
          <w:rFonts w:hAnsi="宋体"/>
          <w:color w:val="0D0D0D"/>
          <w:highlight w:val="none"/>
        </w:rPr>
      </w:pPr>
      <w:r>
        <w:rPr>
          <w:rFonts w:hAnsi="宋体"/>
          <w:color w:val="0D0D0D"/>
          <w:highlight w:val="none"/>
        </w:rPr>
        <w:t>报价文件如果出现计算或表达上的错误，修正错误的原则如下：</w:t>
      </w:r>
    </w:p>
    <w:p>
      <w:pPr>
        <w:pStyle w:val="28"/>
        <w:snapToGrid w:val="0"/>
        <w:spacing w:before="120" w:after="120" w:line="360" w:lineRule="auto"/>
        <w:ind w:firstLine="480" w:firstLineChars="200"/>
        <w:rPr>
          <w:rFonts w:hint="eastAsia" w:ascii="宋体" w:hAnsi="宋体" w:eastAsia="宋体" w:cs="Times New Roman"/>
          <w:color w:val="0D0D0D"/>
          <w:kern w:val="2"/>
          <w:sz w:val="24"/>
          <w:szCs w:val="24"/>
          <w:highlight w:val="none"/>
          <w:lang w:val="en-US" w:eastAsia="zh-CN" w:bidi="ar-SA"/>
        </w:rPr>
      </w:pPr>
      <w:r>
        <w:rPr>
          <w:rFonts w:hint="eastAsia" w:ascii="宋体" w:hAnsi="宋体" w:eastAsia="宋体" w:cs="Times New Roman"/>
          <w:color w:val="0D0D0D"/>
          <w:kern w:val="2"/>
          <w:sz w:val="24"/>
          <w:szCs w:val="24"/>
          <w:highlight w:val="none"/>
          <w:lang w:val="en-US" w:eastAsia="zh-CN" w:bidi="ar-SA"/>
        </w:rPr>
        <w:t>1、“台州湾新区小额工程电子交易平台”上开启的投标报价或工期与电子投标文件中开标一览表（报价表）内容不一致的，以电子投标文件中开标一览表（报价表）为准；</w:t>
      </w:r>
    </w:p>
    <w:p>
      <w:pPr>
        <w:snapToGrid w:val="0"/>
        <w:spacing w:line="360" w:lineRule="auto"/>
        <w:ind w:firstLine="480" w:firstLineChars="200"/>
        <w:rPr>
          <w:rFonts w:hint="eastAsia" w:ascii="宋体" w:hAnsi="宋体" w:eastAsia="宋体" w:cs="Times New Roman"/>
          <w:color w:val="0D0D0D"/>
          <w:kern w:val="2"/>
          <w:sz w:val="24"/>
          <w:szCs w:val="24"/>
          <w:highlight w:val="none"/>
          <w:lang w:val="en-US" w:eastAsia="zh-CN" w:bidi="ar-SA"/>
        </w:rPr>
      </w:pPr>
      <w:r>
        <w:rPr>
          <w:rFonts w:hint="eastAsia" w:ascii="宋体" w:hAnsi="宋体" w:eastAsia="宋体" w:cs="Times New Roman"/>
          <w:color w:val="0D0D0D"/>
          <w:kern w:val="2"/>
          <w:sz w:val="24"/>
          <w:szCs w:val="24"/>
          <w:highlight w:val="none"/>
          <w:lang w:val="en-US" w:eastAsia="zh-CN" w:bidi="ar-SA"/>
        </w:rPr>
        <w:t>2、投标文件中开标一览表(报价表)内容与投标文件中相应内容不一致的，以开标一览表(报价表)为准；</w:t>
      </w:r>
    </w:p>
    <w:p>
      <w:pPr>
        <w:snapToGrid w:val="0"/>
        <w:spacing w:line="360" w:lineRule="auto"/>
        <w:ind w:firstLine="480" w:firstLineChars="200"/>
        <w:rPr>
          <w:rFonts w:hint="eastAsia" w:ascii="宋体" w:hAnsi="宋体" w:eastAsia="宋体" w:cs="Times New Roman"/>
          <w:color w:val="0D0D0D"/>
          <w:kern w:val="2"/>
          <w:sz w:val="24"/>
          <w:szCs w:val="24"/>
          <w:highlight w:val="none"/>
          <w:lang w:val="en-US" w:eastAsia="zh-CN" w:bidi="ar-SA"/>
        </w:rPr>
      </w:pPr>
      <w:r>
        <w:rPr>
          <w:rFonts w:hint="eastAsia" w:ascii="宋体" w:hAnsi="宋体" w:eastAsia="宋体" w:cs="Times New Roman"/>
          <w:color w:val="0D0D0D"/>
          <w:kern w:val="2"/>
          <w:sz w:val="24"/>
          <w:szCs w:val="24"/>
          <w:highlight w:val="none"/>
          <w:lang w:val="en-US" w:eastAsia="zh-CN" w:bidi="ar-SA"/>
        </w:rPr>
        <w:t>3、大写金额和小写金额不一致的，以大写金额为准；</w:t>
      </w:r>
    </w:p>
    <w:p>
      <w:pPr>
        <w:snapToGrid w:val="0"/>
        <w:spacing w:line="360" w:lineRule="auto"/>
        <w:ind w:firstLine="480" w:firstLineChars="200"/>
        <w:rPr>
          <w:rFonts w:hint="eastAsia" w:ascii="宋体" w:hAnsi="宋体" w:eastAsia="宋体" w:cs="Times New Roman"/>
          <w:color w:val="0D0D0D"/>
          <w:kern w:val="2"/>
          <w:sz w:val="24"/>
          <w:szCs w:val="24"/>
          <w:highlight w:val="none"/>
          <w:lang w:val="en-US" w:eastAsia="zh-CN" w:bidi="ar-SA"/>
        </w:rPr>
      </w:pPr>
      <w:r>
        <w:rPr>
          <w:rFonts w:hint="eastAsia" w:ascii="宋体" w:hAnsi="宋体" w:eastAsia="宋体" w:cs="Times New Roman"/>
          <w:color w:val="0D0D0D"/>
          <w:kern w:val="2"/>
          <w:sz w:val="24"/>
          <w:szCs w:val="24"/>
          <w:highlight w:val="none"/>
          <w:lang w:val="en-US" w:eastAsia="zh-CN" w:bidi="ar-SA"/>
        </w:rPr>
        <w:t>4、单价金额小数点或者百分比有明显错位的，以开标一览表的总价为准，并修改单价；</w:t>
      </w:r>
    </w:p>
    <w:p>
      <w:pPr>
        <w:snapToGrid w:val="0"/>
        <w:spacing w:line="360" w:lineRule="auto"/>
        <w:ind w:firstLine="480" w:firstLineChars="200"/>
        <w:rPr>
          <w:rFonts w:hint="eastAsia" w:ascii="宋体" w:hAnsi="宋体" w:eastAsia="宋体" w:cs="Times New Roman"/>
          <w:color w:val="0D0D0D"/>
          <w:kern w:val="2"/>
          <w:sz w:val="24"/>
          <w:szCs w:val="24"/>
          <w:highlight w:val="none"/>
          <w:lang w:val="en-US" w:eastAsia="zh-CN" w:bidi="ar-SA"/>
        </w:rPr>
      </w:pPr>
      <w:r>
        <w:rPr>
          <w:rFonts w:hint="eastAsia" w:ascii="宋体" w:hAnsi="宋体" w:eastAsia="宋体" w:cs="Times New Roman"/>
          <w:color w:val="0D0D0D"/>
          <w:kern w:val="2"/>
          <w:sz w:val="24"/>
          <w:szCs w:val="24"/>
          <w:highlight w:val="none"/>
          <w:lang w:val="en-US" w:eastAsia="zh-CN" w:bidi="ar-SA"/>
        </w:rPr>
        <w:t>5、总价金额与按单价汇总金额不一致的，以总价金额为准，合理调整单价；</w:t>
      </w:r>
    </w:p>
    <w:p>
      <w:pPr>
        <w:pStyle w:val="28"/>
        <w:snapToGrid w:val="0"/>
        <w:spacing w:beforeLines="0" w:afterLines="0" w:line="360" w:lineRule="auto"/>
        <w:ind w:firstLine="480" w:firstLineChars="200"/>
        <w:rPr>
          <w:rFonts w:hint="eastAsia" w:ascii="宋体" w:hAnsi="宋体" w:eastAsia="宋体" w:cs="Times New Roman"/>
          <w:color w:val="0D0D0D"/>
          <w:kern w:val="2"/>
          <w:sz w:val="24"/>
          <w:szCs w:val="24"/>
          <w:highlight w:val="none"/>
          <w:lang w:val="en-US" w:eastAsia="zh-CN" w:bidi="ar-SA"/>
        </w:rPr>
      </w:pPr>
      <w:r>
        <w:rPr>
          <w:rFonts w:hint="eastAsia" w:ascii="宋体" w:hAnsi="宋体" w:eastAsia="宋体" w:cs="Times New Roman"/>
          <w:color w:val="0D0D0D"/>
          <w:kern w:val="2"/>
          <w:sz w:val="24"/>
          <w:szCs w:val="24"/>
          <w:highlight w:val="none"/>
          <w:lang w:val="en-US" w:eastAsia="zh-CN" w:bidi="ar-SA"/>
        </w:rPr>
        <w:t>6、对不同文字文本报价文件的解释发生异议的，以中文文本为准。</w:t>
      </w:r>
    </w:p>
    <w:p>
      <w:pPr>
        <w:pStyle w:val="28"/>
        <w:snapToGrid w:val="0"/>
        <w:spacing w:beforeLines="0" w:afterLines="0" w:line="360" w:lineRule="auto"/>
        <w:ind w:firstLine="482" w:firstLineChars="200"/>
        <w:rPr>
          <w:rFonts w:hAnsi="宋体"/>
          <w:b/>
          <w:bCs/>
          <w:color w:val="0D0D0D"/>
          <w:highlight w:val="none"/>
        </w:rPr>
      </w:pPr>
      <w:r>
        <w:rPr>
          <w:rFonts w:hAnsi="宋体"/>
          <w:b/>
          <w:bCs/>
          <w:color w:val="0D0D0D"/>
          <w:highlight w:val="none"/>
        </w:rPr>
        <w:t>按上述修正错误的原则及方法调整或修正报价文件的投标报价，投标人同意并签字确认后，调整后的投标报价对投标人具有约束作用。如果投标人不接受修正后的报价，则其投标将作为无效投标处理。</w:t>
      </w:r>
    </w:p>
    <w:p>
      <w:pPr>
        <w:autoSpaceDE w:val="0"/>
        <w:autoSpaceDN w:val="0"/>
        <w:adjustRightInd w:val="0"/>
        <w:spacing w:line="360" w:lineRule="auto"/>
        <w:ind w:firstLine="359" w:firstLineChars="149"/>
        <w:rPr>
          <w:rFonts w:ascii="宋体"/>
          <w:b/>
          <w:color w:val="0D0D0D"/>
          <w:kern w:val="0"/>
          <w:sz w:val="24"/>
          <w:highlight w:val="none"/>
        </w:rPr>
      </w:pPr>
      <w:r>
        <w:rPr>
          <w:rFonts w:hint="eastAsia" w:ascii="宋体"/>
          <w:b/>
          <w:color w:val="0D0D0D"/>
          <w:kern w:val="0"/>
          <w:sz w:val="24"/>
          <w:highlight w:val="none"/>
        </w:rPr>
        <w:t>（六）有下列情况之一的，本次招标作为废标处理，除采购任务取消外，由</w:t>
      </w:r>
      <w:r>
        <w:rPr>
          <w:rFonts w:hint="eastAsia" w:ascii="宋体"/>
          <w:b/>
          <w:color w:val="0D0D0D"/>
          <w:kern w:val="0"/>
          <w:sz w:val="24"/>
          <w:highlight w:val="none"/>
          <w:lang w:val="en-US" w:eastAsia="zh-CN"/>
        </w:rPr>
        <w:t>招标人</w:t>
      </w:r>
      <w:r>
        <w:rPr>
          <w:rFonts w:hint="eastAsia" w:ascii="宋体"/>
          <w:b/>
          <w:color w:val="0D0D0D"/>
          <w:kern w:val="0"/>
          <w:sz w:val="24"/>
          <w:highlight w:val="none"/>
        </w:rPr>
        <w:t>重新组织招标：</w:t>
      </w:r>
    </w:p>
    <w:p>
      <w:pPr>
        <w:snapToGrid w:val="0"/>
        <w:spacing w:line="360" w:lineRule="auto"/>
        <w:ind w:firstLine="480" w:firstLineChars="200"/>
        <w:rPr>
          <w:rFonts w:hint="eastAsia" w:ascii="宋体" w:hAnsi="宋体" w:eastAsia="宋体" w:cs="Times New Roman"/>
          <w:color w:val="0C0C0C"/>
          <w:kern w:val="2"/>
          <w:sz w:val="24"/>
          <w:szCs w:val="24"/>
          <w:highlight w:val="none"/>
          <w:lang w:val="en-US" w:eastAsia="zh-CN" w:bidi="ar-SA"/>
        </w:rPr>
      </w:pPr>
      <w:r>
        <w:rPr>
          <w:rFonts w:hint="eastAsia" w:ascii="宋体" w:hAnsi="宋体" w:eastAsia="宋体" w:cs="Times New Roman"/>
          <w:color w:val="0C0C0C"/>
          <w:kern w:val="2"/>
          <w:sz w:val="24"/>
          <w:szCs w:val="24"/>
          <w:highlight w:val="none"/>
          <w:lang w:val="en-US" w:eastAsia="zh-CN" w:bidi="ar-SA"/>
        </w:rPr>
        <w:t>1、符合专业条件的投标人或者对招标文件作实质响应的投标人不足3家；</w:t>
      </w:r>
    </w:p>
    <w:p>
      <w:pPr>
        <w:snapToGrid w:val="0"/>
        <w:spacing w:line="360" w:lineRule="auto"/>
        <w:ind w:firstLine="480" w:firstLineChars="200"/>
        <w:rPr>
          <w:rFonts w:hint="eastAsia" w:ascii="宋体" w:hAnsi="宋体" w:eastAsia="宋体" w:cs="Times New Roman"/>
          <w:color w:val="0C0C0C"/>
          <w:kern w:val="2"/>
          <w:sz w:val="24"/>
          <w:szCs w:val="24"/>
          <w:highlight w:val="none"/>
          <w:lang w:val="en-US" w:eastAsia="zh-CN" w:bidi="ar-SA"/>
        </w:rPr>
      </w:pPr>
      <w:r>
        <w:rPr>
          <w:rFonts w:hint="eastAsia" w:ascii="宋体" w:hAnsi="宋体" w:eastAsia="宋体" w:cs="Times New Roman"/>
          <w:color w:val="0C0C0C"/>
          <w:kern w:val="2"/>
          <w:sz w:val="24"/>
          <w:szCs w:val="24"/>
          <w:highlight w:val="none"/>
          <w:lang w:val="en-US" w:eastAsia="zh-CN" w:bidi="ar-SA"/>
        </w:rPr>
        <w:t>2、出现影响采购公正的违法、违规行为的；</w:t>
      </w:r>
    </w:p>
    <w:p>
      <w:pPr>
        <w:snapToGrid w:val="0"/>
        <w:spacing w:line="360" w:lineRule="auto"/>
        <w:ind w:firstLine="480" w:firstLineChars="200"/>
        <w:rPr>
          <w:rFonts w:hint="eastAsia" w:ascii="宋体" w:hAnsi="宋体" w:eastAsia="宋体" w:cs="Times New Roman"/>
          <w:color w:val="0C0C0C"/>
          <w:kern w:val="2"/>
          <w:sz w:val="24"/>
          <w:szCs w:val="24"/>
          <w:highlight w:val="none"/>
          <w:lang w:val="en-US" w:eastAsia="zh-CN" w:bidi="ar-SA"/>
        </w:rPr>
      </w:pPr>
      <w:r>
        <w:rPr>
          <w:rFonts w:hint="eastAsia" w:ascii="宋体" w:hAnsi="宋体" w:eastAsia="宋体" w:cs="Times New Roman"/>
          <w:color w:val="0C0C0C"/>
          <w:kern w:val="2"/>
          <w:sz w:val="24"/>
          <w:szCs w:val="24"/>
          <w:highlight w:val="none"/>
          <w:lang w:val="en-US" w:eastAsia="zh-CN" w:bidi="ar-SA"/>
        </w:rPr>
        <w:t>3、投标人的报价均超过了采购预算，</w:t>
      </w:r>
      <w:r>
        <w:rPr>
          <w:rFonts w:hint="eastAsia" w:ascii="宋体" w:hAnsi="宋体"/>
          <w:color w:val="0D0D0D"/>
          <w:sz w:val="24"/>
          <w:highlight w:val="none"/>
          <w:lang w:val="en-US" w:eastAsia="zh-CN"/>
        </w:rPr>
        <w:t>招标人</w:t>
      </w:r>
      <w:r>
        <w:rPr>
          <w:rFonts w:hint="eastAsia" w:ascii="宋体" w:hAnsi="宋体" w:eastAsia="宋体" w:cs="Times New Roman"/>
          <w:color w:val="0C0C0C"/>
          <w:kern w:val="2"/>
          <w:sz w:val="24"/>
          <w:szCs w:val="24"/>
          <w:highlight w:val="none"/>
          <w:lang w:val="en-US" w:eastAsia="zh-CN" w:bidi="ar-SA"/>
        </w:rPr>
        <w:t>不能支付的；</w:t>
      </w:r>
    </w:p>
    <w:p>
      <w:pPr>
        <w:snapToGrid w:val="0"/>
        <w:spacing w:line="360" w:lineRule="auto"/>
        <w:ind w:firstLine="480" w:firstLineChars="200"/>
        <w:rPr>
          <w:rFonts w:ascii="宋体" w:hAnsi="宋体" w:eastAsia="宋体" w:cs="Times New Roman"/>
          <w:color w:val="0C0C0C"/>
          <w:kern w:val="2"/>
          <w:sz w:val="24"/>
          <w:szCs w:val="24"/>
          <w:highlight w:val="none"/>
          <w:lang w:val="en-US" w:eastAsia="zh-CN" w:bidi="ar-SA"/>
        </w:rPr>
      </w:pPr>
      <w:r>
        <w:rPr>
          <w:rFonts w:ascii="宋体" w:hAnsi="宋体" w:eastAsia="宋体" w:cs="Times New Roman"/>
          <w:color w:val="0C0C0C"/>
          <w:kern w:val="2"/>
          <w:sz w:val="24"/>
          <w:szCs w:val="24"/>
          <w:highlight w:val="none"/>
          <w:lang w:val="en-US" w:eastAsia="zh-CN" w:bidi="ar-SA"/>
        </w:rPr>
        <w:t>4、因重大变故，采购任务取消的。</w:t>
      </w:r>
    </w:p>
    <w:p>
      <w:pPr>
        <w:pStyle w:val="28"/>
        <w:tabs>
          <w:tab w:val="left" w:pos="630"/>
        </w:tabs>
        <w:snapToGrid w:val="0"/>
        <w:spacing w:beforeLines="0" w:afterLines="0" w:line="360" w:lineRule="auto"/>
        <w:ind w:firstLine="359" w:firstLineChars="149"/>
        <w:rPr>
          <w:rFonts w:hAnsi="宋体"/>
          <w:b/>
          <w:color w:val="0D0D0D"/>
          <w:highlight w:val="none"/>
        </w:rPr>
      </w:pPr>
      <w:r>
        <w:rPr>
          <w:rFonts w:hAnsi="宋体"/>
          <w:b/>
          <w:color w:val="0D0D0D"/>
          <w:highlight w:val="none"/>
        </w:rPr>
        <w:t>（七）评标原则和评标办法</w:t>
      </w:r>
    </w:p>
    <w:p>
      <w:pPr>
        <w:pStyle w:val="28"/>
        <w:snapToGrid w:val="0"/>
        <w:spacing w:beforeLines="0" w:afterLines="0" w:line="360" w:lineRule="auto"/>
        <w:ind w:firstLine="480" w:firstLineChars="200"/>
        <w:rPr>
          <w:rFonts w:hAnsi="宋体"/>
          <w:color w:val="0D0D0D"/>
          <w:highlight w:val="none"/>
        </w:rPr>
      </w:pPr>
      <w:r>
        <w:rPr>
          <w:rFonts w:hAnsi="宋体"/>
          <w:color w:val="0D0D0D"/>
          <w:highlight w:val="none"/>
        </w:rPr>
        <w:t>1、评标原则。</w:t>
      </w:r>
      <w:r>
        <w:rPr>
          <w:rFonts w:hint="eastAsia" w:hAnsi="宋体"/>
          <w:color w:val="0D0D0D"/>
          <w:highlight w:val="none"/>
        </w:rPr>
        <w:t>评标委员会</w:t>
      </w:r>
      <w:r>
        <w:rPr>
          <w:rFonts w:hAnsi="宋体"/>
          <w:color w:val="0D0D0D"/>
          <w:highlight w:val="none"/>
        </w:rPr>
        <w:t>必须公平、公正、客观，不带任何倾向性和启发性；不得向外界透露任何与评标有关的内容；任何单位和个人不得干扰、影响评标的正常进行；</w:t>
      </w:r>
      <w:r>
        <w:rPr>
          <w:rFonts w:hint="eastAsia" w:hAnsi="宋体"/>
          <w:color w:val="0D0D0D"/>
          <w:highlight w:val="none"/>
        </w:rPr>
        <w:t>评标委员会</w:t>
      </w:r>
      <w:r>
        <w:rPr>
          <w:rFonts w:hAnsi="宋体"/>
          <w:color w:val="0D0D0D"/>
          <w:highlight w:val="none"/>
        </w:rPr>
        <w:t>及有关工作人员不得私下与投标人接触。</w:t>
      </w:r>
    </w:p>
    <w:p>
      <w:pPr>
        <w:pStyle w:val="28"/>
        <w:snapToGrid w:val="0"/>
        <w:spacing w:beforeLines="0" w:afterLines="0" w:line="360" w:lineRule="auto"/>
        <w:ind w:firstLine="480" w:firstLineChars="200"/>
        <w:rPr>
          <w:rFonts w:hAnsi="宋体"/>
          <w:color w:val="0D0D0D"/>
          <w:highlight w:val="none"/>
        </w:rPr>
      </w:pPr>
      <w:r>
        <w:rPr>
          <w:rFonts w:hAnsi="宋体"/>
          <w:color w:val="0D0D0D"/>
          <w:highlight w:val="none"/>
        </w:rPr>
        <w:t>2、评标办法。具体评标内容及评分标准等详见《第四章：评标办法及评分标准》。</w:t>
      </w:r>
    </w:p>
    <w:p>
      <w:pPr>
        <w:pStyle w:val="28"/>
        <w:snapToGrid w:val="0"/>
        <w:spacing w:beforeLines="0" w:afterLines="0" w:line="360" w:lineRule="auto"/>
        <w:ind w:firstLine="359" w:firstLineChars="149"/>
        <w:rPr>
          <w:rFonts w:hAnsi="宋体"/>
          <w:b/>
          <w:color w:val="0D0D0D"/>
          <w:highlight w:val="none"/>
        </w:rPr>
      </w:pPr>
      <w:r>
        <w:rPr>
          <w:rFonts w:hAnsi="宋体"/>
          <w:b/>
          <w:color w:val="0D0D0D"/>
          <w:highlight w:val="none"/>
        </w:rPr>
        <w:t>（八）评标过程的监控</w:t>
      </w:r>
    </w:p>
    <w:p>
      <w:pPr>
        <w:pStyle w:val="28"/>
        <w:snapToGrid w:val="0"/>
        <w:spacing w:beforeLines="0" w:afterLines="0" w:line="360" w:lineRule="auto"/>
        <w:ind w:firstLine="480" w:firstLineChars="200"/>
        <w:rPr>
          <w:rFonts w:hAnsi="宋体"/>
          <w:color w:val="0D0D0D"/>
          <w:highlight w:val="none"/>
        </w:rPr>
      </w:pPr>
      <w:r>
        <w:rPr>
          <w:rFonts w:hAnsi="宋体"/>
          <w:color w:val="0D0D0D"/>
          <w:highlight w:val="none"/>
        </w:rPr>
        <w:t>本项目评标过程实行全程录音、录像监控（或请监管部门进行现场监督），投标人在评标过程中所进行的试图影响评标结果的不公正活动，可能导致其投标被拒绝。</w:t>
      </w:r>
    </w:p>
    <w:p>
      <w:pPr>
        <w:pStyle w:val="28"/>
        <w:snapToGrid w:val="0"/>
        <w:spacing w:beforeLines="0" w:afterLines="0" w:line="360" w:lineRule="auto"/>
        <w:ind w:firstLine="551" w:firstLineChars="196"/>
        <w:outlineLvl w:val="1"/>
        <w:rPr>
          <w:rFonts w:hAnsi="宋体"/>
          <w:b/>
          <w:color w:val="0D0D0D"/>
          <w:sz w:val="28"/>
          <w:szCs w:val="28"/>
          <w:highlight w:val="none"/>
        </w:rPr>
      </w:pPr>
      <w:r>
        <w:rPr>
          <w:rFonts w:hAnsi="宋体"/>
          <w:b/>
          <w:color w:val="0D0D0D"/>
          <w:sz w:val="28"/>
          <w:szCs w:val="28"/>
          <w:highlight w:val="none"/>
        </w:rPr>
        <w:t>六、定标</w:t>
      </w:r>
    </w:p>
    <w:p>
      <w:pPr>
        <w:pStyle w:val="28"/>
        <w:snapToGrid w:val="0"/>
        <w:spacing w:beforeLines="0" w:afterLines="0" w:line="360" w:lineRule="auto"/>
        <w:ind w:firstLine="472" w:firstLineChars="196"/>
        <w:rPr>
          <w:rFonts w:hAnsi="宋体"/>
          <w:b/>
          <w:bCs/>
          <w:color w:val="0D0D0D"/>
          <w:szCs w:val="20"/>
          <w:highlight w:val="none"/>
        </w:rPr>
      </w:pPr>
      <w:r>
        <w:rPr>
          <w:rFonts w:hAnsi="宋体"/>
          <w:b/>
          <w:bCs/>
          <w:color w:val="0D0D0D"/>
          <w:highlight w:val="none"/>
        </w:rPr>
        <w:t>（一）确定中标人。</w:t>
      </w:r>
    </w:p>
    <w:p>
      <w:pPr>
        <w:pStyle w:val="28"/>
        <w:snapToGrid w:val="0"/>
        <w:spacing w:before="120" w:beforeLines="0" w:after="120" w:afterLines="0" w:line="360" w:lineRule="auto"/>
        <w:ind w:firstLine="470" w:firstLineChars="196"/>
        <w:outlineLvl w:val="1"/>
        <w:rPr>
          <w:rFonts w:ascii="宋体" w:hAnsi="宋体" w:eastAsia="宋体" w:cs="宋体"/>
          <w:sz w:val="24"/>
          <w:szCs w:val="24"/>
          <w:highlight w:val="none"/>
        </w:rPr>
      </w:pPr>
      <w:r>
        <w:rPr>
          <w:rFonts w:ascii="宋体" w:hAnsi="宋体" w:eastAsia="宋体" w:cs="宋体"/>
          <w:sz w:val="24"/>
          <w:szCs w:val="24"/>
          <w:highlight w:val="none"/>
        </w:rPr>
        <w:t>国有资金占控股或者主导地位的依法必须进行招标的项目，招标人应当确定排名第一的中标候选人为中标人。排名第一的中标候选人放弃中标、因不可抗力不能 履行合同、不按照招标文件要求提交履约保证金，或者被查 实存在影响中标结果的违法行为等情形，不符合中标条件的，招标人可以按照评标委员会提出的中标候选人名单排序依次确定其他中标候选人为中标人，也可以重新招标。</w:t>
      </w:r>
    </w:p>
    <w:p>
      <w:pPr>
        <w:pStyle w:val="28"/>
        <w:snapToGrid w:val="0"/>
        <w:spacing w:before="120" w:beforeLines="0" w:after="120" w:afterLines="0" w:line="360" w:lineRule="auto"/>
        <w:ind w:firstLine="551" w:firstLineChars="196"/>
        <w:outlineLvl w:val="1"/>
        <w:rPr>
          <w:rFonts w:hAnsi="宋体"/>
          <w:b/>
          <w:color w:val="0D0D0D"/>
          <w:sz w:val="28"/>
          <w:szCs w:val="28"/>
          <w:highlight w:val="none"/>
        </w:rPr>
      </w:pPr>
      <w:r>
        <w:rPr>
          <w:rFonts w:hAnsi="宋体"/>
          <w:b/>
          <w:color w:val="0D0D0D"/>
          <w:sz w:val="28"/>
          <w:szCs w:val="28"/>
          <w:highlight w:val="none"/>
        </w:rPr>
        <w:t>七、合同授予</w:t>
      </w:r>
    </w:p>
    <w:p>
      <w:pPr>
        <w:snapToGrid w:val="0"/>
        <w:spacing w:line="360" w:lineRule="auto"/>
        <w:ind w:firstLine="472" w:firstLineChars="196"/>
        <w:rPr>
          <w:rFonts w:ascii="宋体" w:hAnsi="宋体"/>
          <w:b/>
          <w:bCs/>
          <w:color w:val="0D0D0D"/>
          <w:sz w:val="24"/>
          <w:szCs w:val="20"/>
          <w:highlight w:val="none"/>
        </w:rPr>
      </w:pPr>
      <w:r>
        <w:rPr>
          <w:rFonts w:hint="eastAsia" w:ascii="宋体" w:hAnsi="宋体"/>
          <w:b/>
          <w:bCs/>
          <w:color w:val="0D0D0D"/>
          <w:sz w:val="24"/>
          <w:highlight w:val="none"/>
        </w:rPr>
        <w:t>（一）签订合同</w:t>
      </w:r>
    </w:p>
    <w:p>
      <w:pPr>
        <w:snapToGrid w:val="0"/>
        <w:spacing w:line="360" w:lineRule="auto"/>
        <w:ind w:firstLine="480" w:firstLineChars="200"/>
        <w:rPr>
          <w:rFonts w:ascii="宋体" w:hAnsi="宋体"/>
          <w:color w:val="auto"/>
          <w:sz w:val="24"/>
          <w:szCs w:val="20"/>
          <w:highlight w:val="none"/>
        </w:rPr>
      </w:pPr>
      <w:r>
        <w:rPr>
          <w:rFonts w:ascii="宋体" w:hAnsi="宋体"/>
          <w:color w:val="auto"/>
          <w:sz w:val="24"/>
          <w:highlight w:val="none"/>
        </w:rPr>
        <w:t>1</w:t>
      </w:r>
      <w:r>
        <w:rPr>
          <w:rFonts w:hint="eastAsia" w:ascii="宋体" w:hAnsi="宋体"/>
          <w:color w:val="auto"/>
          <w:sz w:val="24"/>
          <w:highlight w:val="none"/>
        </w:rPr>
        <w:t>.</w:t>
      </w:r>
      <w:r>
        <w:rPr>
          <w:rFonts w:hint="eastAsia" w:ascii="宋体" w:hAnsi="宋体"/>
          <w:color w:val="0D0D0D"/>
          <w:sz w:val="24"/>
          <w:highlight w:val="none"/>
          <w:lang w:val="en-US" w:eastAsia="zh-CN"/>
        </w:rPr>
        <w:t>招标人</w:t>
      </w:r>
      <w:r>
        <w:rPr>
          <w:rFonts w:hint="eastAsia" w:ascii="宋体" w:hAnsi="宋体"/>
          <w:color w:val="auto"/>
          <w:sz w:val="24"/>
          <w:highlight w:val="none"/>
        </w:rPr>
        <w:t>与</w:t>
      </w:r>
      <w:r>
        <w:rPr>
          <w:rFonts w:hint="eastAsia" w:ascii="宋体" w:hAnsi="宋体"/>
          <w:color w:val="auto"/>
          <w:sz w:val="24"/>
          <w:highlight w:val="none"/>
          <w:lang w:val="en-US" w:eastAsia="zh-CN"/>
        </w:rPr>
        <w:t>中标人</w:t>
      </w:r>
      <w:r>
        <w:rPr>
          <w:rFonts w:ascii="宋体" w:hAnsi="宋体"/>
          <w:color w:val="auto"/>
          <w:sz w:val="24"/>
          <w:highlight w:val="none"/>
        </w:rPr>
        <w:t>应</w:t>
      </w:r>
      <w:r>
        <w:rPr>
          <w:rFonts w:hint="eastAsia" w:ascii="宋体" w:hAnsi="宋体"/>
          <w:color w:val="auto"/>
          <w:sz w:val="24"/>
          <w:highlight w:val="none"/>
        </w:rPr>
        <w:t>当在《</w:t>
      </w:r>
      <w:r>
        <w:rPr>
          <w:rFonts w:ascii="宋体" w:hAnsi="宋体"/>
          <w:color w:val="auto"/>
          <w:sz w:val="24"/>
          <w:highlight w:val="none"/>
        </w:rPr>
        <w:t>中标通知书</w:t>
      </w:r>
      <w:r>
        <w:rPr>
          <w:rFonts w:hint="eastAsia" w:ascii="宋体" w:hAnsi="宋体"/>
          <w:color w:val="auto"/>
          <w:sz w:val="24"/>
          <w:highlight w:val="none"/>
        </w:rPr>
        <w:t>》发出之日起</w:t>
      </w:r>
      <w:r>
        <w:rPr>
          <w:rFonts w:hint="eastAsia" w:ascii="宋体" w:hAnsi="宋体"/>
          <w:color w:val="auto"/>
          <w:sz w:val="24"/>
          <w:highlight w:val="none"/>
          <w:lang w:val="en-US" w:eastAsia="zh-CN"/>
        </w:rPr>
        <w:t>10</w:t>
      </w:r>
      <w:r>
        <w:rPr>
          <w:rFonts w:hint="eastAsia" w:ascii="宋体" w:hAnsi="宋体"/>
          <w:color w:val="auto"/>
          <w:sz w:val="24"/>
          <w:highlight w:val="none"/>
        </w:rPr>
        <w:t>日内签订合同。同时，采购代理机构对合同内容进行审查，如发现与采购结果和投标承诺内容不一致的，应予以纠正。</w:t>
      </w:r>
    </w:p>
    <w:p>
      <w:pPr>
        <w:snapToGrid w:val="0"/>
        <w:spacing w:line="360" w:lineRule="auto"/>
        <w:ind w:firstLine="480" w:firstLineChars="200"/>
        <w:rPr>
          <w:rFonts w:ascii="宋体" w:hAnsi="宋体"/>
          <w:color w:val="auto"/>
          <w:sz w:val="24"/>
          <w:szCs w:val="20"/>
          <w:highlight w:val="none"/>
        </w:rPr>
      </w:pPr>
      <w:r>
        <w:rPr>
          <w:rFonts w:ascii="宋体" w:hAnsi="宋体"/>
          <w:color w:val="auto"/>
          <w:sz w:val="24"/>
          <w:highlight w:val="none"/>
        </w:rPr>
        <w:t>2</w:t>
      </w:r>
      <w:r>
        <w:rPr>
          <w:rFonts w:hint="eastAsia" w:ascii="宋体" w:hAnsi="宋体"/>
          <w:color w:val="auto"/>
          <w:sz w:val="24"/>
          <w:highlight w:val="none"/>
        </w:rPr>
        <w:t>.</w:t>
      </w:r>
      <w:r>
        <w:rPr>
          <w:rFonts w:hint="eastAsia" w:ascii="宋体" w:hAnsi="宋体"/>
          <w:color w:val="auto"/>
          <w:sz w:val="24"/>
          <w:highlight w:val="none"/>
          <w:lang w:val="en-US" w:eastAsia="zh-CN"/>
        </w:rPr>
        <w:t>中标人</w:t>
      </w:r>
      <w:r>
        <w:rPr>
          <w:rFonts w:ascii="宋体" w:hAnsi="宋体"/>
          <w:color w:val="auto"/>
          <w:sz w:val="24"/>
          <w:highlight w:val="none"/>
        </w:rPr>
        <w:t>拖延、拒签合同的,将被扣罚投标保证金并取消中标资格。</w:t>
      </w:r>
    </w:p>
    <w:p>
      <w:pPr>
        <w:pStyle w:val="28"/>
        <w:snapToGrid w:val="0"/>
        <w:spacing w:beforeLines="0" w:afterLines="0" w:line="360" w:lineRule="auto"/>
        <w:ind w:firstLine="472" w:firstLineChars="196"/>
        <w:rPr>
          <w:rFonts w:hAnsi="宋体"/>
          <w:b/>
          <w:color w:val="0D0D0D"/>
          <w:highlight w:val="none"/>
        </w:rPr>
      </w:pPr>
      <w:r>
        <w:rPr>
          <w:rFonts w:hAnsi="宋体"/>
          <w:b/>
          <w:color w:val="0D0D0D"/>
          <w:highlight w:val="none"/>
        </w:rPr>
        <w:t>（二）履约保证金</w:t>
      </w:r>
    </w:p>
    <w:p>
      <w:pPr>
        <w:pStyle w:val="28"/>
        <w:snapToGrid w:val="0"/>
        <w:spacing w:before="120" w:after="120" w:line="360" w:lineRule="auto"/>
        <w:ind w:firstLine="480" w:firstLineChars="200"/>
        <w:rPr>
          <w:rFonts w:hAnsi="宋体"/>
          <w:color w:val="0C0C0C"/>
          <w:highlight w:val="none"/>
        </w:rPr>
      </w:pPr>
      <w:r>
        <w:rPr>
          <w:rFonts w:hAnsi="宋体"/>
          <w:color w:val="0C0C0C"/>
          <w:highlight w:val="none"/>
        </w:rPr>
        <w:t>1.签订合同前，中标人应按招标文件确定的履约保证金的金额，向</w:t>
      </w:r>
      <w:r>
        <w:rPr>
          <w:rFonts w:hint="eastAsia" w:ascii="宋体" w:hAnsi="宋体"/>
          <w:color w:val="0D0D0D"/>
          <w:sz w:val="24"/>
          <w:highlight w:val="none"/>
          <w:lang w:val="en-US" w:eastAsia="zh-CN"/>
        </w:rPr>
        <w:t>招标人</w:t>
      </w:r>
      <w:r>
        <w:rPr>
          <w:rFonts w:hAnsi="宋体"/>
          <w:color w:val="0C0C0C"/>
          <w:highlight w:val="none"/>
        </w:rPr>
        <w:t>交纳履约保证金，否则，</w:t>
      </w:r>
      <w:r>
        <w:rPr>
          <w:rFonts w:hint="eastAsia" w:ascii="宋体" w:hAnsi="宋体"/>
          <w:color w:val="0D0D0D"/>
          <w:sz w:val="24"/>
          <w:highlight w:val="none"/>
          <w:lang w:val="en-US" w:eastAsia="zh-CN"/>
        </w:rPr>
        <w:t>招标人</w:t>
      </w:r>
      <w:r>
        <w:rPr>
          <w:rFonts w:hAnsi="宋体"/>
          <w:color w:val="0C0C0C"/>
          <w:highlight w:val="none"/>
        </w:rPr>
        <w:t>将没收中标人的全部投标保证金。</w:t>
      </w:r>
    </w:p>
    <w:p>
      <w:pPr>
        <w:pStyle w:val="28"/>
        <w:snapToGrid w:val="0"/>
        <w:spacing w:before="120" w:after="120" w:line="360" w:lineRule="auto"/>
        <w:ind w:firstLine="480" w:firstLineChars="200"/>
        <w:rPr>
          <w:rFonts w:hAnsi="宋体"/>
          <w:color w:val="0C0C0C"/>
          <w:highlight w:val="none"/>
        </w:rPr>
      </w:pPr>
      <w:r>
        <w:rPr>
          <w:rFonts w:hAnsi="宋体"/>
          <w:color w:val="0C0C0C"/>
          <w:highlight w:val="none"/>
        </w:rPr>
        <w:t>2.签订合同后，如中标人不按双方合同约定履约，则没收其全部履约保证金，履约保证金不足以赔偿损失的，按实际损失赔偿。</w:t>
      </w:r>
    </w:p>
    <w:p>
      <w:pPr>
        <w:pStyle w:val="28"/>
        <w:snapToGrid w:val="0"/>
        <w:spacing w:before="120" w:beforeLines="0" w:after="120" w:afterLines="0" w:line="360" w:lineRule="auto"/>
        <w:rPr>
          <w:color w:val="0D0D0D"/>
          <w:highlight w:val="none"/>
        </w:rPr>
      </w:pPr>
      <w:r>
        <w:rPr>
          <w:color w:val="0D0D0D"/>
          <w:highlight w:val="none"/>
        </w:rPr>
        <w:br w:type="page"/>
      </w:r>
    </w:p>
    <w:p>
      <w:pPr>
        <w:pStyle w:val="28"/>
        <w:snapToGrid w:val="0"/>
        <w:spacing w:before="120" w:beforeLines="0" w:after="120" w:afterLines="0" w:line="360" w:lineRule="auto"/>
        <w:jc w:val="center"/>
        <w:outlineLvl w:val="0"/>
        <w:rPr>
          <w:b/>
          <w:color w:val="0D0D0D"/>
          <w:sz w:val="30"/>
          <w:szCs w:val="30"/>
          <w:highlight w:val="none"/>
        </w:rPr>
      </w:pPr>
      <w:r>
        <w:rPr>
          <w:b/>
          <w:color w:val="0D0D0D"/>
          <w:sz w:val="30"/>
          <w:szCs w:val="30"/>
          <w:highlight w:val="none"/>
        </w:rPr>
        <w:t>第四章  评标办法及评分标准</w:t>
      </w:r>
    </w:p>
    <w:p>
      <w:pPr>
        <w:spacing w:before="120" w:beforeLines="50" w:after="120" w:afterLines="50" w:line="360" w:lineRule="auto"/>
        <w:ind w:firstLine="420"/>
        <w:rPr>
          <w:rFonts w:hint="eastAsia" w:ascii="宋体" w:hAnsi="宋体" w:cs="宋体"/>
          <w:color w:val="0D0D0D"/>
          <w:sz w:val="24"/>
          <w:highlight w:val="none"/>
        </w:rPr>
      </w:pPr>
      <w:r>
        <w:rPr>
          <w:rFonts w:hint="eastAsia" w:ascii="宋体" w:hAnsi="宋体" w:cs="宋体"/>
          <w:color w:val="0D0D0D"/>
          <w:sz w:val="24"/>
          <w:highlight w:val="none"/>
        </w:rPr>
        <w:t>为公正、公平、科学地选择中标人，根据《中华人民共和国</w:t>
      </w:r>
      <w:r>
        <w:rPr>
          <w:rFonts w:hint="eastAsia"/>
          <w:color w:val="0D0D0D"/>
          <w:sz w:val="24"/>
          <w:highlight w:val="none"/>
        </w:rPr>
        <w:t>招标投标法</w:t>
      </w:r>
      <w:r>
        <w:rPr>
          <w:rFonts w:hint="eastAsia" w:ascii="宋体" w:hAnsi="宋体" w:cs="宋体"/>
          <w:color w:val="0D0D0D"/>
          <w:sz w:val="24"/>
          <w:highlight w:val="none"/>
        </w:rPr>
        <w:t>》等有关法律法规的规定，并结合本项目的实际，制定本办法。</w:t>
      </w:r>
    </w:p>
    <w:p>
      <w:pPr>
        <w:spacing w:before="120" w:beforeLines="50" w:after="120" w:afterLines="50" w:line="360" w:lineRule="auto"/>
        <w:rPr>
          <w:rFonts w:hint="eastAsia" w:ascii="宋体" w:hAnsi="宋体" w:cs="宋体"/>
          <w:b/>
          <w:color w:val="0D0D0D"/>
          <w:sz w:val="24"/>
          <w:highlight w:val="none"/>
        </w:rPr>
      </w:pPr>
      <w:r>
        <w:rPr>
          <w:rFonts w:hint="eastAsia" w:ascii="宋体" w:hAnsi="宋体" w:cs="宋体"/>
          <w:b/>
          <w:color w:val="0D0D0D"/>
          <w:sz w:val="24"/>
          <w:highlight w:val="none"/>
        </w:rPr>
        <w:t>一、总则</w:t>
      </w:r>
    </w:p>
    <w:p>
      <w:pPr>
        <w:spacing w:line="360" w:lineRule="auto"/>
        <w:ind w:left="11" w:leftChars="4" w:firstLine="480" w:firstLineChars="200"/>
        <w:rPr>
          <w:rFonts w:hint="eastAsia" w:ascii="宋体" w:hAnsi="宋体" w:cs="宋体"/>
          <w:color w:val="0D0D0D"/>
          <w:sz w:val="24"/>
          <w:highlight w:val="none"/>
        </w:rPr>
      </w:pPr>
      <w:r>
        <w:rPr>
          <w:rFonts w:hint="eastAsia" w:ascii="宋体" w:hAnsi="宋体" w:cs="宋体"/>
          <w:color w:val="0D0D0D"/>
          <w:sz w:val="24"/>
          <w:highlight w:val="none"/>
        </w:rPr>
        <w:t>评标工作应遵循公开、公平、公正、科学、择优原则，科学、严谨的态度，认真进行评标，推进技术进步，确保工程质量、交货期，节约投资，最大限度的保护当事人权益。严格按照招标文件的商务、技术要求，对投标文件进行评定，编写评标报告。对落标单位，评委会不作任何落标解释。</w:t>
      </w:r>
      <w:r>
        <w:rPr>
          <w:rFonts w:ascii="宋体" w:hAnsi="宋体"/>
          <w:color w:val="0D0D0D"/>
          <w:sz w:val="24"/>
          <w:highlight w:val="none"/>
        </w:rPr>
        <w:t>投标人</w:t>
      </w:r>
      <w:r>
        <w:rPr>
          <w:rFonts w:hint="eastAsia" w:ascii="宋体" w:hAnsi="宋体" w:cs="宋体"/>
          <w:color w:val="0D0D0D"/>
          <w:sz w:val="24"/>
          <w:highlight w:val="none"/>
        </w:rPr>
        <w:t>不得以任何方式干扰招投标工作的进行，一经发现其投标文件将被拒绝。</w:t>
      </w:r>
    </w:p>
    <w:p>
      <w:pPr>
        <w:spacing w:before="120" w:beforeLines="50" w:after="120" w:afterLines="50" w:line="360" w:lineRule="auto"/>
        <w:rPr>
          <w:rFonts w:hint="eastAsia" w:ascii="宋体" w:hAnsi="宋体" w:cs="宋体"/>
          <w:b/>
          <w:color w:val="0D0D0D"/>
          <w:sz w:val="24"/>
          <w:highlight w:val="none"/>
        </w:rPr>
      </w:pPr>
      <w:r>
        <w:rPr>
          <w:rFonts w:hint="eastAsia" w:ascii="宋体" w:hAnsi="宋体" w:cs="宋体"/>
          <w:b/>
          <w:color w:val="0D0D0D"/>
          <w:sz w:val="24"/>
          <w:highlight w:val="none"/>
        </w:rPr>
        <w:t>二、评标内容及标准</w:t>
      </w:r>
    </w:p>
    <w:p>
      <w:pPr>
        <w:spacing w:line="360" w:lineRule="auto"/>
        <w:ind w:firstLine="480" w:firstLineChars="200"/>
        <w:rPr>
          <w:rFonts w:hint="eastAsia"/>
          <w:color w:val="auto"/>
          <w:sz w:val="24"/>
          <w:highlight w:val="none"/>
        </w:rPr>
      </w:pPr>
      <w:r>
        <w:rPr>
          <w:rFonts w:hint="eastAsia"/>
          <w:color w:val="auto"/>
          <w:sz w:val="24"/>
          <w:highlight w:val="none"/>
        </w:rPr>
        <w:t>（一）评标标底价的确定。（</w:t>
      </w:r>
      <w:r>
        <w:rPr>
          <w:rFonts w:hint="eastAsia"/>
          <w:color w:val="auto"/>
          <w:sz w:val="24"/>
          <w:highlight w:val="none"/>
          <w:lang w:val="en-US" w:eastAsia="zh-CN"/>
        </w:rPr>
        <w:t>评标标底价</w:t>
      </w:r>
      <w:r>
        <w:rPr>
          <w:rFonts w:hint="eastAsia"/>
          <w:color w:val="auto"/>
          <w:sz w:val="24"/>
          <w:highlight w:val="none"/>
        </w:rPr>
        <w:t>四舍五入取整数）</w:t>
      </w:r>
    </w:p>
    <w:p>
      <w:pPr>
        <w:spacing w:line="360" w:lineRule="auto"/>
        <w:ind w:firstLine="480" w:firstLineChars="200"/>
        <w:rPr>
          <w:rFonts w:hint="eastAsia"/>
          <w:color w:val="auto"/>
          <w:sz w:val="24"/>
          <w:highlight w:val="none"/>
        </w:rPr>
      </w:pPr>
      <w:r>
        <w:rPr>
          <w:rFonts w:hint="eastAsia"/>
          <w:color w:val="auto"/>
          <w:sz w:val="24"/>
          <w:highlight w:val="none"/>
        </w:rPr>
        <w:t>a、若有效投标人≥</w:t>
      </w:r>
      <w:r>
        <w:rPr>
          <w:rFonts w:hint="eastAsia"/>
          <w:color w:val="auto"/>
          <w:sz w:val="24"/>
          <w:highlight w:val="none"/>
          <w:lang w:val="en-US" w:eastAsia="zh-CN"/>
        </w:rPr>
        <w:t>9</w:t>
      </w:r>
      <w:r>
        <w:rPr>
          <w:rFonts w:hint="eastAsia"/>
          <w:color w:val="auto"/>
          <w:sz w:val="24"/>
          <w:highlight w:val="none"/>
        </w:rPr>
        <w:t>家，则去掉</w:t>
      </w:r>
      <w:r>
        <w:rPr>
          <w:rFonts w:hint="eastAsia"/>
          <w:color w:val="auto"/>
          <w:sz w:val="24"/>
          <w:highlight w:val="none"/>
          <w:lang w:val="en-US" w:eastAsia="zh-CN"/>
        </w:rPr>
        <w:t>3</w:t>
      </w:r>
      <w:r>
        <w:rPr>
          <w:rFonts w:hint="eastAsia"/>
          <w:color w:val="auto"/>
          <w:sz w:val="24"/>
          <w:highlight w:val="none"/>
        </w:rPr>
        <w:t>0%家最高和20%家最低的有效报价，再取余下有效报价的算术平均值后作为评标标底价。</w:t>
      </w:r>
    </w:p>
    <w:p>
      <w:pPr>
        <w:spacing w:line="360" w:lineRule="auto"/>
        <w:ind w:firstLine="480" w:firstLineChars="200"/>
        <w:rPr>
          <w:rFonts w:hint="eastAsia"/>
          <w:color w:val="auto"/>
          <w:sz w:val="24"/>
          <w:highlight w:val="none"/>
        </w:rPr>
      </w:pPr>
      <w:r>
        <w:rPr>
          <w:rFonts w:hint="eastAsia"/>
          <w:color w:val="auto"/>
          <w:sz w:val="24"/>
          <w:highlight w:val="none"/>
        </w:rPr>
        <w:t>b、若有效投标人5≤A≤</w:t>
      </w:r>
      <w:r>
        <w:rPr>
          <w:rFonts w:hint="eastAsia"/>
          <w:color w:val="auto"/>
          <w:sz w:val="24"/>
          <w:highlight w:val="none"/>
          <w:lang w:val="en-US" w:eastAsia="zh-CN"/>
        </w:rPr>
        <w:t>8</w:t>
      </w:r>
      <w:r>
        <w:rPr>
          <w:rFonts w:hint="eastAsia"/>
          <w:color w:val="auto"/>
          <w:sz w:val="24"/>
          <w:highlight w:val="none"/>
        </w:rPr>
        <w:t>家，则去掉</w:t>
      </w:r>
      <w:r>
        <w:rPr>
          <w:rFonts w:hint="eastAsia"/>
          <w:color w:val="auto"/>
          <w:sz w:val="24"/>
          <w:highlight w:val="none"/>
          <w:lang w:val="en-US" w:eastAsia="zh-CN"/>
        </w:rPr>
        <w:t>两</w:t>
      </w:r>
      <w:r>
        <w:rPr>
          <w:rFonts w:hint="eastAsia"/>
          <w:color w:val="auto"/>
          <w:sz w:val="24"/>
          <w:highlight w:val="none"/>
        </w:rPr>
        <w:t>家最高和一家最低的有效报价，再取余下有效报价的算术平均值后作为评标标底价。</w:t>
      </w:r>
    </w:p>
    <w:p>
      <w:pPr>
        <w:spacing w:line="360" w:lineRule="auto"/>
        <w:ind w:firstLine="480" w:firstLineChars="200"/>
        <w:rPr>
          <w:rFonts w:hint="eastAsia"/>
          <w:color w:val="auto"/>
          <w:sz w:val="24"/>
          <w:highlight w:val="none"/>
        </w:rPr>
      </w:pPr>
      <w:r>
        <w:rPr>
          <w:rFonts w:hint="eastAsia"/>
          <w:color w:val="auto"/>
          <w:sz w:val="24"/>
          <w:highlight w:val="none"/>
        </w:rPr>
        <w:t>c、若有效投标人&lt;5家，取所有有效投标报价的平均值作为评标标底价</w:t>
      </w:r>
      <w:r>
        <w:rPr>
          <w:rFonts w:hint="eastAsia"/>
          <w:color w:val="auto"/>
          <w:sz w:val="24"/>
          <w:highlight w:val="none"/>
          <w:lang w:eastAsia="zh-CN"/>
        </w:rPr>
        <w:t>。</w:t>
      </w:r>
      <w:r>
        <w:rPr>
          <w:rFonts w:hint="eastAsia"/>
          <w:color w:val="auto"/>
          <w:sz w:val="24"/>
          <w:highlight w:val="none"/>
          <w:lang w:val="en-US" w:eastAsia="zh-CN"/>
        </w:rPr>
        <w:t>且</w:t>
      </w:r>
      <w:r>
        <w:rPr>
          <w:rFonts w:hint="eastAsia"/>
          <w:color w:val="auto"/>
          <w:sz w:val="24"/>
          <w:highlight w:val="none"/>
        </w:rPr>
        <w:t>需对最低投标报价进行标底价修正。如最低投标报价与次低投标报价相差5%以内的（│最低投标报价－次低投标报价│/次低投标报价×100%≤5%），则取所有有效报价的算术平均值后作为评标标底价；如最低投标报价与次低投标报价相差5%以上的（│最低投标报价－次低投标报价│/次低投标报价×100%＞5%），最低投标报价视为不纳入评标标低价的算术平均值，则去掉最低的有效报价，再取余下有效报价的算术平均值后作为评标标底价。标底价仅修正一次。</w:t>
      </w:r>
    </w:p>
    <w:p>
      <w:pPr>
        <w:spacing w:line="360" w:lineRule="auto"/>
        <w:ind w:firstLine="480" w:firstLineChars="200"/>
        <w:jc w:val="left"/>
        <w:rPr>
          <w:rFonts w:hint="eastAsia"/>
          <w:color w:val="auto"/>
          <w:sz w:val="24"/>
          <w:highlight w:val="none"/>
        </w:rPr>
      </w:pPr>
      <w:r>
        <w:rPr>
          <w:rFonts w:hint="eastAsia"/>
          <w:color w:val="auto"/>
          <w:sz w:val="24"/>
          <w:highlight w:val="none"/>
        </w:rPr>
        <w:t>（</w:t>
      </w:r>
      <w:r>
        <w:rPr>
          <w:rFonts w:hint="eastAsia"/>
          <w:color w:val="auto"/>
          <w:sz w:val="24"/>
          <w:highlight w:val="none"/>
          <w:lang w:val="en-US" w:eastAsia="zh-CN"/>
        </w:rPr>
        <w:t>二</w:t>
      </w:r>
      <w:r>
        <w:rPr>
          <w:rFonts w:hint="eastAsia"/>
          <w:color w:val="auto"/>
          <w:sz w:val="24"/>
          <w:highlight w:val="none"/>
        </w:rPr>
        <w:t>）中标候选人的确定。</w:t>
      </w:r>
    </w:p>
    <w:p>
      <w:pPr>
        <w:spacing w:line="360" w:lineRule="auto"/>
        <w:ind w:firstLine="480" w:firstLineChars="200"/>
        <w:jc w:val="left"/>
        <w:rPr>
          <w:rFonts w:hint="eastAsia"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rPr>
        <w:t>低于评标标底价且最接近者为第一中标候选人；除第一中标候选人外，绝对值最接近者为第二中标候选人，如投标报价相同，则抽签确定。</w:t>
      </w:r>
    </w:p>
    <w:p>
      <w:pPr>
        <w:spacing w:line="360" w:lineRule="auto"/>
        <w:ind w:firstLine="480" w:firstLineChars="200"/>
        <w:jc w:val="left"/>
        <w:rPr>
          <w:b/>
          <w:color w:val="auto"/>
          <w:sz w:val="24"/>
          <w:highlight w:val="none"/>
        </w:rPr>
      </w:pPr>
      <w:r>
        <w:rPr>
          <w:rFonts w:hint="eastAsia"/>
          <w:color w:val="auto"/>
          <w:sz w:val="24"/>
          <w:highlight w:val="none"/>
        </w:rPr>
        <w:t>（</w:t>
      </w:r>
      <w:r>
        <w:rPr>
          <w:rFonts w:hint="eastAsia"/>
          <w:color w:val="auto"/>
          <w:sz w:val="24"/>
          <w:highlight w:val="none"/>
          <w:lang w:val="en-US" w:eastAsia="zh-CN"/>
        </w:rPr>
        <w:t>三</w:t>
      </w:r>
      <w:r>
        <w:rPr>
          <w:rFonts w:hint="eastAsia"/>
          <w:color w:val="auto"/>
          <w:sz w:val="24"/>
          <w:highlight w:val="none"/>
        </w:rPr>
        <w:t>）如</w:t>
      </w:r>
      <w:r>
        <w:rPr>
          <w:rFonts w:ascii="宋体" w:hAnsi="宋体"/>
          <w:color w:val="0D0D0D"/>
          <w:sz w:val="24"/>
          <w:highlight w:val="none"/>
        </w:rPr>
        <w:t>投标人</w:t>
      </w:r>
      <w:r>
        <w:rPr>
          <w:rFonts w:hint="eastAsia"/>
          <w:color w:val="auto"/>
          <w:sz w:val="24"/>
          <w:highlight w:val="none"/>
        </w:rPr>
        <w:t>报价超过采购最高限价，且</w:t>
      </w:r>
      <w:r>
        <w:rPr>
          <w:rFonts w:hint="eastAsia" w:ascii="宋体" w:hAnsi="宋体"/>
          <w:color w:val="0D0D0D"/>
          <w:sz w:val="24"/>
          <w:highlight w:val="none"/>
          <w:lang w:val="en-US" w:eastAsia="zh-CN"/>
        </w:rPr>
        <w:t>招标人</w:t>
      </w:r>
      <w:r>
        <w:rPr>
          <w:rFonts w:hint="eastAsia"/>
          <w:color w:val="auto"/>
          <w:sz w:val="24"/>
          <w:highlight w:val="none"/>
        </w:rPr>
        <w:t>不能支付的，则应予废标，重新组织招标。</w:t>
      </w:r>
      <w:r>
        <w:rPr>
          <w:rFonts w:hint="eastAsia"/>
          <w:b/>
          <w:color w:val="auto"/>
          <w:sz w:val="24"/>
          <w:highlight w:val="none"/>
        </w:rPr>
        <w:t>本次招标采购最高限价：</w:t>
      </w:r>
      <w:r>
        <w:rPr>
          <w:rFonts w:hint="eastAsia"/>
          <w:b/>
          <w:color w:val="auto"/>
          <w:sz w:val="24"/>
          <w:highlight w:val="none"/>
          <w:u w:val="single"/>
          <w:lang w:val="en-US" w:eastAsia="zh-CN"/>
        </w:rPr>
        <w:t>124500</w:t>
      </w:r>
      <w:r>
        <w:rPr>
          <w:rFonts w:hint="eastAsia"/>
          <w:b/>
          <w:color w:val="auto"/>
          <w:sz w:val="24"/>
          <w:highlight w:val="none"/>
        </w:rPr>
        <w:t>元。</w:t>
      </w:r>
      <w:r>
        <w:rPr>
          <w:b/>
          <w:color w:val="auto"/>
          <w:sz w:val="24"/>
          <w:highlight w:val="none"/>
        </w:rPr>
        <w:t xml:space="preserve"> </w:t>
      </w:r>
    </w:p>
    <w:p>
      <w:pPr>
        <w:spacing w:before="120" w:beforeLines="50" w:after="120" w:afterLines="50" w:line="360" w:lineRule="auto"/>
        <w:rPr>
          <w:rFonts w:hint="eastAsia"/>
          <w:color w:val="0D0D0D"/>
          <w:sz w:val="24"/>
          <w:highlight w:val="none"/>
        </w:rPr>
      </w:pPr>
      <w:r>
        <w:rPr>
          <w:color w:val="0D0D0D"/>
          <w:sz w:val="24"/>
          <w:highlight w:val="none"/>
        </w:rPr>
        <w:br w:type="page"/>
      </w:r>
    </w:p>
    <w:p>
      <w:pPr>
        <w:spacing w:before="120" w:beforeLines="50" w:line="360" w:lineRule="auto"/>
        <w:ind w:left="165"/>
        <w:jc w:val="center"/>
        <w:rPr>
          <w:color w:val="0D0D0D"/>
          <w:highlight w:val="none"/>
        </w:rPr>
      </w:pPr>
      <w:r>
        <w:rPr>
          <w:rFonts w:hint="eastAsia" w:ascii="宋体" w:hAnsi="宋体"/>
          <w:color w:val="0D0D0D"/>
          <w:sz w:val="30"/>
          <w:highlight w:val="none"/>
        </w:rPr>
        <w:t>第五章  合同主要条款</w:t>
      </w:r>
    </w:p>
    <w:p>
      <w:pPr>
        <w:pStyle w:val="28"/>
        <w:snapToGrid w:val="0"/>
        <w:spacing w:before="120" w:beforeLines="0" w:after="120" w:afterLines="0" w:line="360" w:lineRule="auto"/>
        <w:rPr>
          <w:rFonts w:hAnsi="宋体"/>
          <w:color w:val="0D0D0D"/>
          <w:highlight w:val="none"/>
        </w:rPr>
      </w:pPr>
      <w:r>
        <w:rPr>
          <w:rFonts w:hAnsi="宋体"/>
          <w:color w:val="0D0D0D"/>
          <w:highlight w:val="none"/>
        </w:rPr>
        <w:t>项目名称：</w:t>
      </w:r>
      <w:r>
        <w:rPr>
          <w:rFonts w:hint="eastAsia" w:hAnsi="宋体"/>
          <w:color w:val="0D0D0D"/>
          <w:highlight w:val="none"/>
          <w:u w:val="single"/>
          <w:lang w:eastAsia="zh-CN"/>
        </w:rPr>
        <w:t>台州湾新区规划支路二道路工程(星空教育地块内)（石粉采购）</w:t>
      </w:r>
      <w:r>
        <w:rPr>
          <w:rFonts w:hAnsi="宋体"/>
          <w:color w:val="0D0D0D"/>
          <w:highlight w:val="none"/>
        </w:rPr>
        <w:t xml:space="preserve"> </w:t>
      </w:r>
    </w:p>
    <w:p>
      <w:pPr>
        <w:pStyle w:val="28"/>
        <w:snapToGrid w:val="0"/>
        <w:spacing w:before="120" w:beforeLines="0" w:after="120" w:afterLines="0" w:line="360" w:lineRule="auto"/>
        <w:rPr>
          <w:rFonts w:hint="eastAsia" w:hAnsi="宋体" w:eastAsia="宋体"/>
          <w:color w:val="0D0D0D"/>
          <w:highlight w:val="none"/>
          <w:lang w:eastAsia="zh-CN"/>
        </w:rPr>
      </w:pPr>
      <w:r>
        <w:rPr>
          <w:rFonts w:hAnsi="宋体"/>
          <w:color w:val="0D0D0D"/>
          <w:highlight w:val="none"/>
        </w:rPr>
        <w:t>甲方：（买方）</w:t>
      </w:r>
      <w:r>
        <w:rPr>
          <w:rFonts w:hint="eastAsia" w:hAnsi="宋体"/>
          <w:color w:val="0D0D0D"/>
          <w:highlight w:val="none"/>
          <w:lang w:eastAsia="zh-CN"/>
        </w:rPr>
        <w:t>台州东发建设集团有限公司</w:t>
      </w:r>
    </w:p>
    <w:p>
      <w:pPr>
        <w:pStyle w:val="28"/>
        <w:snapToGrid w:val="0"/>
        <w:spacing w:before="120" w:beforeLines="0" w:after="120" w:afterLines="0" w:line="360" w:lineRule="auto"/>
        <w:rPr>
          <w:rFonts w:hAnsi="宋体"/>
          <w:color w:val="0D0D0D"/>
          <w:highlight w:val="none"/>
        </w:rPr>
      </w:pPr>
      <w:r>
        <w:rPr>
          <w:rFonts w:hAnsi="宋体"/>
          <w:color w:val="0D0D0D"/>
          <w:highlight w:val="none"/>
        </w:rPr>
        <w:t>乙方：（卖方）</w:t>
      </w:r>
    </w:p>
    <w:p>
      <w:pPr>
        <w:pStyle w:val="28"/>
        <w:snapToGrid w:val="0"/>
        <w:spacing w:before="120" w:beforeLines="0" w:after="120" w:afterLines="0" w:line="360" w:lineRule="auto"/>
        <w:rPr>
          <w:rFonts w:hint="eastAsia" w:hAnsi="宋体"/>
          <w:color w:val="0D0D0D"/>
          <w:highlight w:val="none"/>
        </w:rPr>
      </w:pPr>
      <w:r>
        <w:rPr>
          <w:rFonts w:hAnsi="宋体"/>
          <w:color w:val="0D0D0D"/>
          <w:highlight w:val="none"/>
        </w:rPr>
        <w:t xml:space="preserve">   甲、乙双方根据</w:t>
      </w:r>
      <w:r>
        <w:rPr>
          <w:rFonts w:hint="eastAsia" w:hAnsi="宋体"/>
          <w:color w:val="0D0D0D"/>
          <w:highlight w:val="none"/>
          <w:u w:val="single"/>
          <w:lang w:eastAsia="zh-CN"/>
        </w:rPr>
        <w:t>台州湾新区规划支路二道路工程(星空教育地块内)（石粉采购）</w:t>
      </w:r>
      <w:r>
        <w:rPr>
          <w:rFonts w:hAnsi="宋体"/>
          <w:color w:val="0D0D0D"/>
          <w:highlight w:val="none"/>
        </w:rPr>
        <w:t>公开招标的结果，签署本合同。</w:t>
      </w:r>
    </w:p>
    <w:p>
      <w:pPr>
        <w:pStyle w:val="28"/>
        <w:snapToGrid w:val="0"/>
        <w:spacing w:before="120" w:after="120" w:line="360" w:lineRule="auto"/>
        <w:rPr>
          <w:rFonts w:hAnsi="宋体"/>
          <w:b/>
          <w:bCs/>
          <w:color w:val="0D0D0D"/>
          <w:highlight w:val="none"/>
        </w:rPr>
      </w:pPr>
      <w:r>
        <w:rPr>
          <w:rFonts w:hAnsi="宋体"/>
          <w:b/>
          <w:bCs/>
          <w:color w:val="0D0D0D"/>
          <w:highlight w:val="none"/>
        </w:rPr>
        <w:t>合同文件</w:t>
      </w:r>
    </w:p>
    <w:p>
      <w:pPr>
        <w:pStyle w:val="28"/>
        <w:snapToGrid w:val="0"/>
        <w:spacing w:before="120" w:after="120" w:line="360" w:lineRule="auto"/>
        <w:rPr>
          <w:rFonts w:hAnsi="宋体"/>
          <w:color w:val="0D0D0D"/>
          <w:highlight w:val="none"/>
        </w:rPr>
      </w:pPr>
      <w:r>
        <w:rPr>
          <w:rFonts w:hAnsi="宋体"/>
          <w:color w:val="0D0D0D"/>
          <w:highlight w:val="none"/>
        </w:rPr>
        <w:t xml:space="preserve">   下列文件构成本合同的组成部分：</w:t>
      </w:r>
    </w:p>
    <w:p>
      <w:pPr>
        <w:pStyle w:val="28"/>
        <w:snapToGrid w:val="0"/>
        <w:spacing w:before="120" w:after="120" w:line="360" w:lineRule="auto"/>
        <w:rPr>
          <w:rFonts w:hint="eastAsia" w:hAnsi="宋体"/>
          <w:color w:val="0D0D0D"/>
          <w:highlight w:val="none"/>
        </w:rPr>
      </w:pPr>
      <w:r>
        <w:rPr>
          <w:rFonts w:hAnsi="宋体"/>
          <w:color w:val="0D0D0D"/>
          <w:highlight w:val="none"/>
        </w:rPr>
        <w:t>(1) 中标通知书</w:t>
      </w:r>
    </w:p>
    <w:p>
      <w:pPr>
        <w:pStyle w:val="28"/>
        <w:snapToGrid w:val="0"/>
        <w:spacing w:before="120" w:after="120" w:line="360" w:lineRule="auto"/>
        <w:rPr>
          <w:rFonts w:hAnsi="宋体"/>
          <w:color w:val="0D0D0D"/>
          <w:highlight w:val="none"/>
        </w:rPr>
      </w:pPr>
      <w:r>
        <w:rPr>
          <w:rFonts w:hAnsi="宋体"/>
          <w:color w:val="0D0D0D"/>
          <w:highlight w:val="none"/>
        </w:rPr>
        <w:t>(2) 合同主要条款</w:t>
      </w:r>
    </w:p>
    <w:p>
      <w:pPr>
        <w:pStyle w:val="28"/>
        <w:snapToGrid w:val="0"/>
        <w:spacing w:before="120" w:after="120" w:line="360" w:lineRule="auto"/>
        <w:rPr>
          <w:rFonts w:hint="eastAsia" w:hAnsi="宋体" w:eastAsia="宋体" w:cs="Times New Roman"/>
          <w:color w:val="0D0D0D"/>
          <w:highlight w:val="none"/>
        </w:rPr>
      </w:pPr>
      <w:r>
        <w:rPr>
          <w:rFonts w:hAnsi="宋体" w:eastAsia="宋体" w:cs="Times New Roman"/>
          <w:color w:val="0D0D0D"/>
          <w:highlight w:val="none"/>
        </w:rPr>
        <w:t>(</w:t>
      </w:r>
      <w:r>
        <w:rPr>
          <w:rFonts w:hint="eastAsia" w:hAnsi="宋体" w:eastAsia="宋体" w:cs="Times New Roman"/>
          <w:color w:val="0D0D0D"/>
          <w:highlight w:val="none"/>
          <w:lang w:val="en-US" w:eastAsia="zh-CN"/>
        </w:rPr>
        <w:t>3</w:t>
      </w:r>
      <w:r>
        <w:rPr>
          <w:rFonts w:hAnsi="宋体" w:eastAsia="宋体" w:cs="Times New Roman"/>
          <w:color w:val="0D0D0D"/>
          <w:highlight w:val="none"/>
        </w:rPr>
        <w:t xml:space="preserve">) </w:t>
      </w:r>
      <w:r>
        <w:rPr>
          <w:rFonts w:hint="eastAsia" w:hAnsi="宋体" w:eastAsia="宋体" w:cs="Times New Roman"/>
          <w:color w:val="0D0D0D"/>
          <w:highlight w:val="none"/>
        </w:rPr>
        <w:t>项目廉政责任书</w:t>
      </w:r>
    </w:p>
    <w:p>
      <w:pPr>
        <w:pStyle w:val="28"/>
        <w:snapToGrid w:val="0"/>
        <w:spacing w:before="120" w:after="120" w:line="360" w:lineRule="auto"/>
        <w:rPr>
          <w:rFonts w:hint="eastAsia" w:hAnsi="宋体"/>
          <w:color w:val="0D0D0D"/>
          <w:highlight w:val="none"/>
        </w:rPr>
      </w:pPr>
      <w:r>
        <w:rPr>
          <w:rFonts w:hAnsi="宋体"/>
          <w:color w:val="0D0D0D"/>
          <w:highlight w:val="none"/>
        </w:rPr>
        <w:t>(</w:t>
      </w:r>
      <w:r>
        <w:rPr>
          <w:rFonts w:hint="eastAsia" w:hAnsi="宋体"/>
          <w:color w:val="0D0D0D"/>
          <w:highlight w:val="none"/>
          <w:lang w:val="en-US" w:eastAsia="zh-CN"/>
        </w:rPr>
        <w:t>4</w:t>
      </w:r>
      <w:r>
        <w:rPr>
          <w:rFonts w:hAnsi="宋体"/>
          <w:color w:val="0D0D0D"/>
          <w:highlight w:val="none"/>
        </w:rPr>
        <w:t>)</w:t>
      </w:r>
      <w:r>
        <w:rPr>
          <w:rFonts w:hint="eastAsia" w:hAnsi="宋体"/>
          <w:color w:val="0D0D0D"/>
          <w:highlight w:val="none"/>
        </w:rPr>
        <w:t xml:space="preserve"> 招标文件</w:t>
      </w:r>
    </w:p>
    <w:p>
      <w:pPr>
        <w:pStyle w:val="28"/>
        <w:snapToGrid w:val="0"/>
        <w:spacing w:before="120" w:after="120" w:line="360" w:lineRule="auto"/>
        <w:rPr>
          <w:rFonts w:hAnsi="宋体"/>
          <w:color w:val="0D0D0D"/>
          <w:highlight w:val="none"/>
        </w:rPr>
      </w:pPr>
      <w:r>
        <w:rPr>
          <w:rFonts w:hAnsi="宋体"/>
          <w:color w:val="0D0D0D"/>
          <w:highlight w:val="none"/>
        </w:rPr>
        <w:t>(</w:t>
      </w:r>
      <w:r>
        <w:rPr>
          <w:rFonts w:hint="eastAsia" w:hAnsi="宋体"/>
          <w:color w:val="0D0D0D"/>
          <w:highlight w:val="none"/>
          <w:lang w:val="en-US" w:eastAsia="zh-CN"/>
        </w:rPr>
        <w:t>5</w:t>
      </w:r>
      <w:r>
        <w:rPr>
          <w:rFonts w:hAnsi="宋体"/>
          <w:color w:val="0D0D0D"/>
          <w:highlight w:val="none"/>
        </w:rPr>
        <w:t xml:space="preserve">) </w:t>
      </w:r>
      <w:r>
        <w:rPr>
          <w:rFonts w:hint="eastAsia" w:hAnsi="宋体"/>
          <w:color w:val="0D0D0D"/>
          <w:highlight w:val="none"/>
        </w:rPr>
        <w:t>投标文件（商务标）</w:t>
      </w:r>
    </w:p>
    <w:p>
      <w:pPr>
        <w:pStyle w:val="28"/>
        <w:snapToGrid w:val="0"/>
        <w:spacing w:before="120" w:beforeLines="0" w:after="120" w:afterLines="0" w:line="360" w:lineRule="auto"/>
        <w:rPr>
          <w:rFonts w:hAnsi="宋体"/>
          <w:b/>
          <w:color w:val="0D0D0D"/>
          <w:highlight w:val="none"/>
        </w:rPr>
      </w:pPr>
      <w:r>
        <w:rPr>
          <w:rFonts w:hAnsi="宋体"/>
          <w:b/>
          <w:color w:val="0D0D0D"/>
          <w:highlight w:val="none"/>
        </w:rPr>
        <w:t>一、货物内容</w:t>
      </w:r>
    </w:p>
    <w:p>
      <w:pPr>
        <w:pStyle w:val="28"/>
        <w:snapToGrid w:val="0"/>
        <w:spacing w:before="120" w:beforeLines="0" w:after="120" w:afterLines="0" w:line="360" w:lineRule="auto"/>
        <w:rPr>
          <w:rFonts w:hint="eastAsia" w:hAnsi="宋体"/>
          <w:color w:val="0D0D0D"/>
          <w:highlight w:val="none"/>
          <w:u w:val="single"/>
          <w:lang w:eastAsia="zh-CN"/>
        </w:rPr>
      </w:pPr>
      <w:r>
        <w:rPr>
          <w:rFonts w:hAnsi="宋体"/>
          <w:color w:val="0D0D0D"/>
          <w:highlight w:val="none"/>
        </w:rPr>
        <w:t>1.1 货物名称：</w:t>
      </w:r>
      <w:r>
        <w:rPr>
          <w:rFonts w:hint="eastAsia" w:hAnsi="宋体"/>
          <w:color w:val="0D0D0D"/>
          <w:highlight w:val="none"/>
          <w:u w:val="single"/>
          <w:lang w:eastAsia="zh-CN"/>
        </w:rPr>
        <w:t>台州湾新区规划支路二道路工程(星空教育地块内)（石粉采购）</w:t>
      </w:r>
    </w:p>
    <w:p>
      <w:pPr>
        <w:pStyle w:val="28"/>
        <w:snapToGrid w:val="0"/>
        <w:spacing w:before="120" w:beforeLines="0" w:after="120" w:afterLines="0" w:line="360" w:lineRule="auto"/>
        <w:rPr>
          <w:rFonts w:hAnsi="宋体"/>
          <w:color w:val="0D0D0D"/>
          <w:highlight w:val="none"/>
        </w:rPr>
      </w:pPr>
      <w:r>
        <w:rPr>
          <w:rFonts w:hAnsi="宋体"/>
          <w:color w:val="0D0D0D"/>
          <w:highlight w:val="none"/>
        </w:rPr>
        <w:t>1.2 型号规格</w:t>
      </w:r>
      <w:r>
        <w:rPr>
          <w:rFonts w:hint="eastAsia" w:hAnsi="宋体"/>
          <w:color w:val="0D0D0D"/>
          <w:highlight w:val="none"/>
        </w:rPr>
        <w:t>、</w:t>
      </w:r>
      <w:r>
        <w:rPr>
          <w:rFonts w:hAnsi="宋体"/>
          <w:color w:val="0D0D0D"/>
          <w:highlight w:val="none"/>
        </w:rPr>
        <w:t>技术参数</w:t>
      </w:r>
      <w:r>
        <w:rPr>
          <w:rFonts w:hint="eastAsia" w:hAnsi="宋体"/>
          <w:color w:val="0D0D0D"/>
          <w:highlight w:val="none"/>
        </w:rPr>
        <w:t>、</w:t>
      </w:r>
      <w:r>
        <w:rPr>
          <w:rFonts w:hAnsi="宋体"/>
          <w:color w:val="0D0D0D"/>
          <w:highlight w:val="none"/>
        </w:rPr>
        <w:t>数量（单位）</w:t>
      </w:r>
      <w:r>
        <w:rPr>
          <w:rFonts w:hint="eastAsia" w:hAnsi="宋体"/>
          <w:color w:val="0D0D0D"/>
          <w:highlight w:val="none"/>
        </w:rPr>
        <w:t>、品牌</w:t>
      </w:r>
      <w:r>
        <w:rPr>
          <w:rFonts w:hAnsi="宋体"/>
          <w:color w:val="0D0D0D"/>
          <w:highlight w:val="none"/>
        </w:rPr>
        <w:t>：</w:t>
      </w:r>
    </w:p>
    <w:tbl>
      <w:tblPr>
        <w:tblStyle w:val="46"/>
        <w:tblW w:w="8798" w:type="dxa"/>
        <w:tblInd w:w="28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54"/>
        <w:gridCol w:w="4978"/>
        <w:gridCol w:w="1658"/>
        <w:gridCol w:w="140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85" w:hRule="atLeast"/>
        </w:trPr>
        <w:tc>
          <w:tcPr>
            <w:tcW w:w="75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360" w:lineRule="auto"/>
              <w:jc w:val="center"/>
              <w:textAlignment w:val="center"/>
              <w:rPr>
                <w:rFonts w:hint="eastAsia" w:ascii="宋体" w:hAnsi="宋体" w:cs="Arial"/>
                <w:bCs/>
                <w:color w:val="0C0C0C"/>
                <w:sz w:val="21"/>
                <w:szCs w:val="21"/>
                <w:highlight w:val="none"/>
              </w:rPr>
            </w:pPr>
            <w:r>
              <w:rPr>
                <w:rFonts w:hint="eastAsia" w:ascii="宋体" w:hAnsi="宋体" w:eastAsia="宋体" w:cs="宋体"/>
                <w:i w:val="0"/>
                <w:color w:val="000000"/>
                <w:kern w:val="0"/>
                <w:sz w:val="22"/>
                <w:szCs w:val="22"/>
                <w:highlight w:val="none"/>
                <w:u w:val="none"/>
                <w:lang w:val="en-US" w:eastAsia="zh-CN" w:bidi="ar"/>
              </w:rPr>
              <w:t>序号</w:t>
            </w:r>
          </w:p>
        </w:tc>
        <w:tc>
          <w:tcPr>
            <w:tcW w:w="49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cs="Arial"/>
                <w:bCs/>
                <w:color w:val="0C0C0C"/>
                <w:sz w:val="21"/>
                <w:szCs w:val="21"/>
                <w:highlight w:val="none"/>
              </w:rPr>
            </w:pPr>
            <w:r>
              <w:rPr>
                <w:rFonts w:hint="eastAsia" w:ascii="宋体" w:hAnsi="宋体" w:eastAsia="宋体" w:cs="宋体"/>
                <w:i w:val="0"/>
                <w:color w:val="000000"/>
                <w:kern w:val="0"/>
                <w:sz w:val="22"/>
                <w:szCs w:val="22"/>
                <w:highlight w:val="none"/>
                <w:u w:val="none"/>
                <w:lang w:val="en-US" w:eastAsia="zh-CN" w:bidi="ar"/>
              </w:rPr>
              <w:t>材料名称</w:t>
            </w:r>
          </w:p>
        </w:tc>
        <w:tc>
          <w:tcPr>
            <w:tcW w:w="1658" w:type="dxa"/>
            <w:tcBorders>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cs="Arial"/>
                <w:bCs/>
                <w:color w:val="0C0C0C"/>
                <w:sz w:val="21"/>
                <w:szCs w:val="21"/>
                <w:highlight w:val="none"/>
              </w:rPr>
            </w:pPr>
            <w:r>
              <w:rPr>
                <w:rFonts w:hint="eastAsia" w:ascii="宋体" w:hAnsi="宋体" w:eastAsia="宋体" w:cs="宋体"/>
                <w:i w:val="0"/>
                <w:color w:val="000000"/>
                <w:kern w:val="0"/>
                <w:sz w:val="22"/>
                <w:szCs w:val="22"/>
                <w:highlight w:val="none"/>
                <w:u w:val="none"/>
                <w:lang w:val="en-US" w:eastAsia="zh-CN" w:bidi="ar"/>
              </w:rPr>
              <w:t>工程量</w:t>
            </w:r>
          </w:p>
        </w:tc>
        <w:tc>
          <w:tcPr>
            <w:tcW w:w="1408" w:type="dxa"/>
            <w:tcBorders>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cs="Arial"/>
                <w:bCs/>
                <w:color w:val="0C0C0C"/>
                <w:sz w:val="21"/>
                <w:szCs w:val="21"/>
                <w:highlight w:val="none"/>
              </w:rPr>
            </w:pPr>
            <w:r>
              <w:rPr>
                <w:rFonts w:hint="eastAsia" w:ascii="宋体" w:hAnsi="宋体" w:eastAsia="宋体" w:cs="宋体"/>
                <w:i w:val="0"/>
                <w:color w:val="000000"/>
                <w:kern w:val="0"/>
                <w:sz w:val="22"/>
                <w:szCs w:val="22"/>
                <w:highlight w:val="none"/>
                <w:u w:val="none"/>
                <w:lang w:val="en-US" w:eastAsia="zh-CN" w:bidi="ar"/>
              </w:rPr>
              <w:t>工程量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8798"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cs="宋体"/>
                <w:i w:val="0"/>
                <w:color w:val="000000"/>
                <w:kern w:val="0"/>
                <w:sz w:val="24"/>
                <w:szCs w:val="24"/>
                <w:highlight w:val="none"/>
                <w:u w:val="none"/>
                <w:lang w:val="en-US" w:eastAsia="zh-CN" w:bidi="ar"/>
              </w:rPr>
              <w:t>台州湾新区规划支路二道路工程(星空教育地块内)（石粉采购）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75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cs="Arial"/>
                <w:bCs/>
                <w:sz w:val="21"/>
                <w:szCs w:val="21"/>
                <w:highlight w:val="none"/>
              </w:rPr>
            </w:pPr>
            <w:r>
              <w:rPr>
                <w:rFonts w:hint="eastAsia" w:ascii="宋体" w:hAnsi="宋体" w:eastAsia="宋体" w:cs="宋体"/>
                <w:i w:val="0"/>
                <w:color w:val="000000"/>
                <w:kern w:val="0"/>
                <w:sz w:val="22"/>
                <w:szCs w:val="22"/>
                <w:highlight w:val="none"/>
                <w:u w:val="none"/>
                <w:lang w:val="en-US" w:eastAsia="zh-CN" w:bidi="ar"/>
              </w:rPr>
              <w:t>1</w:t>
            </w:r>
          </w:p>
        </w:tc>
        <w:tc>
          <w:tcPr>
            <w:tcW w:w="49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cs="宋体"/>
                <w:color w:val="000000"/>
                <w:kern w:val="0"/>
                <w:sz w:val="22"/>
                <w:szCs w:val="22"/>
                <w:highlight w:val="none"/>
                <w:lang w:bidi="ar"/>
              </w:rPr>
            </w:pPr>
            <w:r>
              <w:rPr>
                <w:rFonts w:hint="eastAsia" w:ascii="宋体" w:hAnsi="宋体" w:eastAsia="宋体" w:cs="宋体"/>
                <w:i w:val="0"/>
                <w:color w:val="000000"/>
                <w:kern w:val="0"/>
                <w:sz w:val="22"/>
                <w:szCs w:val="22"/>
                <w:highlight w:val="none"/>
                <w:u w:val="none"/>
                <w:lang w:val="en-US" w:eastAsia="zh-CN" w:bidi="ar"/>
              </w:rPr>
              <w:t>石粉（水泥稳定层用料）</w:t>
            </w:r>
          </w:p>
        </w:tc>
        <w:tc>
          <w:tcPr>
            <w:tcW w:w="165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cs="宋体"/>
                <w:kern w:val="0"/>
                <w:sz w:val="22"/>
                <w:szCs w:val="22"/>
                <w:highlight w:val="none"/>
                <w:lang w:bidi="ar"/>
              </w:rPr>
            </w:pPr>
            <w:r>
              <w:rPr>
                <w:rFonts w:hint="eastAsia" w:ascii="宋体" w:hAnsi="宋体" w:eastAsia="宋体" w:cs="宋体"/>
                <w:i w:val="0"/>
                <w:color w:val="000000"/>
                <w:kern w:val="0"/>
                <w:sz w:val="22"/>
                <w:szCs w:val="22"/>
                <w:highlight w:val="none"/>
                <w:u w:val="none"/>
                <w:lang w:val="en-US" w:eastAsia="zh-CN" w:bidi="ar"/>
              </w:rPr>
              <w:t>含泥量≤3％</w:t>
            </w:r>
          </w:p>
        </w:tc>
        <w:tc>
          <w:tcPr>
            <w:tcW w:w="14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cs="宋体"/>
                <w:color w:val="000000"/>
                <w:kern w:val="0"/>
                <w:sz w:val="22"/>
                <w:szCs w:val="22"/>
                <w:highlight w:val="none"/>
                <w:lang w:bidi="ar"/>
              </w:rPr>
            </w:pPr>
            <w:r>
              <w:rPr>
                <w:rFonts w:hint="eastAsia" w:ascii="宋体" w:hAnsi="宋体" w:cs="宋体"/>
                <w:i w:val="0"/>
                <w:color w:val="000000"/>
                <w:kern w:val="0"/>
                <w:sz w:val="22"/>
                <w:szCs w:val="22"/>
                <w:highlight w:val="none"/>
                <w:u w:val="none"/>
                <w:lang w:val="en-US" w:eastAsia="zh-CN" w:bidi="ar"/>
              </w:rPr>
              <w:t>1500</w:t>
            </w:r>
            <w:r>
              <w:rPr>
                <w:rFonts w:hint="eastAsia" w:ascii="宋体" w:hAnsi="宋体" w:eastAsia="宋体" w:cs="宋体"/>
                <w:i w:val="0"/>
                <w:color w:val="000000"/>
                <w:kern w:val="0"/>
                <w:sz w:val="22"/>
                <w:szCs w:val="22"/>
                <w:highlight w:val="none"/>
                <w:u w:val="none"/>
                <w:lang w:val="en-US" w:eastAsia="zh-CN" w:bidi="ar"/>
              </w:rPr>
              <w:t>t</w:t>
            </w:r>
          </w:p>
        </w:tc>
      </w:tr>
    </w:tbl>
    <w:p>
      <w:pPr>
        <w:pStyle w:val="28"/>
        <w:snapToGrid w:val="0"/>
        <w:spacing w:before="120" w:beforeLines="0" w:after="120" w:afterLines="0" w:line="360" w:lineRule="auto"/>
        <w:rPr>
          <w:rFonts w:hint="eastAsia" w:hAnsi="宋体"/>
          <w:b w:val="0"/>
          <w:bCs/>
          <w:color w:val="0C0C0C"/>
          <w:highlight w:val="none"/>
        </w:rPr>
      </w:pPr>
      <w:r>
        <w:rPr>
          <w:rFonts w:hint="eastAsia" w:hAnsi="宋体"/>
          <w:b w:val="0"/>
          <w:bCs/>
          <w:color w:val="0C0C0C"/>
          <w:highlight w:val="none"/>
        </w:rPr>
        <w:t>1.3</w:t>
      </w:r>
      <w:r>
        <w:rPr>
          <w:rFonts w:hint="eastAsia" w:hAnsi="宋体"/>
          <w:b w:val="0"/>
          <w:bCs/>
          <w:color w:val="0C0C0C"/>
          <w:highlight w:val="none"/>
          <w:lang w:val="en-US" w:eastAsia="zh-CN"/>
        </w:rPr>
        <w:t xml:space="preserve"> </w:t>
      </w:r>
      <w:r>
        <w:rPr>
          <w:rFonts w:hint="eastAsia" w:hAnsi="宋体"/>
          <w:b w:val="0"/>
          <w:bCs/>
          <w:color w:val="0C0C0C"/>
          <w:highlight w:val="none"/>
        </w:rPr>
        <w:t>以上表格数量为暂估，</w:t>
      </w:r>
      <w:r>
        <w:rPr>
          <w:rFonts w:hint="eastAsia" w:hAnsi="宋体"/>
          <w:b w:val="0"/>
          <w:bCs/>
          <w:color w:val="0C0C0C"/>
          <w:highlight w:val="none"/>
          <w:lang w:val="en-US" w:eastAsia="zh-CN"/>
        </w:rPr>
        <w:t>结算时</w:t>
      </w:r>
      <w:r>
        <w:rPr>
          <w:rFonts w:hint="eastAsia" w:hAnsi="宋体"/>
          <w:b w:val="0"/>
          <w:bCs/>
          <w:color w:val="0C0C0C"/>
          <w:highlight w:val="none"/>
        </w:rPr>
        <w:t>按实计算。</w:t>
      </w:r>
    </w:p>
    <w:p>
      <w:pPr>
        <w:pStyle w:val="28"/>
        <w:snapToGrid w:val="0"/>
        <w:spacing w:before="120" w:beforeLines="0" w:after="120" w:afterLines="0" w:line="360" w:lineRule="auto"/>
        <w:rPr>
          <w:rFonts w:hAnsi="宋体"/>
          <w:b w:val="0"/>
          <w:bCs/>
          <w:color w:val="0C0C0C"/>
          <w:highlight w:val="none"/>
        </w:rPr>
      </w:pPr>
      <w:r>
        <w:rPr>
          <w:rFonts w:hint="eastAsia" w:hAnsi="宋体"/>
          <w:b w:val="0"/>
          <w:bCs/>
          <w:color w:val="0C0C0C"/>
          <w:highlight w:val="none"/>
        </w:rPr>
        <w:t>1.4</w:t>
      </w:r>
      <w:r>
        <w:rPr>
          <w:rFonts w:hint="eastAsia" w:hAnsi="宋体"/>
          <w:b w:val="0"/>
          <w:bCs/>
          <w:color w:val="0C0C0C"/>
          <w:highlight w:val="none"/>
          <w:lang w:val="en-US" w:eastAsia="zh-CN"/>
        </w:rPr>
        <w:t xml:space="preserve"> </w:t>
      </w:r>
      <w:r>
        <w:rPr>
          <w:rFonts w:hint="eastAsia" w:hAnsi="宋体"/>
          <w:b w:val="0"/>
          <w:bCs/>
          <w:color w:val="0C0C0C"/>
          <w:highlight w:val="none"/>
        </w:rPr>
        <w:t>合同期限：</w:t>
      </w:r>
      <w:r>
        <w:rPr>
          <w:rFonts w:hint="eastAsia" w:hAnsi="宋体"/>
          <w:b w:val="0"/>
          <w:bCs/>
          <w:color w:val="0C0C0C"/>
          <w:highlight w:val="none"/>
          <w:lang w:eastAsia="zh-CN"/>
        </w:rPr>
        <w:t>自收到中标通知书后15个工作日内完成供货；如因项目需要分批次供货的，则每批次货物自接到甲方通知后3个工作日内完成供货</w:t>
      </w:r>
      <w:r>
        <w:rPr>
          <w:rFonts w:hint="eastAsia" w:hAnsi="宋体"/>
          <w:b w:val="0"/>
          <w:bCs/>
          <w:color w:val="0C0C0C"/>
          <w:highlight w:val="none"/>
        </w:rPr>
        <w:t>；</w:t>
      </w:r>
    </w:p>
    <w:p>
      <w:pPr>
        <w:pStyle w:val="28"/>
        <w:snapToGrid w:val="0"/>
        <w:spacing w:before="120" w:beforeLines="0" w:after="120" w:afterLines="0" w:line="360" w:lineRule="auto"/>
        <w:rPr>
          <w:rFonts w:hAnsi="宋体"/>
          <w:b w:val="0"/>
          <w:bCs/>
          <w:color w:val="0C0C0C"/>
          <w:highlight w:val="none"/>
        </w:rPr>
      </w:pPr>
      <w:r>
        <w:rPr>
          <w:rFonts w:hint="eastAsia" w:hAnsi="宋体"/>
          <w:b w:val="0"/>
          <w:bCs/>
          <w:color w:val="0C0C0C"/>
          <w:highlight w:val="none"/>
        </w:rPr>
        <w:t>1.5</w:t>
      </w:r>
      <w:r>
        <w:rPr>
          <w:rFonts w:hint="eastAsia" w:hAnsi="宋体"/>
          <w:b w:val="0"/>
          <w:bCs/>
          <w:color w:val="0C0C0C"/>
          <w:highlight w:val="none"/>
          <w:lang w:val="en-US" w:eastAsia="zh-CN"/>
        </w:rPr>
        <w:t xml:space="preserve"> </w:t>
      </w:r>
      <w:r>
        <w:rPr>
          <w:rFonts w:hint="eastAsia" w:hAnsi="宋体"/>
          <w:b w:val="0"/>
          <w:bCs/>
          <w:color w:val="0C0C0C"/>
          <w:highlight w:val="none"/>
        </w:rPr>
        <w:t>甲方有权对货物内容进行调整，乙方必须按调整后的货物内容进行供货，不得有任何疑义。</w:t>
      </w:r>
    </w:p>
    <w:p>
      <w:pPr>
        <w:pStyle w:val="28"/>
        <w:snapToGrid w:val="0"/>
        <w:spacing w:before="120" w:beforeLines="0" w:after="120" w:afterLines="0" w:line="360" w:lineRule="auto"/>
        <w:rPr>
          <w:rFonts w:hAnsi="宋体"/>
          <w:b/>
          <w:color w:val="0D0D0D"/>
          <w:highlight w:val="none"/>
        </w:rPr>
      </w:pPr>
      <w:r>
        <w:rPr>
          <w:rFonts w:hAnsi="宋体"/>
          <w:b/>
          <w:color w:val="0D0D0D"/>
          <w:highlight w:val="none"/>
        </w:rPr>
        <w:t>二、合同金额</w:t>
      </w:r>
    </w:p>
    <w:p>
      <w:pPr>
        <w:pStyle w:val="28"/>
        <w:snapToGrid w:val="0"/>
        <w:spacing w:before="120" w:after="120" w:line="360" w:lineRule="auto"/>
        <w:rPr>
          <w:rFonts w:hint="eastAsia" w:hAnsi="宋体"/>
          <w:color w:val="0D0D0D"/>
          <w:highlight w:val="none"/>
        </w:rPr>
      </w:pPr>
      <w:r>
        <w:rPr>
          <w:rFonts w:hAnsi="宋体"/>
          <w:color w:val="0D0D0D"/>
          <w:highlight w:val="none"/>
        </w:rPr>
        <w:t xml:space="preserve">2.1 </w:t>
      </w:r>
      <w:r>
        <w:rPr>
          <w:rFonts w:hint="eastAsia" w:hAnsi="宋体"/>
          <w:color w:val="0D0D0D"/>
          <w:highlight w:val="none"/>
        </w:rPr>
        <w:t>本合同</w:t>
      </w:r>
      <w:r>
        <w:rPr>
          <w:rFonts w:hint="eastAsia" w:hAnsi="宋体"/>
          <w:color w:val="0D0D0D"/>
          <w:highlight w:val="none"/>
          <w:lang w:val="en-US" w:eastAsia="zh-CN"/>
        </w:rPr>
        <w:t>总价</w:t>
      </w:r>
      <w:r>
        <w:rPr>
          <w:rFonts w:hint="eastAsia" w:hAnsi="宋体"/>
          <w:color w:val="0D0D0D"/>
          <w:highlight w:val="none"/>
        </w:rPr>
        <w:t>为人民币(大写)：</w:t>
      </w:r>
      <w:r>
        <w:rPr>
          <w:rFonts w:hint="eastAsia" w:hAnsi="宋体"/>
          <w:color w:val="0D0D0D"/>
          <w:highlight w:val="none"/>
          <w:u w:val="single"/>
        </w:rPr>
        <w:t xml:space="preserve">                    </w:t>
      </w:r>
      <w:r>
        <w:rPr>
          <w:rFonts w:hint="eastAsia" w:hAnsi="宋体"/>
          <w:color w:val="0D0D0D"/>
          <w:highlight w:val="none"/>
        </w:rPr>
        <w:t>元(￥</w:t>
      </w:r>
      <w:r>
        <w:rPr>
          <w:rFonts w:hint="eastAsia" w:hAnsi="宋体"/>
          <w:color w:val="0D0D0D"/>
          <w:highlight w:val="none"/>
          <w:u w:val="single"/>
        </w:rPr>
        <w:t xml:space="preserve">          </w:t>
      </w:r>
      <w:r>
        <w:rPr>
          <w:rFonts w:hint="eastAsia" w:hAnsi="宋体"/>
          <w:color w:val="0D0D0D"/>
          <w:highlight w:val="none"/>
        </w:rPr>
        <w:t>元)人民币；</w:t>
      </w:r>
    </w:p>
    <w:p>
      <w:pPr>
        <w:pStyle w:val="28"/>
        <w:snapToGrid w:val="0"/>
        <w:spacing w:before="120" w:after="120" w:line="360" w:lineRule="auto"/>
        <w:rPr>
          <w:rFonts w:hint="eastAsia" w:hAnsi="宋体"/>
          <w:color w:val="0D0D0D"/>
          <w:highlight w:val="none"/>
        </w:rPr>
      </w:pPr>
      <w:r>
        <w:rPr>
          <w:rFonts w:hint="eastAsia" w:hAnsi="宋体"/>
          <w:color w:val="0D0D0D"/>
          <w:highlight w:val="none"/>
        </w:rPr>
        <w:t>其中不含税价为人民币(大写)：</w:t>
      </w:r>
      <w:r>
        <w:rPr>
          <w:rFonts w:hint="eastAsia" w:hAnsi="宋体"/>
          <w:color w:val="0D0D0D"/>
          <w:highlight w:val="none"/>
          <w:u w:val="single"/>
        </w:rPr>
        <w:t xml:space="preserve">                    </w:t>
      </w:r>
      <w:r>
        <w:rPr>
          <w:rFonts w:hint="eastAsia" w:hAnsi="宋体"/>
          <w:color w:val="0D0D0D"/>
          <w:highlight w:val="none"/>
        </w:rPr>
        <w:t>元(￥</w:t>
      </w:r>
      <w:r>
        <w:rPr>
          <w:rFonts w:hint="eastAsia" w:hAnsi="宋体"/>
          <w:color w:val="0D0D0D"/>
          <w:highlight w:val="none"/>
          <w:u w:val="single"/>
        </w:rPr>
        <w:t xml:space="preserve">           </w:t>
      </w:r>
      <w:r>
        <w:rPr>
          <w:rFonts w:hint="eastAsia" w:hAnsi="宋体"/>
          <w:color w:val="0D0D0D"/>
          <w:highlight w:val="none"/>
        </w:rPr>
        <w:t xml:space="preserve"> 元)人民币；</w:t>
      </w:r>
    </w:p>
    <w:p>
      <w:pPr>
        <w:pStyle w:val="28"/>
        <w:snapToGrid w:val="0"/>
        <w:spacing w:before="120" w:after="120" w:line="360" w:lineRule="auto"/>
        <w:rPr>
          <w:rFonts w:hint="eastAsia" w:hAnsi="宋体"/>
          <w:color w:val="0D0D0D"/>
          <w:highlight w:val="none"/>
        </w:rPr>
      </w:pPr>
      <w:r>
        <w:rPr>
          <w:rFonts w:hint="eastAsia" w:hAnsi="宋体"/>
          <w:color w:val="0D0D0D"/>
          <w:highlight w:val="none"/>
        </w:rPr>
        <w:t>其中税金为人民币(大写)：</w:t>
      </w:r>
      <w:r>
        <w:rPr>
          <w:rFonts w:hint="eastAsia" w:hAnsi="宋体"/>
          <w:color w:val="0D0D0D"/>
          <w:highlight w:val="none"/>
          <w:u w:val="single"/>
        </w:rPr>
        <w:t xml:space="preserve">                    </w:t>
      </w:r>
      <w:r>
        <w:rPr>
          <w:rFonts w:hint="eastAsia" w:hAnsi="宋体"/>
          <w:color w:val="0D0D0D"/>
          <w:highlight w:val="none"/>
        </w:rPr>
        <w:t xml:space="preserve">元(￥ </w:t>
      </w:r>
      <w:r>
        <w:rPr>
          <w:rFonts w:hint="eastAsia" w:hAnsi="宋体"/>
          <w:color w:val="0D0D0D"/>
          <w:highlight w:val="none"/>
          <w:u w:val="single"/>
        </w:rPr>
        <w:t xml:space="preserve">           </w:t>
      </w:r>
      <w:r>
        <w:rPr>
          <w:rFonts w:hint="eastAsia" w:hAnsi="宋体"/>
          <w:color w:val="0D0D0D"/>
          <w:highlight w:val="none"/>
        </w:rPr>
        <w:t xml:space="preserve"> 元)人民币。</w:t>
      </w:r>
    </w:p>
    <w:p>
      <w:pPr>
        <w:pStyle w:val="28"/>
        <w:snapToGrid w:val="0"/>
        <w:spacing w:before="120" w:after="120" w:line="360" w:lineRule="auto"/>
        <w:rPr>
          <w:rFonts w:hint="eastAsia" w:hAnsi="宋体" w:eastAsia="宋体"/>
          <w:color w:val="0C0C0C"/>
          <w:highlight w:val="none"/>
          <w:lang w:eastAsia="zh-CN"/>
        </w:rPr>
      </w:pPr>
      <w:r>
        <w:rPr>
          <w:rFonts w:hint="eastAsia" w:hAnsi="宋体"/>
          <w:color w:val="0C0C0C"/>
          <w:highlight w:val="none"/>
          <w:lang w:eastAsia="zh-CN"/>
        </w:rPr>
        <w:t>（如遇国家对行业增值税税率进行调整，则不含税金额按照本合同相应不含税价执行，增值税税率及增值税金额根据政策做相应调整。）</w:t>
      </w:r>
    </w:p>
    <w:tbl>
      <w:tblPr>
        <w:tblStyle w:val="46"/>
        <w:tblW w:w="9198" w:type="dxa"/>
        <w:tblInd w:w="28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21"/>
        <w:gridCol w:w="2902"/>
        <w:gridCol w:w="1905"/>
        <w:gridCol w:w="1252"/>
        <w:gridCol w:w="1159"/>
        <w:gridCol w:w="115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788" w:hRule="atLeast"/>
        </w:trPr>
        <w:tc>
          <w:tcPr>
            <w:tcW w:w="8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360" w:lineRule="auto"/>
              <w:jc w:val="center"/>
              <w:textAlignment w:val="center"/>
              <w:rPr>
                <w:rFonts w:hint="eastAsia" w:ascii="宋体" w:hAnsi="宋体" w:cs="Arial"/>
                <w:bCs/>
                <w:color w:val="0C0C0C"/>
                <w:sz w:val="21"/>
                <w:szCs w:val="21"/>
                <w:highlight w:val="none"/>
              </w:rPr>
            </w:pPr>
            <w:r>
              <w:rPr>
                <w:rFonts w:hint="eastAsia" w:ascii="宋体" w:hAnsi="宋体" w:eastAsia="宋体" w:cs="宋体"/>
                <w:i w:val="0"/>
                <w:color w:val="000000"/>
                <w:kern w:val="0"/>
                <w:sz w:val="22"/>
                <w:szCs w:val="22"/>
                <w:highlight w:val="none"/>
                <w:u w:val="none"/>
                <w:lang w:val="en-US" w:eastAsia="zh-CN" w:bidi="ar"/>
              </w:rPr>
              <w:t>序号</w:t>
            </w:r>
          </w:p>
        </w:tc>
        <w:tc>
          <w:tcPr>
            <w:tcW w:w="290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cs="Arial"/>
                <w:bCs/>
                <w:color w:val="0C0C0C"/>
                <w:sz w:val="21"/>
                <w:szCs w:val="21"/>
                <w:highlight w:val="none"/>
              </w:rPr>
            </w:pPr>
            <w:r>
              <w:rPr>
                <w:rFonts w:hint="eastAsia" w:ascii="宋体" w:hAnsi="宋体" w:eastAsia="宋体" w:cs="宋体"/>
                <w:i w:val="0"/>
                <w:color w:val="000000"/>
                <w:kern w:val="0"/>
                <w:sz w:val="22"/>
                <w:szCs w:val="22"/>
                <w:highlight w:val="none"/>
                <w:u w:val="none"/>
                <w:lang w:val="en-US" w:eastAsia="zh-CN" w:bidi="ar"/>
              </w:rPr>
              <w:t>材料名称</w:t>
            </w:r>
          </w:p>
        </w:tc>
        <w:tc>
          <w:tcPr>
            <w:tcW w:w="1905" w:type="dxa"/>
            <w:tcBorders>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cs="Arial"/>
                <w:bCs/>
                <w:color w:val="0C0C0C"/>
                <w:sz w:val="21"/>
                <w:szCs w:val="21"/>
                <w:highlight w:val="none"/>
              </w:rPr>
            </w:pPr>
            <w:r>
              <w:rPr>
                <w:rFonts w:hint="eastAsia" w:ascii="宋体" w:hAnsi="宋体" w:eastAsia="宋体" w:cs="宋体"/>
                <w:i w:val="0"/>
                <w:color w:val="000000"/>
                <w:kern w:val="0"/>
                <w:sz w:val="22"/>
                <w:szCs w:val="22"/>
                <w:highlight w:val="none"/>
                <w:u w:val="none"/>
                <w:lang w:val="en-US" w:eastAsia="zh-CN" w:bidi="ar"/>
              </w:rPr>
              <w:t>规格</w:t>
            </w:r>
          </w:p>
        </w:tc>
        <w:tc>
          <w:tcPr>
            <w:tcW w:w="1252" w:type="dxa"/>
            <w:tcBorders>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cs="Arial"/>
                <w:bCs/>
                <w:color w:val="0C0C0C"/>
                <w:sz w:val="21"/>
                <w:szCs w:val="21"/>
                <w:highlight w:val="none"/>
              </w:rPr>
            </w:pPr>
            <w:r>
              <w:rPr>
                <w:rFonts w:hint="eastAsia" w:ascii="宋体" w:hAnsi="宋体" w:eastAsia="宋体" w:cs="宋体"/>
                <w:i w:val="0"/>
                <w:color w:val="000000"/>
                <w:kern w:val="0"/>
                <w:sz w:val="22"/>
                <w:szCs w:val="22"/>
                <w:highlight w:val="none"/>
                <w:u w:val="none"/>
                <w:lang w:val="en-US" w:eastAsia="zh-CN" w:bidi="ar"/>
              </w:rPr>
              <w:t>工程量</w:t>
            </w:r>
          </w:p>
        </w:tc>
        <w:tc>
          <w:tcPr>
            <w:tcW w:w="1159" w:type="dxa"/>
            <w:tcBorders>
              <w:left w:val="single" w:color="auto" w:sz="4" w:space="0"/>
              <w:bottom w:val="single" w:color="auto" w:sz="4" w:space="0"/>
              <w:right w:val="single" w:color="auto" w:sz="4" w:space="0"/>
            </w:tcBorders>
            <w:noWrap w:val="0"/>
            <w:vAlign w:val="center"/>
          </w:tcPr>
          <w:p>
            <w:pPr>
              <w:pStyle w:val="28"/>
              <w:spacing w:before="120" w:after="120" w:line="360" w:lineRule="auto"/>
              <w:jc w:val="center"/>
              <w:rPr>
                <w:rFonts w:hint="eastAsia" w:ascii="宋体" w:hAnsi="宋体" w:cs="Arial"/>
                <w:bCs/>
                <w:color w:val="0C0C0C"/>
                <w:sz w:val="21"/>
                <w:szCs w:val="21"/>
                <w:highlight w:val="none"/>
              </w:rPr>
            </w:pPr>
            <w:r>
              <w:rPr>
                <w:rFonts w:hint="eastAsia" w:hAnsi="宋体" w:cs="Arial"/>
                <w:bCs/>
                <w:color w:val="0C0C0C"/>
                <w:sz w:val="21"/>
                <w:szCs w:val="21"/>
                <w:highlight w:val="none"/>
              </w:rPr>
              <w:t>单价（元）</w:t>
            </w:r>
          </w:p>
        </w:tc>
        <w:tc>
          <w:tcPr>
            <w:tcW w:w="1159" w:type="dxa"/>
            <w:tcBorders>
              <w:left w:val="single" w:color="auto" w:sz="4" w:space="0"/>
              <w:bottom w:val="single" w:color="auto" w:sz="4" w:space="0"/>
              <w:right w:val="single" w:color="auto" w:sz="4" w:space="0"/>
            </w:tcBorders>
            <w:noWrap w:val="0"/>
            <w:vAlign w:val="center"/>
          </w:tcPr>
          <w:p>
            <w:pPr>
              <w:pStyle w:val="28"/>
              <w:spacing w:before="120" w:after="120" w:line="360" w:lineRule="auto"/>
              <w:jc w:val="center"/>
              <w:rPr>
                <w:rFonts w:hint="eastAsia" w:ascii="宋体" w:hAnsi="宋体" w:cs="Arial"/>
                <w:bCs/>
                <w:color w:val="0C0C0C"/>
                <w:sz w:val="21"/>
                <w:szCs w:val="21"/>
                <w:highlight w:val="none"/>
              </w:rPr>
            </w:pPr>
            <w:r>
              <w:rPr>
                <w:rFonts w:hint="eastAsia" w:hAnsi="宋体" w:cs="Arial"/>
                <w:bCs/>
                <w:color w:val="0C0C0C"/>
                <w:sz w:val="21"/>
                <w:szCs w:val="21"/>
                <w:highlight w:val="none"/>
              </w:rPr>
              <w:t>总价（元）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5" w:hRule="atLeast"/>
        </w:trPr>
        <w:tc>
          <w:tcPr>
            <w:tcW w:w="8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cs="Arial"/>
                <w:bCs/>
                <w:sz w:val="21"/>
                <w:szCs w:val="21"/>
                <w:highlight w:val="none"/>
              </w:rPr>
            </w:pPr>
            <w:r>
              <w:rPr>
                <w:rFonts w:hint="eastAsia" w:ascii="宋体" w:hAnsi="宋体" w:eastAsia="宋体" w:cs="宋体"/>
                <w:i w:val="0"/>
                <w:color w:val="000000"/>
                <w:kern w:val="0"/>
                <w:sz w:val="22"/>
                <w:szCs w:val="22"/>
                <w:highlight w:val="none"/>
                <w:u w:val="none"/>
                <w:lang w:val="en-US" w:eastAsia="zh-CN" w:bidi="ar"/>
              </w:rPr>
              <w:t>1</w:t>
            </w:r>
          </w:p>
        </w:tc>
        <w:tc>
          <w:tcPr>
            <w:tcW w:w="290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cs="宋体"/>
                <w:color w:val="000000"/>
                <w:kern w:val="0"/>
                <w:sz w:val="22"/>
                <w:szCs w:val="22"/>
                <w:highlight w:val="none"/>
                <w:lang w:bidi="ar"/>
              </w:rPr>
            </w:pPr>
            <w:r>
              <w:rPr>
                <w:rFonts w:hint="eastAsia" w:ascii="宋体" w:hAnsi="宋体" w:eastAsia="宋体" w:cs="宋体"/>
                <w:i w:val="0"/>
                <w:color w:val="000000"/>
                <w:kern w:val="0"/>
                <w:sz w:val="22"/>
                <w:szCs w:val="22"/>
                <w:highlight w:val="none"/>
                <w:u w:val="none"/>
                <w:lang w:val="en-US" w:eastAsia="zh-CN" w:bidi="ar"/>
              </w:rPr>
              <w:t>石粉（水泥稳定层用料）</w:t>
            </w:r>
          </w:p>
        </w:tc>
        <w:tc>
          <w:tcPr>
            <w:tcW w:w="19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cs="宋体"/>
                <w:kern w:val="0"/>
                <w:sz w:val="22"/>
                <w:szCs w:val="22"/>
                <w:highlight w:val="none"/>
                <w:lang w:bidi="ar"/>
              </w:rPr>
            </w:pPr>
            <w:r>
              <w:rPr>
                <w:rFonts w:hint="eastAsia" w:ascii="宋体" w:hAnsi="宋体" w:eastAsia="宋体" w:cs="宋体"/>
                <w:i w:val="0"/>
                <w:color w:val="000000"/>
                <w:kern w:val="0"/>
                <w:sz w:val="22"/>
                <w:szCs w:val="22"/>
                <w:highlight w:val="none"/>
                <w:u w:val="none"/>
                <w:lang w:val="en-US" w:eastAsia="zh-CN" w:bidi="ar"/>
              </w:rPr>
              <w:t>含泥量≤3％</w:t>
            </w:r>
          </w:p>
        </w:tc>
        <w:tc>
          <w:tcPr>
            <w:tcW w:w="12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cs="宋体"/>
                <w:color w:val="000000"/>
                <w:kern w:val="0"/>
                <w:sz w:val="22"/>
                <w:szCs w:val="22"/>
                <w:highlight w:val="none"/>
                <w:lang w:bidi="ar"/>
              </w:rPr>
            </w:pPr>
            <w:r>
              <w:rPr>
                <w:rFonts w:hint="eastAsia" w:ascii="宋体" w:hAnsi="宋体" w:cs="宋体"/>
                <w:i w:val="0"/>
                <w:color w:val="000000"/>
                <w:kern w:val="0"/>
                <w:sz w:val="22"/>
                <w:szCs w:val="22"/>
                <w:highlight w:val="none"/>
                <w:u w:val="none"/>
                <w:lang w:val="en-US" w:eastAsia="zh-CN" w:bidi="ar"/>
              </w:rPr>
              <w:t>1500</w:t>
            </w:r>
            <w:r>
              <w:rPr>
                <w:rFonts w:hint="eastAsia" w:ascii="宋体" w:hAnsi="宋体" w:eastAsia="宋体" w:cs="宋体"/>
                <w:i w:val="0"/>
                <w:color w:val="000000"/>
                <w:kern w:val="0"/>
                <w:sz w:val="22"/>
                <w:szCs w:val="22"/>
                <w:highlight w:val="none"/>
                <w:u w:val="none"/>
                <w:lang w:val="en-US" w:eastAsia="zh-CN" w:bidi="ar"/>
              </w:rPr>
              <w:t>t</w:t>
            </w:r>
          </w:p>
        </w:tc>
        <w:tc>
          <w:tcPr>
            <w:tcW w:w="11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24"/>
                <w:szCs w:val="24"/>
                <w:highlight w:val="none"/>
                <w:u w:val="none"/>
                <w:lang w:val="en-US" w:eastAsia="zh-CN" w:bidi="ar"/>
              </w:rPr>
            </w:pPr>
          </w:p>
        </w:tc>
        <w:tc>
          <w:tcPr>
            <w:tcW w:w="11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24"/>
                <w:szCs w:val="24"/>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7" w:hRule="atLeast"/>
        </w:trPr>
        <w:tc>
          <w:tcPr>
            <w:tcW w:w="9198" w:type="dxa"/>
            <w:gridSpan w:val="6"/>
            <w:tcBorders>
              <w:top w:val="single" w:color="auto" w:sz="4" w:space="0"/>
              <w:left w:val="single" w:color="auto" w:sz="4" w:space="0"/>
              <w:right w:val="single" w:color="auto" w:sz="4" w:space="0"/>
            </w:tcBorders>
            <w:noWrap w:val="0"/>
            <w:vAlign w:val="center"/>
          </w:tcPr>
          <w:p>
            <w:pPr>
              <w:keepNext w:val="0"/>
              <w:keepLines w:val="0"/>
              <w:widowControl/>
              <w:suppressLineNumbers w:val="0"/>
              <w:spacing w:line="360" w:lineRule="auto"/>
              <w:jc w:val="both"/>
              <w:textAlignment w:val="center"/>
              <w:rPr>
                <w:rFonts w:hint="default"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highlight w:val="none"/>
                <w:u w:val="none"/>
                <w:lang w:val="en-US" w:eastAsia="zh-CN" w:bidi="ar"/>
              </w:rPr>
              <w:t>合同总价=</w:t>
            </w:r>
            <w:r>
              <w:rPr>
                <w:rFonts w:hint="eastAsia" w:ascii="宋体" w:hAnsi="宋体" w:eastAsia="宋体" w:cs="宋体"/>
                <w:i w:val="0"/>
                <w:color w:val="000000"/>
                <w:kern w:val="0"/>
                <w:sz w:val="22"/>
                <w:szCs w:val="22"/>
                <w:highlight w:val="none"/>
                <w:u w:val="single"/>
                <w:lang w:val="en-US" w:eastAsia="zh-CN" w:bidi="ar"/>
              </w:rPr>
              <w:t xml:space="preserve">          </w:t>
            </w:r>
            <w:r>
              <w:rPr>
                <w:rFonts w:hint="eastAsia" w:ascii="宋体" w:hAnsi="宋体" w:eastAsia="宋体" w:cs="宋体"/>
                <w:i w:val="0"/>
                <w:color w:val="000000"/>
                <w:kern w:val="0"/>
                <w:sz w:val="22"/>
                <w:szCs w:val="22"/>
                <w:highlight w:val="none"/>
                <w:u w:val="none"/>
                <w:lang w:val="en-US" w:eastAsia="zh-CN" w:bidi="ar"/>
              </w:rPr>
              <w:t xml:space="preserve"> 元</w:t>
            </w:r>
          </w:p>
        </w:tc>
      </w:tr>
    </w:tbl>
    <w:p>
      <w:pPr>
        <w:pStyle w:val="28"/>
        <w:snapToGrid w:val="0"/>
        <w:spacing w:before="120" w:beforeLines="0" w:after="120" w:afterLines="0" w:line="360" w:lineRule="auto"/>
        <w:rPr>
          <w:rFonts w:hint="eastAsia" w:hAnsi="宋体"/>
          <w:color w:val="0C0C0C"/>
          <w:szCs w:val="21"/>
          <w:highlight w:val="none"/>
        </w:rPr>
      </w:pPr>
      <w:r>
        <w:rPr>
          <w:rFonts w:hint="eastAsia" w:hAnsi="宋体"/>
          <w:color w:val="0C0C0C"/>
          <w:szCs w:val="21"/>
          <w:highlight w:val="none"/>
        </w:rPr>
        <w:t>建议单价保留小数点后两位，总价保留整数。</w:t>
      </w:r>
    </w:p>
    <w:p>
      <w:pPr>
        <w:pStyle w:val="28"/>
        <w:snapToGrid w:val="0"/>
        <w:spacing w:before="120" w:beforeLines="0" w:after="120" w:afterLines="0" w:line="360" w:lineRule="auto"/>
        <w:rPr>
          <w:rFonts w:hint="eastAsia" w:hAnsi="宋体"/>
          <w:color w:val="0C0C0C"/>
          <w:highlight w:val="none"/>
        </w:rPr>
      </w:pPr>
      <w:r>
        <w:rPr>
          <w:rFonts w:hint="eastAsia" w:hAnsi="宋体"/>
          <w:color w:val="0C0C0C"/>
          <w:highlight w:val="none"/>
        </w:rPr>
        <w:t>2.2 交货货物数量由</w:t>
      </w:r>
      <w:r>
        <w:rPr>
          <w:rFonts w:hint="eastAsia" w:hAnsi="宋体"/>
          <w:color w:val="0C0C0C"/>
          <w:highlight w:val="none"/>
          <w:lang w:eastAsia="zh-CN"/>
        </w:rPr>
        <w:t>乙方</w:t>
      </w:r>
      <w:r>
        <w:rPr>
          <w:rFonts w:hint="eastAsia" w:hAnsi="宋体"/>
          <w:color w:val="0C0C0C"/>
          <w:highlight w:val="none"/>
        </w:rPr>
        <w:t>计量，</w:t>
      </w:r>
      <w:r>
        <w:rPr>
          <w:rFonts w:hint="eastAsia" w:hAnsi="宋体"/>
          <w:color w:val="0C0C0C"/>
          <w:highlight w:val="none"/>
          <w:lang w:eastAsia="zh-CN"/>
        </w:rPr>
        <w:t>甲方</w:t>
      </w:r>
      <w:r>
        <w:rPr>
          <w:rFonts w:hint="eastAsia" w:hAnsi="宋体"/>
          <w:color w:val="0C0C0C"/>
          <w:highlight w:val="none"/>
        </w:rPr>
        <w:t>及有关部门核准，</w:t>
      </w:r>
      <w:r>
        <w:rPr>
          <w:rFonts w:hint="eastAsia" w:hAnsi="宋体"/>
          <w:color w:val="0C0C0C"/>
          <w:highlight w:val="none"/>
          <w:lang w:eastAsia="zh-CN"/>
        </w:rPr>
        <w:t>工程量</w:t>
      </w:r>
      <w:r>
        <w:rPr>
          <w:rFonts w:hint="eastAsia" w:hAnsi="宋体"/>
          <w:color w:val="0C0C0C"/>
          <w:highlight w:val="none"/>
        </w:rPr>
        <w:t>按实结算。</w:t>
      </w:r>
    </w:p>
    <w:p>
      <w:pPr>
        <w:pStyle w:val="28"/>
        <w:snapToGrid w:val="0"/>
        <w:spacing w:before="120" w:beforeLines="0" w:after="120" w:afterLines="0" w:line="420" w:lineRule="exact"/>
        <w:rPr>
          <w:rFonts w:hint="eastAsia" w:hAnsi="宋体" w:eastAsia="宋体" w:cs="Times New Roman"/>
          <w:color w:val="0C0C0C"/>
          <w:highlight w:val="none"/>
          <w:lang w:val="en-US" w:eastAsia="zh-CN"/>
        </w:rPr>
      </w:pPr>
      <w:r>
        <w:rPr>
          <w:rFonts w:hint="eastAsia" w:hAnsi="宋体" w:eastAsia="宋体" w:cs="Times New Roman"/>
          <w:color w:val="0C0C0C"/>
          <w:highlight w:val="none"/>
          <w:lang w:val="en-US" w:eastAsia="zh-CN"/>
        </w:rPr>
        <w:t>2.3 合同期内，</w:t>
      </w:r>
      <w:r>
        <w:rPr>
          <w:rFonts w:hint="eastAsia" w:hAnsi="宋体" w:cs="Times New Roman"/>
          <w:color w:val="0C0C0C"/>
          <w:highlight w:val="none"/>
          <w:lang w:val="en-US" w:eastAsia="zh-CN"/>
        </w:rPr>
        <w:t>如石粉</w:t>
      </w:r>
      <w:r>
        <w:rPr>
          <w:rFonts w:hint="eastAsia" w:hAnsi="宋体" w:eastAsia="宋体" w:cs="Times New Roman"/>
          <w:color w:val="0C0C0C"/>
          <w:highlight w:val="none"/>
          <w:lang w:val="en-US" w:eastAsia="zh-CN"/>
        </w:rPr>
        <w:t>市场价格有波动调整合同结算综合单价，采用以下造价信息对合同结算综合单价进行调整</w:t>
      </w:r>
      <w:r>
        <w:rPr>
          <w:rFonts w:hint="eastAsia" w:hAnsi="宋体"/>
          <w:color w:val="0C0C0C"/>
          <w:szCs w:val="21"/>
          <w:highlight w:val="none"/>
          <w:lang w:val="en-US" w:eastAsia="zh-CN"/>
        </w:rPr>
        <w:t>：</w:t>
      </w:r>
    </w:p>
    <w:p>
      <w:pPr>
        <w:pStyle w:val="28"/>
        <w:snapToGrid w:val="0"/>
        <w:spacing w:before="120" w:beforeLines="0" w:after="120" w:afterLines="0" w:line="240" w:lineRule="auto"/>
        <w:outlineLvl w:val="0"/>
        <w:rPr>
          <w:rFonts w:hint="eastAsia" w:hAnsi="宋体"/>
          <w:color w:val="0C0C0C"/>
          <w:szCs w:val="21"/>
          <w:highlight w:val="none"/>
          <w:lang w:val="en-US" w:eastAsia="zh-CN"/>
        </w:rPr>
      </w:pPr>
      <w:r>
        <w:rPr>
          <w:rFonts w:hint="eastAsia" w:hAnsi="宋体" w:eastAsia="宋体" w:cs="Times New Roman"/>
          <w:color w:val="0C0C0C"/>
          <w:highlight w:val="none"/>
          <w:lang w:val="en-US" w:eastAsia="zh-CN"/>
        </w:rPr>
        <w:t>（1）关于基准价格的约定</w:t>
      </w:r>
      <w:r>
        <w:rPr>
          <w:rFonts w:hint="eastAsia" w:hAnsi="宋体" w:eastAsia="宋体" w:cs="Times New Roman"/>
          <w:color w:val="0000FF"/>
          <w:highlight w:val="none"/>
          <w:lang w:val="en-US" w:eastAsia="zh-CN"/>
        </w:rPr>
        <w:t>：</w:t>
      </w:r>
      <w:r>
        <w:rPr>
          <w:rFonts w:hint="eastAsia" w:hAnsi="宋体"/>
          <w:color w:val="auto"/>
          <w:szCs w:val="21"/>
          <w:highlight w:val="none"/>
          <w:lang w:val="en-US" w:eastAsia="zh-CN"/>
        </w:rPr>
        <w:t>A1=采用《台州造价》（正刊）（工程所在地2024年第11期）</w:t>
      </w:r>
      <w:r>
        <w:rPr>
          <w:rFonts w:hint="eastAsia" w:hAnsi="宋体"/>
          <w:color w:val="0C0C0C"/>
          <w:szCs w:val="21"/>
          <w:highlight w:val="none"/>
          <w:lang w:val="en-US" w:eastAsia="zh-CN"/>
        </w:rPr>
        <w:t>对应材料信息价（含税）</w:t>
      </w:r>
    </w:p>
    <w:p>
      <w:pPr>
        <w:pStyle w:val="28"/>
        <w:snapToGrid w:val="0"/>
        <w:spacing w:before="120" w:beforeLines="0" w:after="120" w:afterLines="0" w:line="420" w:lineRule="exact"/>
        <w:rPr>
          <w:rFonts w:hint="eastAsia" w:hAnsi="宋体" w:eastAsia="宋体" w:cs="Times New Roman"/>
          <w:color w:val="0C0C0C"/>
          <w:highlight w:val="none"/>
          <w:lang w:val="en-US" w:eastAsia="zh-CN"/>
        </w:rPr>
      </w:pPr>
      <w:r>
        <w:rPr>
          <w:rFonts w:hint="eastAsia" w:hAnsi="宋体" w:eastAsia="宋体" w:cs="Times New Roman"/>
          <w:color w:val="0C0C0C"/>
          <w:highlight w:val="none"/>
          <w:lang w:val="en-US" w:eastAsia="zh-CN"/>
        </w:rPr>
        <w:t>（2）市场价格约定：A2=每批次材料供应时，《台州造价》（正刊）（工程所在地）对应材料信息价（含税）；（具体时间以每批次材料供应清单时间为准）</w:t>
      </w:r>
    </w:p>
    <w:p>
      <w:pPr>
        <w:pStyle w:val="28"/>
        <w:snapToGrid w:val="0"/>
        <w:spacing w:before="120" w:beforeLines="0" w:after="120" w:afterLines="0" w:line="420" w:lineRule="exact"/>
        <w:rPr>
          <w:rFonts w:hint="eastAsia" w:hAnsi="宋体" w:eastAsia="宋体" w:cs="Times New Roman"/>
          <w:color w:val="0C0C0C"/>
          <w:highlight w:val="none"/>
          <w:lang w:val="en-US" w:eastAsia="zh-CN"/>
        </w:rPr>
      </w:pPr>
      <w:r>
        <w:rPr>
          <w:rFonts w:hint="eastAsia" w:hAnsi="宋体" w:eastAsia="宋体" w:cs="Times New Roman"/>
          <w:color w:val="0C0C0C"/>
          <w:highlight w:val="none"/>
          <w:lang w:val="en-US" w:eastAsia="zh-CN"/>
        </w:rPr>
        <w:t>（3）调整方法</w:t>
      </w:r>
    </w:p>
    <w:p>
      <w:pPr>
        <w:pStyle w:val="28"/>
        <w:snapToGrid w:val="0"/>
        <w:spacing w:before="120" w:beforeLines="0" w:after="120" w:afterLines="0" w:line="420" w:lineRule="exact"/>
        <w:rPr>
          <w:rFonts w:hint="eastAsia" w:hAnsi="宋体" w:eastAsia="宋体" w:cs="Times New Roman"/>
          <w:color w:val="0C0C0C"/>
          <w:highlight w:val="none"/>
          <w:lang w:val="en-US" w:eastAsia="zh-CN"/>
        </w:rPr>
      </w:pPr>
      <w:r>
        <w:rPr>
          <w:rFonts w:hint="eastAsia" w:hAnsi="宋体" w:eastAsia="宋体" w:cs="Times New Roman"/>
          <w:color w:val="0C0C0C"/>
          <w:highlight w:val="none"/>
          <w:lang w:val="en-US" w:eastAsia="zh-CN"/>
        </w:rPr>
        <w:t>a、当A2＞A1时，结算综合单价按超出的金额调增，即该材料结算综合单价=中标综合单价+（A2-A1)；</w:t>
      </w:r>
    </w:p>
    <w:p>
      <w:pPr>
        <w:pStyle w:val="28"/>
        <w:snapToGrid w:val="0"/>
        <w:spacing w:before="120" w:beforeLines="0" w:after="120" w:afterLines="0" w:line="420" w:lineRule="exact"/>
        <w:rPr>
          <w:rFonts w:hint="eastAsia" w:hAnsi="宋体" w:eastAsia="宋体" w:cs="Times New Roman"/>
          <w:color w:val="0C0C0C"/>
          <w:highlight w:val="none"/>
          <w:lang w:val="en-US" w:eastAsia="zh-CN"/>
        </w:rPr>
      </w:pPr>
      <w:r>
        <w:rPr>
          <w:rFonts w:hint="eastAsia" w:hAnsi="宋体" w:eastAsia="宋体" w:cs="Times New Roman"/>
          <w:color w:val="0C0C0C"/>
          <w:highlight w:val="none"/>
          <w:lang w:val="en-US" w:eastAsia="zh-CN"/>
        </w:rPr>
        <w:t>b、当A2＜A1时，结算综合单价按低于的金额调减，即该材料结算综合单价=中标综合单价-（A1-A2)；</w:t>
      </w:r>
    </w:p>
    <w:p>
      <w:pPr>
        <w:pStyle w:val="28"/>
        <w:snapToGrid w:val="0"/>
        <w:spacing w:before="120" w:beforeLines="0" w:after="120" w:afterLines="0" w:line="420" w:lineRule="exact"/>
        <w:rPr>
          <w:rFonts w:hint="eastAsia" w:hAnsi="宋体" w:eastAsia="宋体" w:cs="Times New Roman"/>
          <w:color w:val="0C0C0C"/>
          <w:highlight w:val="none"/>
          <w:lang w:val="en-US" w:eastAsia="zh-CN"/>
        </w:rPr>
      </w:pPr>
      <w:r>
        <w:rPr>
          <w:rFonts w:hint="eastAsia" w:hAnsi="宋体" w:eastAsia="宋体" w:cs="Times New Roman"/>
          <w:color w:val="0C0C0C"/>
          <w:highlight w:val="none"/>
          <w:lang w:val="en-US" w:eastAsia="zh-CN"/>
        </w:rPr>
        <w:t>c、当A2=A1时，结算单价不作调整；</w:t>
      </w:r>
    </w:p>
    <w:p>
      <w:pPr>
        <w:pStyle w:val="28"/>
        <w:snapToGrid w:val="0"/>
        <w:spacing w:before="120" w:beforeLines="0" w:after="120" w:afterLines="0" w:line="420" w:lineRule="exact"/>
        <w:rPr>
          <w:rFonts w:hint="eastAsia" w:hAnsi="宋体" w:eastAsia="宋体" w:cs="Times New Roman"/>
          <w:color w:val="0C0C0C"/>
          <w:highlight w:val="none"/>
          <w:lang w:val="en-US" w:eastAsia="zh-CN"/>
        </w:rPr>
      </w:pPr>
      <w:r>
        <w:rPr>
          <w:rFonts w:hint="eastAsia" w:hAnsi="宋体" w:eastAsia="宋体" w:cs="Times New Roman"/>
          <w:color w:val="0C0C0C"/>
          <w:highlight w:val="none"/>
          <w:lang w:val="en-US" w:eastAsia="zh-CN"/>
        </w:rPr>
        <w:t>（4）如因乙方原因引起的供货延期，延期期间的材料价格上涨时（与合同工期价格比较），价格不予调整；下跌时，按下跌后的价格调整。</w:t>
      </w:r>
    </w:p>
    <w:p>
      <w:pPr>
        <w:pStyle w:val="28"/>
        <w:snapToGrid w:val="0"/>
        <w:spacing w:before="120" w:beforeLines="0" w:after="120" w:afterLines="0" w:line="420" w:lineRule="exact"/>
        <w:rPr>
          <w:rFonts w:hint="eastAsia" w:hAnsi="宋体"/>
          <w:color w:val="0C0C0C"/>
          <w:highlight w:val="none"/>
        </w:rPr>
      </w:pPr>
      <w:r>
        <w:rPr>
          <w:rFonts w:hint="eastAsia" w:hAnsi="宋体" w:eastAsia="宋体" w:cs="Times New Roman"/>
          <w:color w:val="0C0C0C"/>
          <w:highlight w:val="none"/>
          <w:lang w:val="en-US" w:eastAsia="zh-CN"/>
        </w:rPr>
        <w:t>结算单价均保留整数，小数点前取整数。</w:t>
      </w:r>
    </w:p>
    <w:p>
      <w:pPr>
        <w:pStyle w:val="28"/>
        <w:snapToGrid w:val="0"/>
        <w:spacing w:before="120" w:beforeLines="0" w:after="120" w:afterLines="0" w:line="360" w:lineRule="auto"/>
        <w:rPr>
          <w:rFonts w:hAnsi="宋体"/>
          <w:b/>
          <w:color w:val="0D0D0D"/>
          <w:highlight w:val="none"/>
        </w:rPr>
      </w:pPr>
      <w:r>
        <w:rPr>
          <w:rFonts w:hAnsi="宋体"/>
          <w:b/>
          <w:color w:val="0D0D0D"/>
          <w:highlight w:val="none"/>
        </w:rPr>
        <w:t>三、技术资料</w:t>
      </w:r>
    </w:p>
    <w:p>
      <w:pPr>
        <w:pStyle w:val="28"/>
        <w:snapToGrid w:val="0"/>
        <w:spacing w:before="120" w:beforeLines="0" w:after="120" w:afterLines="0" w:line="360" w:lineRule="auto"/>
        <w:rPr>
          <w:rFonts w:hAnsi="宋体"/>
          <w:color w:val="0D0D0D"/>
          <w:highlight w:val="none"/>
        </w:rPr>
      </w:pPr>
      <w:r>
        <w:rPr>
          <w:rFonts w:hAnsi="宋体"/>
          <w:color w:val="0D0D0D"/>
          <w:highlight w:val="none"/>
        </w:rPr>
        <w:t>3.1</w:t>
      </w:r>
      <w:r>
        <w:rPr>
          <w:rFonts w:hint="eastAsia" w:hAnsi="宋体"/>
          <w:color w:val="0D0D0D"/>
          <w:highlight w:val="none"/>
          <w:lang w:val="en-US" w:eastAsia="zh-CN"/>
        </w:rPr>
        <w:t xml:space="preserve"> </w:t>
      </w:r>
      <w:r>
        <w:rPr>
          <w:rFonts w:hAnsi="宋体"/>
          <w:color w:val="0D0D0D"/>
          <w:highlight w:val="none"/>
        </w:rPr>
        <w:t>乙方应按招标文件规定的时间向甲方提供使用货物的有关技术资料。</w:t>
      </w:r>
    </w:p>
    <w:p>
      <w:pPr>
        <w:pStyle w:val="28"/>
        <w:snapToGrid w:val="0"/>
        <w:spacing w:before="120" w:beforeLines="0" w:after="120" w:afterLines="0" w:line="360" w:lineRule="auto"/>
        <w:rPr>
          <w:rFonts w:hAnsi="宋体"/>
          <w:color w:val="0D0D0D"/>
          <w:highlight w:val="none"/>
        </w:rPr>
      </w:pPr>
      <w:r>
        <w:rPr>
          <w:rFonts w:hAnsi="宋体"/>
          <w:color w:val="0D0D0D"/>
          <w:highlight w:val="none"/>
        </w:rPr>
        <w:t>3.2 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pStyle w:val="28"/>
        <w:snapToGrid w:val="0"/>
        <w:spacing w:before="120" w:beforeLines="0" w:after="120" w:afterLines="0" w:line="360" w:lineRule="auto"/>
        <w:rPr>
          <w:rFonts w:hAnsi="宋体"/>
          <w:b/>
          <w:color w:val="0D0D0D"/>
          <w:highlight w:val="none"/>
        </w:rPr>
      </w:pPr>
      <w:r>
        <w:rPr>
          <w:rFonts w:hAnsi="宋体"/>
          <w:b/>
          <w:color w:val="0D0D0D"/>
          <w:highlight w:val="none"/>
        </w:rPr>
        <w:t>四、知识产权</w:t>
      </w:r>
    </w:p>
    <w:p>
      <w:pPr>
        <w:pStyle w:val="28"/>
        <w:snapToGrid w:val="0"/>
        <w:spacing w:before="120" w:beforeLines="0" w:after="120" w:afterLines="0" w:line="360" w:lineRule="auto"/>
        <w:rPr>
          <w:rFonts w:hAnsi="宋体"/>
          <w:color w:val="0D0D0D"/>
          <w:highlight w:val="none"/>
        </w:rPr>
      </w:pPr>
      <w:r>
        <w:rPr>
          <w:rFonts w:hAnsi="宋体"/>
          <w:color w:val="0D0D0D"/>
          <w:highlight w:val="none"/>
        </w:rPr>
        <w:t>4.1 乙方应保证所提供的货物或其任何一部分均不会侵犯任何第三方的知识产权。</w:t>
      </w:r>
    </w:p>
    <w:p>
      <w:pPr>
        <w:pStyle w:val="28"/>
        <w:snapToGrid w:val="0"/>
        <w:spacing w:before="120" w:beforeLines="0" w:after="120" w:afterLines="0" w:line="360" w:lineRule="auto"/>
        <w:rPr>
          <w:rFonts w:hAnsi="宋体"/>
          <w:b/>
          <w:color w:val="0D0D0D"/>
          <w:highlight w:val="none"/>
        </w:rPr>
      </w:pPr>
      <w:r>
        <w:rPr>
          <w:rFonts w:hAnsi="宋体"/>
          <w:b/>
          <w:color w:val="0D0D0D"/>
          <w:highlight w:val="none"/>
        </w:rPr>
        <w:t>五、产权担保</w:t>
      </w:r>
    </w:p>
    <w:p>
      <w:pPr>
        <w:pStyle w:val="28"/>
        <w:snapToGrid w:val="0"/>
        <w:spacing w:before="120" w:beforeLines="0" w:after="120" w:afterLines="0" w:line="360" w:lineRule="auto"/>
        <w:rPr>
          <w:rFonts w:hAnsi="宋体"/>
          <w:color w:val="0D0D0D"/>
          <w:highlight w:val="none"/>
        </w:rPr>
      </w:pPr>
      <w:r>
        <w:rPr>
          <w:rFonts w:hAnsi="宋体"/>
          <w:color w:val="0D0D0D"/>
          <w:highlight w:val="none"/>
        </w:rPr>
        <w:t>5.1 乙方保证所交付的货物的所有权完全属于乙方且无任何抵押、查封等产权瑕疵。</w:t>
      </w:r>
    </w:p>
    <w:p>
      <w:pPr>
        <w:pStyle w:val="28"/>
        <w:snapToGrid w:val="0"/>
        <w:spacing w:before="120" w:beforeLines="0" w:after="120" w:afterLines="0" w:line="360" w:lineRule="auto"/>
        <w:rPr>
          <w:rFonts w:hAnsi="宋体"/>
          <w:b/>
          <w:color w:val="0D0D0D"/>
          <w:highlight w:val="none"/>
        </w:rPr>
      </w:pPr>
      <w:r>
        <w:rPr>
          <w:rFonts w:hAnsi="宋体"/>
          <w:b/>
          <w:color w:val="0D0D0D"/>
          <w:highlight w:val="none"/>
        </w:rPr>
        <w:t>六、履约保证金</w:t>
      </w:r>
    </w:p>
    <w:p>
      <w:pPr>
        <w:pStyle w:val="28"/>
        <w:snapToGrid w:val="0"/>
        <w:spacing w:before="120" w:beforeLines="0" w:after="120" w:afterLines="0" w:line="360" w:lineRule="auto"/>
        <w:rPr>
          <w:rFonts w:hAnsi="宋体"/>
          <w:color w:val="0D0D0D"/>
          <w:highlight w:val="none"/>
        </w:rPr>
      </w:pPr>
      <w:r>
        <w:rPr>
          <w:rFonts w:hAnsi="宋体"/>
          <w:color w:val="0D0D0D"/>
          <w:highlight w:val="none"/>
        </w:rPr>
        <w:t xml:space="preserve">6.1 </w:t>
      </w:r>
      <w:r>
        <w:rPr>
          <w:rFonts w:hint="eastAsia" w:hAnsi="宋体"/>
          <w:color w:val="0D0D0D"/>
          <w:highlight w:val="none"/>
        </w:rPr>
        <w:t>乙方在合同签订前向甲方缴纳合同履约保证金</w:t>
      </w:r>
      <w:r>
        <w:rPr>
          <w:rFonts w:hint="eastAsia" w:hAnsi="宋体"/>
          <w:b/>
          <w:bCs/>
          <w:color w:val="0D0D0D"/>
          <w:highlight w:val="none"/>
        </w:rPr>
        <w:t>（中标价的5%）</w:t>
      </w:r>
      <w:r>
        <w:rPr>
          <w:rFonts w:hint="eastAsia" w:hAnsi="宋体"/>
          <w:color w:val="0D0D0D"/>
          <w:highlight w:val="none"/>
        </w:rPr>
        <w:t>，在合同履行完毕（验收合格</w:t>
      </w:r>
      <w:r>
        <w:rPr>
          <w:rFonts w:hint="eastAsia" w:hAnsi="宋体"/>
          <w:color w:val="0D0D0D"/>
          <w:highlight w:val="none"/>
          <w:lang w:eastAsia="zh-CN"/>
        </w:rPr>
        <w:t>且付清全部货款</w:t>
      </w:r>
      <w:r>
        <w:rPr>
          <w:rFonts w:hint="eastAsia" w:hAnsi="宋体"/>
          <w:color w:val="0D0D0D"/>
          <w:highlight w:val="none"/>
        </w:rPr>
        <w:t>）后</w:t>
      </w:r>
      <w:r>
        <w:rPr>
          <w:rFonts w:hint="eastAsia" w:hAnsi="宋体"/>
          <w:color w:val="0C0C0C"/>
          <w:highlight w:val="none"/>
          <w:lang w:val="en-US" w:eastAsia="zh-CN"/>
        </w:rPr>
        <w:t>及时</w:t>
      </w:r>
      <w:r>
        <w:rPr>
          <w:rFonts w:hint="eastAsia" w:hAnsi="宋体"/>
          <w:color w:val="0C0C0C"/>
          <w:highlight w:val="none"/>
        </w:rPr>
        <w:t>退还</w:t>
      </w:r>
      <w:r>
        <w:rPr>
          <w:rFonts w:hint="eastAsia" w:hAnsi="宋体"/>
          <w:color w:val="0D0D0D"/>
          <w:highlight w:val="none"/>
        </w:rPr>
        <w:t>。（履约保证金账户：</w:t>
      </w:r>
      <w:r>
        <w:rPr>
          <w:rFonts w:hint="eastAsia" w:hAnsi="宋体"/>
          <w:color w:val="0D0D0D"/>
          <w:highlight w:val="none"/>
          <w:lang w:eastAsia="zh-CN"/>
        </w:rPr>
        <w:t>台州东发建设集团有限公司</w:t>
      </w:r>
      <w:r>
        <w:rPr>
          <w:rFonts w:hint="eastAsia" w:hAnsi="宋体"/>
          <w:color w:val="0D0D0D"/>
          <w:highlight w:val="none"/>
        </w:rPr>
        <w:t>；账号：</w:t>
      </w:r>
      <w:r>
        <w:rPr>
          <w:rFonts w:ascii="宋体" w:hAnsi="宋体" w:cs="Arial"/>
          <w:color w:val="auto"/>
          <w:sz w:val="24"/>
          <w:highlight w:val="none"/>
        </w:rPr>
        <w:t>33050110284009125999</w:t>
      </w:r>
      <w:r>
        <w:rPr>
          <w:rFonts w:hint="eastAsia" w:hAnsi="宋体"/>
          <w:color w:val="0D0D0D"/>
          <w:highlight w:val="none"/>
        </w:rPr>
        <w:t>；行名：</w:t>
      </w:r>
      <w:r>
        <w:rPr>
          <w:rFonts w:hint="eastAsia" w:hAnsi="宋体"/>
          <w:color w:val="0D0D0D"/>
          <w:highlight w:val="none"/>
          <w:lang w:val="en-US" w:eastAsia="zh-CN"/>
        </w:rPr>
        <w:t>建设银行</w:t>
      </w:r>
      <w:r>
        <w:rPr>
          <w:rFonts w:hint="eastAsia" w:hAnsi="宋体"/>
          <w:color w:val="0D0D0D"/>
          <w:highlight w:val="none"/>
        </w:rPr>
        <w:t>台州湾</w:t>
      </w:r>
      <w:r>
        <w:rPr>
          <w:rFonts w:hint="eastAsia" w:hAnsi="宋体"/>
          <w:color w:val="0D0D0D"/>
          <w:highlight w:val="none"/>
          <w:lang w:val="en-US" w:eastAsia="zh-CN"/>
        </w:rPr>
        <w:t>新</w:t>
      </w:r>
      <w:r>
        <w:rPr>
          <w:rFonts w:hint="eastAsia" w:hAnsi="宋体"/>
          <w:color w:val="0D0D0D"/>
          <w:highlight w:val="none"/>
        </w:rPr>
        <w:t>区支行。）</w:t>
      </w:r>
    </w:p>
    <w:p>
      <w:pPr>
        <w:pStyle w:val="28"/>
        <w:snapToGrid w:val="0"/>
        <w:spacing w:before="120" w:beforeLines="0" w:after="120" w:afterLines="0" w:line="360" w:lineRule="auto"/>
        <w:rPr>
          <w:rFonts w:hAnsi="宋体"/>
          <w:b/>
          <w:color w:val="0D0D0D"/>
          <w:highlight w:val="none"/>
        </w:rPr>
      </w:pPr>
      <w:r>
        <w:rPr>
          <w:rFonts w:hAnsi="宋体"/>
          <w:b/>
          <w:color w:val="0D0D0D"/>
          <w:highlight w:val="none"/>
        </w:rPr>
        <w:t>七、转包或分包</w:t>
      </w:r>
    </w:p>
    <w:p>
      <w:pPr>
        <w:pStyle w:val="28"/>
        <w:snapToGrid w:val="0"/>
        <w:spacing w:before="120" w:beforeLines="0" w:after="120" w:afterLines="0" w:line="360" w:lineRule="auto"/>
        <w:rPr>
          <w:rFonts w:hAnsi="宋体"/>
          <w:color w:val="0D0D0D"/>
          <w:highlight w:val="none"/>
        </w:rPr>
      </w:pPr>
      <w:r>
        <w:rPr>
          <w:rFonts w:hAnsi="宋体"/>
          <w:color w:val="0D0D0D"/>
          <w:highlight w:val="none"/>
        </w:rPr>
        <w:t>7.1</w:t>
      </w:r>
      <w:r>
        <w:rPr>
          <w:rFonts w:hint="eastAsia" w:hAnsi="宋体"/>
          <w:color w:val="0D0D0D"/>
          <w:highlight w:val="none"/>
          <w:lang w:val="en-US" w:eastAsia="zh-CN"/>
        </w:rPr>
        <w:t xml:space="preserve"> </w:t>
      </w:r>
      <w:r>
        <w:rPr>
          <w:rFonts w:hAnsi="宋体"/>
          <w:color w:val="0D0D0D"/>
          <w:highlight w:val="none"/>
        </w:rPr>
        <w:t>本合同范围的货物，应由</w:t>
      </w:r>
      <w:r>
        <w:rPr>
          <w:rFonts w:hint="eastAsia" w:hAnsi="宋体"/>
          <w:color w:val="0D0D0D"/>
          <w:highlight w:val="none"/>
          <w:lang w:val="en-US" w:eastAsia="zh-CN"/>
        </w:rPr>
        <w:t>乙方</w:t>
      </w:r>
      <w:r>
        <w:rPr>
          <w:rFonts w:hAnsi="宋体"/>
          <w:color w:val="0D0D0D"/>
          <w:highlight w:val="none"/>
        </w:rPr>
        <w:t>直接供应，不得转让他人供应；</w:t>
      </w:r>
    </w:p>
    <w:p>
      <w:pPr>
        <w:pStyle w:val="28"/>
        <w:snapToGrid w:val="0"/>
        <w:spacing w:before="120" w:beforeLines="0" w:after="120" w:afterLines="0" w:line="360" w:lineRule="auto"/>
        <w:rPr>
          <w:rFonts w:hAnsi="宋体"/>
          <w:color w:val="0D0D0D"/>
          <w:highlight w:val="none"/>
        </w:rPr>
      </w:pPr>
      <w:r>
        <w:rPr>
          <w:rFonts w:hAnsi="宋体"/>
          <w:color w:val="0D0D0D"/>
          <w:highlight w:val="none"/>
        </w:rPr>
        <w:t>7.2 除非得到</w:t>
      </w:r>
      <w:r>
        <w:rPr>
          <w:rFonts w:hint="eastAsia" w:hAnsi="宋体"/>
          <w:color w:val="0D0D0D"/>
          <w:highlight w:val="none"/>
          <w:lang w:val="en-US" w:eastAsia="zh-CN"/>
        </w:rPr>
        <w:t>甲</w:t>
      </w:r>
      <w:r>
        <w:rPr>
          <w:rFonts w:hAnsi="宋体"/>
          <w:color w:val="0D0D0D"/>
          <w:highlight w:val="none"/>
        </w:rPr>
        <w:t>方的书面同意，</w:t>
      </w:r>
      <w:r>
        <w:rPr>
          <w:rFonts w:hint="eastAsia" w:hAnsi="宋体"/>
          <w:color w:val="0D0D0D"/>
          <w:highlight w:val="none"/>
          <w:lang w:val="en-US" w:eastAsia="zh-CN"/>
        </w:rPr>
        <w:t>乙方</w:t>
      </w:r>
      <w:r>
        <w:rPr>
          <w:rFonts w:hAnsi="宋体"/>
          <w:color w:val="0D0D0D"/>
          <w:highlight w:val="none"/>
        </w:rPr>
        <w:t>不得部分分包给他人供应。</w:t>
      </w:r>
    </w:p>
    <w:p>
      <w:pPr>
        <w:pStyle w:val="28"/>
        <w:snapToGrid w:val="0"/>
        <w:spacing w:before="120" w:beforeLines="0" w:after="120" w:afterLines="0" w:line="360" w:lineRule="auto"/>
        <w:rPr>
          <w:rFonts w:hAnsi="宋体"/>
          <w:color w:val="0D0D0D"/>
          <w:highlight w:val="none"/>
        </w:rPr>
      </w:pPr>
      <w:r>
        <w:rPr>
          <w:rFonts w:hAnsi="宋体"/>
          <w:color w:val="0D0D0D"/>
          <w:highlight w:val="none"/>
        </w:rPr>
        <w:t>7.3</w:t>
      </w:r>
      <w:r>
        <w:rPr>
          <w:rFonts w:hint="eastAsia" w:hAnsi="宋体"/>
          <w:color w:val="0D0D0D"/>
          <w:highlight w:val="none"/>
          <w:lang w:val="en-US" w:eastAsia="zh-CN"/>
        </w:rPr>
        <w:t xml:space="preserve"> </w:t>
      </w:r>
      <w:r>
        <w:rPr>
          <w:rFonts w:hAnsi="宋体"/>
          <w:color w:val="0D0D0D"/>
          <w:highlight w:val="none"/>
        </w:rPr>
        <w:t>如有转让和未经需方同意的分包行为，需方有权给予终止合同。</w:t>
      </w:r>
    </w:p>
    <w:p>
      <w:pPr>
        <w:pStyle w:val="28"/>
        <w:snapToGrid w:val="0"/>
        <w:spacing w:before="120" w:beforeLines="0" w:after="120" w:afterLines="0" w:line="360" w:lineRule="auto"/>
        <w:rPr>
          <w:rFonts w:hAnsi="宋体"/>
          <w:b/>
          <w:bCs/>
          <w:color w:val="0D0D0D"/>
          <w:highlight w:val="none"/>
        </w:rPr>
      </w:pPr>
      <w:r>
        <w:rPr>
          <w:rFonts w:hint="eastAsia" w:hAnsi="宋体"/>
          <w:b/>
          <w:bCs/>
          <w:color w:val="0D0D0D"/>
          <w:highlight w:val="none"/>
        </w:rPr>
        <w:t>八</w:t>
      </w:r>
      <w:r>
        <w:rPr>
          <w:rFonts w:hAnsi="宋体"/>
          <w:b/>
          <w:color w:val="0D0D0D"/>
          <w:highlight w:val="none"/>
        </w:rPr>
        <w:t>、</w:t>
      </w:r>
      <w:r>
        <w:rPr>
          <w:rFonts w:hint="eastAsia" w:hAnsi="宋体"/>
          <w:b/>
          <w:bCs/>
          <w:color w:val="0D0D0D"/>
          <w:highlight w:val="none"/>
        </w:rPr>
        <w:t>履约保证金的罚没</w:t>
      </w:r>
    </w:p>
    <w:p>
      <w:pPr>
        <w:pStyle w:val="28"/>
        <w:snapToGrid w:val="0"/>
        <w:spacing w:before="120" w:after="120" w:line="360" w:lineRule="auto"/>
        <w:rPr>
          <w:rFonts w:hint="eastAsia" w:hAnsi="宋体"/>
          <w:color w:val="0D0D0D"/>
          <w:highlight w:val="none"/>
        </w:rPr>
      </w:pPr>
      <w:r>
        <w:rPr>
          <w:rFonts w:hint="eastAsia" w:hAnsi="宋体"/>
          <w:color w:val="0D0D0D"/>
          <w:highlight w:val="none"/>
        </w:rPr>
        <w:t>8.1</w:t>
      </w:r>
      <w:r>
        <w:rPr>
          <w:rFonts w:hint="eastAsia" w:hAnsi="宋体"/>
          <w:color w:val="0D0D0D"/>
          <w:highlight w:val="none"/>
          <w:lang w:val="en-US" w:eastAsia="zh-CN"/>
        </w:rPr>
        <w:t xml:space="preserve"> </w:t>
      </w:r>
      <w:r>
        <w:rPr>
          <w:rFonts w:hint="eastAsia" w:hAnsi="宋体"/>
          <w:color w:val="0D0D0D"/>
          <w:highlight w:val="none"/>
        </w:rPr>
        <w:t>如</w:t>
      </w:r>
      <w:r>
        <w:rPr>
          <w:rFonts w:hint="eastAsia" w:hAnsi="宋体"/>
          <w:color w:val="0D0D0D"/>
          <w:highlight w:val="none"/>
          <w:lang w:eastAsia="zh-CN"/>
        </w:rPr>
        <w:t>乙方</w:t>
      </w:r>
      <w:r>
        <w:rPr>
          <w:rFonts w:hint="eastAsia" w:hAnsi="宋体"/>
          <w:color w:val="0D0D0D"/>
          <w:highlight w:val="none"/>
        </w:rPr>
        <w:t>未能履行合同规定的任何义务给</w:t>
      </w:r>
      <w:r>
        <w:rPr>
          <w:rFonts w:hint="eastAsia" w:hAnsi="宋体"/>
          <w:color w:val="0D0D0D"/>
          <w:highlight w:val="none"/>
          <w:lang w:eastAsia="zh-CN"/>
        </w:rPr>
        <w:t>甲方</w:t>
      </w:r>
      <w:r>
        <w:rPr>
          <w:rFonts w:hint="eastAsia" w:hAnsi="宋体"/>
          <w:color w:val="0D0D0D"/>
          <w:highlight w:val="none"/>
        </w:rPr>
        <w:t>造成直接或间接损失的，</w:t>
      </w:r>
      <w:r>
        <w:rPr>
          <w:rFonts w:hint="eastAsia" w:hAnsi="宋体"/>
          <w:color w:val="0D0D0D"/>
          <w:highlight w:val="none"/>
          <w:lang w:eastAsia="zh-CN"/>
        </w:rPr>
        <w:t>甲方</w:t>
      </w:r>
      <w:r>
        <w:rPr>
          <w:rFonts w:hint="eastAsia" w:hAnsi="宋体"/>
          <w:color w:val="0D0D0D"/>
          <w:highlight w:val="none"/>
        </w:rPr>
        <w:t>有权直接从履约保证金中予以补偿。</w:t>
      </w:r>
    </w:p>
    <w:p>
      <w:pPr>
        <w:pStyle w:val="28"/>
        <w:snapToGrid w:val="0"/>
        <w:spacing w:before="120" w:after="120" w:line="360" w:lineRule="auto"/>
        <w:rPr>
          <w:rFonts w:hint="eastAsia" w:hAnsi="宋体"/>
          <w:color w:val="0D0D0D"/>
          <w:highlight w:val="none"/>
        </w:rPr>
      </w:pPr>
      <w:r>
        <w:rPr>
          <w:rFonts w:hint="eastAsia" w:hAnsi="宋体"/>
          <w:color w:val="0D0D0D"/>
          <w:highlight w:val="none"/>
        </w:rPr>
        <w:t>8.2</w:t>
      </w:r>
      <w:r>
        <w:rPr>
          <w:rFonts w:hint="eastAsia" w:hAnsi="宋体"/>
          <w:color w:val="0D0D0D"/>
          <w:highlight w:val="none"/>
          <w:lang w:val="en-US" w:eastAsia="zh-CN"/>
        </w:rPr>
        <w:t xml:space="preserve"> </w:t>
      </w:r>
      <w:r>
        <w:rPr>
          <w:rFonts w:hint="eastAsia" w:hAnsi="宋体"/>
          <w:color w:val="0D0D0D"/>
          <w:highlight w:val="none"/>
        </w:rPr>
        <w:t>如果</w:t>
      </w:r>
      <w:r>
        <w:rPr>
          <w:rFonts w:hint="eastAsia" w:hAnsi="宋体"/>
          <w:color w:val="0D0D0D"/>
          <w:highlight w:val="none"/>
          <w:lang w:eastAsia="zh-CN"/>
        </w:rPr>
        <w:t>乙方</w:t>
      </w:r>
      <w:r>
        <w:rPr>
          <w:rFonts w:hint="eastAsia" w:hAnsi="宋体"/>
          <w:color w:val="0D0D0D"/>
          <w:highlight w:val="none"/>
        </w:rPr>
        <w:t>拒绝履行合同规定的义务，经催告后在合理期限内仍不履行的，</w:t>
      </w:r>
      <w:r>
        <w:rPr>
          <w:rFonts w:hint="eastAsia" w:hAnsi="宋体"/>
          <w:color w:val="0D0D0D"/>
          <w:highlight w:val="none"/>
          <w:lang w:eastAsia="zh-CN"/>
        </w:rPr>
        <w:t>甲方</w:t>
      </w:r>
      <w:r>
        <w:rPr>
          <w:rFonts w:hint="eastAsia" w:hAnsi="宋体"/>
          <w:color w:val="0D0D0D"/>
          <w:highlight w:val="none"/>
        </w:rPr>
        <w:t>有权没收全部履约保证金，并另行追索违约赔偿金。</w:t>
      </w:r>
    </w:p>
    <w:p>
      <w:pPr>
        <w:pStyle w:val="28"/>
        <w:snapToGrid w:val="0"/>
        <w:spacing w:before="120" w:beforeLines="0" w:after="120" w:afterLines="0" w:line="360" w:lineRule="auto"/>
        <w:rPr>
          <w:rFonts w:hint="eastAsia" w:hAnsi="宋体"/>
          <w:color w:val="0D0D0D"/>
          <w:highlight w:val="none"/>
        </w:rPr>
      </w:pPr>
      <w:r>
        <w:rPr>
          <w:rFonts w:hint="eastAsia" w:hAnsi="宋体"/>
          <w:color w:val="0D0D0D"/>
          <w:highlight w:val="none"/>
        </w:rPr>
        <w:t>8.3</w:t>
      </w:r>
      <w:r>
        <w:rPr>
          <w:rFonts w:hint="eastAsia" w:hAnsi="宋体"/>
          <w:color w:val="0D0D0D"/>
          <w:highlight w:val="none"/>
          <w:lang w:val="en-US" w:eastAsia="zh-CN"/>
        </w:rPr>
        <w:t xml:space="preserve"> </w:t>
      </w:r>
      <w:r>
        <w:rPr>
          <w:rFonts w:hint="eastAsia" w:hAnsi="宋体"/>
          <w:color w:val="0D0D0D"/>
          <w:highlight w:val="none"/>
          <w:lang w:eastAsia="zh-CN"/>
        </w:rPr>
        <w:t>乙方</w:t>
      </w:r>
      <w:r>
        <w:rPr>
          <w:rFonts w:hint="eastAsia" w:hAnsi="宋体"/>
          <w:color w:val="0D0D0D"/>
          <w:highlight w:val="none"/>
        </w:rPr>
        <w:t>提供的货物须和投标报价中所承诺的货物规格、数量、型号等相符（合同中另有规定除外）；对于</w:t>
      </w:r>
      <w:r>
        <w:rPr>
          <w:rFonts w:hint="eastAsia" w:hAnsi="宋体"/>
          <w:color w:val="0D0D0D"/>
          <w:highlight w:val="none"/>
          <w:lang w:eastAsia="zh-CN"/>
        </w:rPr>
        <w:t>乙方</w:t>
      </w:r>
      <w:r>
        <w:rPr>
          <w:rFonts w:hint="eastAsia" w:hAnsi="宋体"/>
          <w:color w:val="0D0D0D"/>
          <w:highlight w:val="none"/>
        </w:rPr>
        <w:t>提供了不符合招标需求中的材料，</w:t>
      </w:r>
      <w:r>
        <w:rPr>
          <w:rFonts w:hint="eastAsia" w:hAnsi="宋体"/>
          <w:color w:val="0D0D0D"/>
          <w:highlight w:val="none"/>
          <w:lang w:eastAsia="zh-CN"/>
        </w:rPr>
        <w:t>甲方</w:t>
      </w:r>
      <w:r>
        <w:rPr>
          <w:rFonts w:hint="eastAsia" w:hAnsi="宋体"/>
          <w:color w:val="0D0D0D"/>
          <w:highlight w:val="none"/>
        </w:rPr>
        <w:t>将不予接收，由此造成的工期延误及损失由</w:t>
      </w:r>
      <w:r>
        <w:rPr>
          <w:rFonts w:hint="eastAsia" w:hAnsi="宋体"/>
          <w:color w:val="0D0D0D"/>
          <w:highlight w:val="none"/>
          <w:lang w:eastAsia="zh-CN"/>
        </w:rPr>
        <w:t>乙方</w:t>
      </w:r>
      <w:r>
        <w:rPr>
          <w:rFonts w:hint="eastAsia" w:hAnsi="宋体"/>
          <w:color w:val="0D0D0D"/>
          <w:highlight w:val="none"/>
        </w:rPr>
        <w:t>自负，</w:t>
      </w:r>
      <w:r>
        <w:rPr>
          <w:rFonts w:hint="eastAsia" w:hAnsi="宋体"/>
          <w:color w:val="0D0D0D"/>
          <w:highlight w:val="none"/>
          <w:lang w:eastAsia="zh-CN"/>
        </w:rPr>
        <w:t>甲方</w:t>
      </w:r>
      <w:r>
        <w:rPr>
          <w:rFonts w:hint="eastAsia" w:hAnsi="宋体"/>
          <w:color w:val="0D0D0D"/>
          <w:highlight w:val="none"/>
        </w:rPr>
        <w:t>除追究</w:t>
      </w:r>
      <w:r>
        <w:rPr>
          <w:rFonts w:hint="eastAsia" w:hAnsi="宋体"/>
          <w:color w:val="0D0D0D"/>
          <w:highlight w:val="none"/>
          <w:lang w:eastAsia="zh-CN"/>
        </w:rPr>
        <w:t>乙方</w:t>
      </w:r>
      <w:r>
        <w:rPr>
          <w:rFonts w:hint="eastAsia" w:hAnsi="宋体"/>
          <w:color w:val="0D0D0D"/>
          <w:highlight w:val="none"/>
        </w:rPr>
        <w:t>责任外，还视实际情况保留没收履约保证金的权利。</w:t>
      </w:r>
    </w:p>
    <w:p>
      <w:pPr>
        <w:pStyle w:val="28"/>
        <w:snapToGrid w:val="0"/>
        <w:spacing w:before="120" w:beforeLines="0" w:after="120" w:afterLines="0" w:line="360" w:lineRule="auto"/>
        <w:rPr>
          <w:rFonts w:hAnsi="宋体"/>
          <w:b/>
          <w:color w:val="0D0D0D"/>
          <w:highlight w:val="none"/>
        </w:rPr>
      </w:pPr>
      <w:r>
        <w:rPr>
          <w:rFonts w:hAnsi="宋体"/>
          <w:b/>
          <w:color w:val="0D0D0D"/>
          <w:highlight w:val="none"/>
        </w:rPr>
        <w:t>九、交货期、交货方式及交货地点</w:t>
      </w:r>
    </w:p>
    <w:p>
      <w:pPr>
        <w:pStyle w:val="28"/>
        <w:snapToGrid w:val="0"/>
        <w:spacing w:before="120" w:beforeLines="0" w:after="120" w:afterLines="0" w:line="360" w:lineRule="auto"/>
        <w:rPr>
          <w:rFonts w:hint="eastAsia" w:ascii="宋体" w:hAnsi="宋体" w:eastAsia="宋体" w:cs="Times New Roman"/>
          <w:color w:val="0D0D0D"/>
          <w:highlight w:val="none"/>
        </w:rPr>
      </w:pPr>
      <w:r>
        <w:rPr>
          <w:rFonts w:hint="eastAsia" w:ascii="宋体" w:hAnsi="宋体" w:eastAsia="宋体" w:cs="Times New Roman"/>
          <w:color w:val="0D0D0D"/>
          <w:highlight w:val="none"/>
          <w:lang w:val="en-US" w:eastAsia="zh-CN"/>
        </w:rPr>
        <w:t>9.</w:t>
      </w:r>
      <w:r>
        <w:rPr>
          <w:rFonts w:hint="eastAsia" w:hAnsi="宋体" w:eastAsia="宋体" w:cs="Times New Roman"/>
          <w:color w:val="0D0D0D"/>
          <w:highlight w:val="none"/>
          <w:lang w:val="en-US" w:eastAsia="zh-CN"/>
        </w:rPr>
        <w:t xml:space="preserve">1 </w:t>
      </w:r>
      <w:r>
        <w:rPr>
          <w:rFonts w:hint="eastAsia" w:ascii="宋体" w:hAnsi="宋体" w:eastAsia="宋体" w:cs="Times New Roman"/>
          <w:color w:val="0D0D0D"/>
          <w:highlight w:val="none"/>
          <w:lang w:val="en-US" w:eastAsia="zh-CN"/>
        </w:rPr>
        <w:t>货物到场时间要求：自收到中标通知书后15个工作日内完成供货；如因项目需要分批次供货的，则每批次货物自接到</w:t>
      </w:r>
      <w:r>
        <w:rPr>
          <w:rFonts w:hint="eastAsia" w:hAnsi="宋体" w:eastAsia="宋体" w:cs="Times New Roman"/>
          <w:color w:val="0D0D0D"/>
          <w:highlight w:val="none"/>
          <w:lang w:val="en-US" w:eastAsia="zh-CN"/>
        </w:rPr>
        <w:t>甲方</w:t>
      </w:r>
      <w:r>
        <w:rPr>
          <w:rFonts w:hint="eastAsia" w:ascii="宋体" w:hAnsi="宋体" w:eastAsia="宋体" w:cs="Times New Roman"/>
          <w:color w:val="0D0D0D"/>
          <w:highlight w:val="none"/>
          <w:lang w:val="en-US" w:eastAsia="zh-CN"/>
        </w:rPr>
        <w:t>通知后3个工作日内完成供货；</w:t>
      </w:r>
    </w:p>
    <w:p>
      <w:pPr>
        <w:pStyle w:val="28"/>
        <w:snapToGrid w:val="0"/>
        <w:spacing w:before="120" w:beforeLines="0" w:after="120" w:afterLines="0" w:line="360" w:lineRule="auto"/>
        <w:rPr>
          <w:rFonts w:hint="eastAsia" w:ascii="宋体" w:hAnsi="宋体" w:eastAsia="宋体" w:cs="Times New Roman"/>
          <w:color w:val="0D0D0D"/>
          <w:highlight w:val="none"/>
        </w:rPr>
      </w:pPr>
      <w:r>
        <w:rPr>
          <w:rFonts w:hint="eastAsia" w:ascii="宋体" w:hAnsi="宋体" w:eastAsia="宋体" w:cs="Times New Roman"/>
          <w:color w:val="0D0D0D"/>
          <w:highlight w:val="none"/>
        </w:rPr>
        <w:t>9.</w:t>
      </w:r>
      <w:r>
        <w:rPr>
          <w:rFonts w:hint="eastAsia" w:hAnsi="宋体" w:eastAsia="宋体" w:cs="Times New Roman"/>
          <w:color w:val="0D0D0D"/>
          <w:highlight w:val="none"/>
          <w:lang w:val="en-US" w:eastAsia="zh-CN"/>
        </w:rPr>
        <w:t xml:space="preserve">2 </w:t>
      </w:r>
      <w:r>
        <w:rPr>
          <w:rFonts w:hint="eastAsia" w:ascii="宋体" w:hAnsi="宋体" w:eastAsia="宋体" w:cs="Times New Roman"/>
          <w:color w:val="0D0D0D"/>
          <w:highlight w:val="none"/>
        </w:rPr>
        <w:t>交货方式：合同期内，乙方完成并交付甲方本次项目所有权；</w:t>
      </w:r>
    </w:p>
    <w:p>
      <w:pPr>
        <w:pStyle w:val="28"/>
        <w:snapToGrid w:val="0"/>
        <w:spacing w:before="120" w:beforeLines="0" w:after="120" w:afterLines="0" w:line="360" w:lineRule="auto"/>
        <w:rPr>
          <w:rFonts w:hint="eastAsia" w:ascii="宋体" w:hAnsi="宋体" w:eastAsia="宋体" w:cs="Times New Roman"/>
          <w:color w:val="0D0D0D"/>
          <w:highlight w:val="none"/>
        </w:rPr>
      </w:pPr>
      <w:r>
        <w:rPr>
          <w:rFonts w:hint="eastAsia" w:ascii="宋体" w:hAnsi="宋体" w:eastAsia="宋体" w:cs="Times New Roman"/>
          <w:color w:val="0D0D0D"/>
          <w:highlight w:val="none"/>
        </w:rPr>
        <w:t>9.</w:t>
      </w:r>
      <w:r>
        <w:rPr>
          <w:rFonts w:hint="eastAsia" w:hAnsi="宋体" w:eastAsia="宋体" w:cs="Times New Roman"/>
          <w:color w:val="0D0D0D"/>
          <w:highlight w:val="none"/>
          <w:lang w:val="en-US" w:eastAsia="zh-CN"/>
        </w:rPr>
        <w:t>3</w:t>
      </w:r>
      <w:r>
        <w:rPr>
          <w:rFonts w:hint="eastAsia" w:ascii="宋体" w:hAnsi="宋体" w:eastAsia="宋体" w:cs="Times New Roman"/>
          <w:color w:val="0D0D0D"/>
          <w:highlight w:val="none"/>
        </w:rPr>
        <w:t xml:space="preserve"> 交货地点：甲方指定地点。</w:t>
      </w:r>
    </w:p>
    <w:p>
      <w:pPr>
        <w:pStyle w:val="28"/>
        <w:snapToGrid w:val="0"/>
        <w:spacing w:before="120" w:beforeLines="0" w:after="120" w:afterLines="0" w:line="360" w:lineRule="auto"/>
        <w:rPr>
          <w:rFonts w:hAnsi="宋体"/>
          <w:b/>
          <w:color w:val="0D0D0D"/>
          <w:highlight w:val="none"/>
        </w:rPr>
      </w:pPr>
      <w:r>
        <w:rPr>
          <w:rFonts w:hAnsi="宋体"/>
          <w:b/>
          <w:color w:val="0D0D0D"/>
          <w:highlight w:val="none"/>
        </w:rPr>
        <w:t>十、货款支付</w:t>
      </w:r>
    </w:p>
    <w:p>
      <w:pPr>
        <w:pStyle w:val="28"/>
        <w:snapToGrid w:val="0"/>
        <w:spacing w:before="120" w:beforeLines="0" w:after="120" w:afterLines="0" w:line="360" w:lineRule="auto"/>
        <w:rPr>
          <w:rFonts w:hAnsi="宋体"/>
          <w:color w:val="0D0D0D"/>
          <w:highlight w:val="none"/>
        </w:rPr>
      </w:pPr>
      <w:r>
        <w:rPr>
          <w:rFonts w:hAnsi="宋体"/>
          <w:color w:val="0D0D0D"/>
          <w:highlight w:val="none"/>
        </w:rPr>
        <w:t>10.1 付款方式：</w:t>
      </w:r>
      <w:r>
        <w:rPr>
          <w:rFonts w:hint="eastAsia" w:ascii="宋体" w:hAnsi="宋体" w:eastAsia="宋体" w:cs="Times New Roman"/>
          <w:color w:val="0C0C0C"/>
          <w:highlight w:val="none"/>
        </w:rPr>
        <w:t>如</w:t>
      </w:r>
      <w:r>
        <w:rPr>
          <w:rFonts w:hint="eastAsia" w:hAnsi="宋体" w:eastAsia="宋体" w:cs="Times New Roman"/>
          <w:color w:val="0C0C0C"/>
          <w:highlight w:val="none"/>
          <w:lang w:eastAsia="zh-CN"/>
        </w:rPr>
        <w:t>乙方</w:t>
      </w:r>
      <w:r>
        <w:rPr>
          <w:rFonts w:hint="eastAsia" w:ascii="宋体" w:hAnsi="宋体" w:eastAsia="宋体" w:cs="Times New Roman"/>
          <w:color w:val="0C0C0C"/>
          <w:highlight w:val="none"/>
        </w:rPr>
        <w:t>在签约前未在规定的时间内提交履约保证金则</w:t>
      </w:r>
      <w:r>
        <w:rPr>
          <w:rFonts w:hint="eastAsia" w:hAnsi="宋体" w:eastAsia="宋体" w:cs="Times New Roman"/>
          <w:color w:val="0C0C0C"/>
          <w:highlight w:val="none"/>
          <w:lang w:eastAsia="zh-CN"/>
        </w:rPr>
        <w:t>甲方</w:t>
      </w:r>
      <w:r>
        <w:rPr>
          <w:rFonts w:hint="eastAsia" w:ascii="宋体" w:hAnsi="宋体" w:eastAsia="宋体" w:cs="Times New Roman"/>
          <w:color w:val="0C0C0C"/>
          <w:highlight w:val="none"/>
        </w:rPr>
        <w:t>有权拒签合同；</w:t>
      </w:r>
      <w:r>
        <w:rPr>
          <w:rFonts w:hint="eastAsia" w:hAnsi="宋体" w:eastAsia="宋体" w:cs="Times New Roman"/>
          <w:color w:val="0C0C0C"/>
          <w:highlight w:val="none"/>
          <w:lang w:eastAsia="zh-CN"/>
        </w:rPr>
        <w:t>乙方</w:t>
      </w:r>
      <w:r>
        <w:rPr>
          <w:rFonts w:hint="eastAsia" w:ascii="宋体" w:hAnsi="宋体" w:eastAsia="宋体" w:cs="Times New Roman"/>
          <w:color w:val="0C0C0C"/>
          <w:highlight w:val="none"/>
        </w:rPr>
        <w:t>完成供货且经</w:t>
      </w:r>
      <w:r>
        <w:rPr>
          <w:rFonts w:hint="eastAsia" w:hAnsi="宋体" w:eastAsia="宋体" w:cs="Times New Roman"/>
          <w:color w:val="0C0C0C"/>
          <w:highlight w:val="none"/>
          <w:lang w:eastAsia="zh-CN"/>
        </w:rPr>
        <w:t>甲方</w:t>
      </w:r>
      <w:r>
        <w:rPr>
          <w:rFonts w:hint="eastAsia" w:ascii="宋体" w:hAnsi="宋体" w:eastAsia="宋体" w:cs="Times New Roman"/>
          <w:color w:val="0C0C0C"/>
          <w:highlight w:val="none"/>
        </w:rPr>
        <w:t>验收合格后，</w:t>
      </w:r>
      <w:r>
        <w:rPr>
          <w:rFonts w:hint="eastAsia" w:hAnsi="宋体" w:eastAsia="宋体" w:cs="Times New Roman"/>
          <w:color w:val="0C0C0C"/>
          <w:highlight w:val="none"/>
          <w:lang w:eastAsia="zh-CN"/>
        </w:rPr>
        <w:t>甲方</w:t>
      </w:r>
      <w:r>
        <w:rPr>
          <w:rFonts w:hint="eastAsia" w:ascii="宋体" w:hAnsi="宋体" w:eastAsia="宋体" w:cs="Times New Roman"/>
          <w:color w:val="0C0C0C"/>
          <w:highlight w:val="none"/>
        </w:rPr>
        <w:t>向</w:t>
      </w:r>
      <w:r>
        <w:rPr>
          <w:rFonts w:hint="eastAsia" w:hAnsi="宋体" w:eastAsia="宋体" w:cs="Times New Roman"/>
          <w:color w:val="0C0C0C"/>
          <w:highlight w:val="none"/>
          <w:lang w:eastAsia="zh-CN"/>
        </w:rPr>
        <w:t>乙方</w:t>
      </w:r>
      <w:r>
        <w:rPr>
          <w:rFonts w:hint="eastAsia" w:ascii="宋体" w:hAnsi="宋体" w:eastAsia="宋体" w:cs="Times New Roman"/>
          <w:color w:val="0C0C0C"/>
          <w:highlight w:val="none"/>
        </w:rPr>
        <w:t>付清实际采购货款；如因项目需要分批次供货的，则每批次货物供货完成并经</w:t>
      </w:r>
      <w:r>
        <w:rPr>
          <w:rFonts w:hint="eastAsia" w:hAnsi="宋体" w:eastAsia="宋体" w:cs="Times New Roman"/>
          <w:color w:val="0C0C0C"/>
          <w:highlight w:val="none"/>
          <w:lang w:eastAsia="zh-CN"/>
        </w:rPr>
        <w:t>甲方</w:t>
      </w:r>
      <w:r>
        <w:rPr>
          <w:rFonts w:hint="eastAsia" w:ascii="宋体" w:hAnsi="宋体" w:eastAsia="宋体" w:cs="Times New Roman"/>
          <w:color w:val="0C0C0C"/>
          <w:highlight w:val="none"/>
        </w:rPr>
        <w:t>验收合格付清实际货款。</w:t>
      </w:r>
    </w:p>
    <w:p>
      <w:pPr>
        <w:pStyle w:val="28"/>
        <w:snapToGrid w:val="0"/>
        <w:spacing w:before="120" w:beforeLines="0" w:after="120" w:afterLines="0" w:line="360" w:lineRule="auto"/>
        <w:rPr>
          <w:rFonts w:hint="eastAsia" w:hAnsi="宋体"/>
          <w:color w:val="0D0D0D"/>
          <w:highlight w:val="none"/>
        </w:rPr>
      </w:pPr>
      <w:r>
        <w:rPr>
          <w:rFonts w:hint="eastAsia" w:hAnsi="宋体"/>
          <w:color w:val="0D0D0D"/>
          <w:highlight w:val="none"/>
        </w:rPr>
        <w:t>10.2</w:t>
      </w:r>
      <w:r>
        <w:rPr>
          <w:rFonts w:hint="eastAsia" w:hAnsi="宋体"/>
          <w:color w:val="0D0D0D"/>
          <w:highlight w:val="none"/>
          <w:lang w:val="en-US" w:eastAsia="zh-CN"/>
        </w:rPr>
        <w:t xml:space="preserve"> </w:t>
      </w:r>
      <w:r>
        <w:rPr>
          <w:rFonts w:hint="eastAsia" w:hAnsi="宋体"/>
          <w:color w:val="0C0C0C"/>
          <w:highlight w:val="none"/>
        </w:rPr>
        <w:t>乙方结算货款时，须开具正规税务增值税</w:t>
      </w:r>
      <w:r>
        <w:rPr>
          <w:rFonts w:hint="eastAsia" w:hAnsi="宋体"/>
          <w:color w:val="0C0C0C"/>
          <w:highlight w:val="none"/>
          <w:lang w:val="en-US" w:eastAsia="zh-CN"/>
        </w:rPr>
        <w:t>专用</w:t>
      </w:r>
      <w:r>
        <w:rPr>
          <w:rFonts w:hint="eastAsia" w:hAnsi="宋体"/>
          <w:color w:val="0C0C0C"/>
          <w:highlight w:val="none"/>
        </w:rPr>
        <w:t>发票。</w:t>
      </w:r>
    </w:p>
    <w:p>
      <w:pPr>
        <w:pStyle w:val="28"/>
        <w:snapToGrid w:val="0"/>
        <w:spacing w:before="120" w:beforeLines="0" w:after="120" w:afterLines="0" w:line="360" w:lineRule="auto"/>
        <w:rPr>
          <w:rFonts w:hint="eastAsia" w:hAnsi="宋体"/>
          <w:color w:val="0D0D0D"/>
          <w:highlight w:val="none"/>
        </w:rPr>
      </w:pPr>
      <w:r>
        <w:rPr>
          <w:rFonts w:hint="eastAsia" w:hAnsi="宋体"/>
          <w:color w:val="0D0D0D"/>
          <w:highlight w:val="none"/>
        </w:rPr>
        <w:t>10.3</w:t>
      </w:r>
      <w:r>
        <w:rPr>
          <w:rFonts w:hint="eastAsia" w:hAnsi="宋体"/>
          <w:color w:val="0D0D0D"/>
          <w:highlight w:val="none"/>
          <w:lang w:val="en-US" w:eastAsia="zh-CN"/>
        </w:rPr>
        <w:t xml:space="preserve"> </w:t>
      </w:r>
      <w:r>
        <w:rPr>
          <w:rFonts w:hint="eastAsia" w:hAnsi="宋体"/>
          <w:color w:val="0D0D0D"/>
          <w:highlight w:val="none"/>
        </w:rPr>
        <w:t>甲方向乙方支付的所有费用均须汇入协议书中指定的</w:t>
      </w:r>
      <w:r>
        <w:rPr>
          <w:rFonts w:hint="eastAsia" w:hAnsi="宋体"/>
          <w:color w:val="0D0D0D"/>
          <w:highlight w:val="none"/>
          <w:lang w:val="en-US" w:eastAsia="zh-CN"/>
        </w:rPr>
        <w:t>乙方</w:t>
      </w:r>
      <w:r>
        <w:rPr>
          <w:rFonts w:hint="eastAsia" w:hAnsi="宋体"/>
          <w:color w:val="0D0D0D"/>
          <w:highlight w:val="none"/>
        </w:rPr>
        <w:t>银行账户。</w:t>
      </w:r>
    </w:p>
    <w:p>
      <w:pPr>
        <w:pStyle w:val="28"/>
        <w:snapToGrid w:val="0"/>
        <w:spacing w:before="120" w:beforeLines="0" w:after="120" w:afterLines="0" w:line="360" w:lineRule="auto"/>
        <w:rPr>
          <w:rFonts w:hint="eastAsia" w:hAnsi="宋体"/>
          <w:b/>
          <w:color w:val="0D0D0D"/>
          <w:highlight w:val="none"/>
        </w:rPr>
      </w:pPr>
      <w:r>
        <w:rPr>
          <w:rFonts w:hAnsi="宋体"/>
          <w:b/>
          <w:color w:val="0D0D0D"/>
          <w:highlight w:val="none"/>
        </w:rPr>
        <w:t>十一.税</w:t>
      </w:r>
      <w:r>
        <w:rPr>
          <w:rFonts w:hint="eastAsia" w:hAnsi="宋体"/>
          <w:b/>
          <w:color w:val="0D0D0D"/>
          <w:highlight w:val="none"/>
        </w:rPr>
        <w:t>费</w:t>
      </w:r>
    </w:p>
    <w:p>
      <w:pPr>
        <w:pStyle w:val="28"/>
        <w:snapToGrid w:val="0"/>
        <w:spacing w:before="120" w:beforeLines="0" w:after="120" w:afterLines="0" w:line="360" w:lineRule="auto"/>
        <w:rPr>
          <w:rFonts w:hAnsi="宋体"/>
          <w:color w:val="0D0D0D"/>
          <w:highlight w:val="none"/>
        </w:rPr>
      </w:pPr>
      <w:r>
        <w:rPr>
          <w:rFonts w:hAnsi="宋体"/>
          <w:color w:val="0D0D0D"/>
          <w:highlight w:val="none"/>
        </w:rPr>
        <w:t>11.1</w:t>
      </w:r>
      <w:r>
        <w:rPr>
          <w:rFonts w:hint="eastAsia" w:hAnsi="宋体"/>
          <w:color w:val="0D0D0D"/>
          <w:highlight w:val="none"/>
          <w:lang w:val="en-US" w:eastAsia="zh-CN"/>
        </w:rPr>
        <w:t xml:space="preserve"> </w:t>
      </w:r>
      <w:r>
        <w:rPr>
          <w:rFonts w:hAnsi="宋体"/>
          <w:color w:val="0D0D0D"/>
          <w:highlight w:val="none"/>
        </w:rPr>
        <w:t>本合同执行中相关的一切税费均由</w:t>
      </w:r>
      <w:r>
        <w:rPr>
          <w:rFonts w:hint="eastAsia" w:hAnsi="宋体"/>
          <w:color w:val="0D0D0D"/>
          <w:highlight w:val="none"/>
          <w:lang w:val="en-US" w:eastAsia="zh-CN"/>
        </w:rPr>
        <w:t>乙</w:t>
      </w:r>
      <w:r>
        <w:rPr>
          <w:rFonts w:hAnsi="宋体"/>
          <w:color w:val="0D0D0D"/>
          <w:highlight w:val="none"/>
        </w:rPr>
        <w:t>方负担。</w:t>
      </w:r>
    </w:p>
    <w:p>
      <w:pPr>
        <w:pStyle w:val="28"/>
        <w:snapToGrid w:val="0"/>
        <w:spacing w:before="120" w:beforeLines="0" w:after="120" w:afterLines="0" w:line="360" w:lineRule="auto"/>
        <w:rPr>
          <w:rFonts w:hAnsi="宋体"/>
          <w:b/>
          <w:color w:val="0D0D0D"/>
          <w:highlight w:val="none"/>
        </w:rPr>
      </w:pPr>
      <w:r>
        <w:rPr>
          <w:rFonts w:hAnsi="宋体"/>
          <w:b/>
          <w:color w:val="0D0D0D"/>
          <w:highlight w:val="none"/>
        </w:rPr>
        <w:t>十二、质量保证及售后服务</w:t>
      </w:r>
    </w:p>
    <w:p>
      <w:pPr>
        <w:pStyle w:val="28"/>
        <w:snapToGrid w:val="0"/>
        <w:spacing w:before="120" w:beforeLines="0" w:after="120" w:afterLines="0" w:line="360" w:lineRule="auto"/>
        <w:rPr>
          <w:rFonts w:hAnsi="宋体"/>
          <w:color w:val="0D0D0D"/>
          <w:highlight w:val="none"/>
        </w:rPr>
      </w:pPr>
      <w:r>
        <w:rPr>
          <w:rFonts w:hAnsi="宋体"/>
          <w:color w:val="0D0D0D"/>
          <w:highlight w:val="none"/>
        </w:rPr>
        <w:t>12.1 乙方应按招标文件规定的货物性能、技术要求、质量标准向甲方提供未经使用的全新产品。</w:t>
      </w:r>
    </w:p>
    <w:p>
      <w:pPr>
        <w:pStyle w:val="28"/>
        <w:snapToGrid w:val="0"/>
        <w:spacing w:before="120" w:beforeLines="0" w:after="120" w:afterLines="0" w:line="360" w:lineRule="auto"/>
        <w:rPr>
          <w:rFonts w:hAnsi="宋体"/>
          <w:color w:val="0D0D0D"/>
          <w:highlight w:val="none"/>
        </w:rPr>
      </w:pPr>
      <w:r>
        <w:rPr>
          <w:rFonts w:hAnsi="宋体"/>
          <w:color w:val="0D0D0D"/>
          <w:highlight w:val="none"/>
        </w:rPr>
        <w:t>12.2 乙方提供的货物在质量期内因货物本身的质量问题发生故障，乙方应负责免费更换。对达不到技术要求者，根据实际情况，经双方协商，可按以下办法处理：</w:t>
      </w:r>
    </w:p>
    <w:p>
      <w:pPr>
        <w:pStyle w:val="28"/>
        <w:snapToGrid w:val="0"/>
        <w:spacing w:before="120" w:beforeLines="0" w:after="120" w:afterLines="0" w:line="360" w:lineRule="auto"/>
        <w:ind w:firstLine="480" w:firstLineChars="200"/>
        <w:rPr>
          <w:rFonts w:hAnsi="宋体"/>
          <w:color w:val="0D0D0D"/>
          <w:highlight w:val="none"/>
        </w:rPr>
      </w:pPr>
      <w:r>
        <w:rPr>
          <w:rFonts w:hAnsi="宋体"/>
          <w:color w:val="0D0D0D"/>
          <w:highlight w:val="none"/>
        </w:rPr>
        <w:t>⑴更换：由乙方承担所发生的全部费用。</w:t>
      </w:r>
    </w:p>
    <w:p>
      <w:pPr>
        <w:pStyle w:val="28"/>
        <w:snapToGrid w:val="0"/>
        <w:spacing w:before="120" w:beforeLines="0" w:after="120" w:afterLines="0" w:line="360" w:lineRule="auto"/>
        <w:ind w:firstLine="480" w:firstLineChars="200"/>
        <w:rPr>
          <w:rFonts w:hAnsi="宋体"/>
          <w:color w:val="0D0D0D"/>
          <w:highlight w:val="none"/>
        </w:rPr>
      </w:pPr>
      <w:r>
        <w:rPr>
          <w:rFonts w:hAnsi="宋体"/>
          <w:color w:val="0D0D0D"/>
          <w:highlight w:val="none"/>
        </w:rPr>
        <w:t>⑵贬值处理：由甲乙双方合议定价。</w:t>
      </w:r>
    </w:p>
    <w:p>
      <w:pPr>
        <w:pStyle w:val="28"/>
        <w:snapToGrid w:val="0"/>
        <w:spacing w:before="120" w:beforeLines="0" w:after="120" w:afterLines="0" w:line="360" w:lineRule="auto"/>
        <w:ind w:firstLine="480" w:firstLineChars="200"/>
        <w:rPr>
          <w:rFonts w:hAnsi="宋体"/>
          <w:color w:val="0D0D0D"/>
          <w:highlight w:val="none"/>
        </w:rPr>
      </w:pPr>
      <w:r>
        <w:rPr>
          <w:rFonts w:hAnsi="宋体"/>
          <w:color w:val="0D0D0D"/>
          <w:highlight w:val="none"/>
        </w:rPr>
        <w:t>⑶退货处理：乙方应退还甲方支付的合同款，同时应承担该货物的直接费用（运输、保险、检验、货款利息及银行手续费等）。</w:t>
      </w:r>
    </w:p>
    <w:p>
      <w:pPr>
        <w:pStyle w:val="28"/>
        <w:snapToGrid w:val="0"/>
        <w:spacing w:before="120" w:beforeLines="0" w:after="120" w:afterLines="0" w:line="360" w:lineRule="auto"/>
        <w:rPr>
          <w:rFonts w:hAnsi="宋体"/>
          <w:color w:val="0D0D0D"/>
          <w:highlight w:val="none"/>
        </w:rPr>
      </w:pPr>
      <w:r>
        <w:rPr>
          <w:rFonts w:hAnsi="宋体"/>
          <w:color w:val="0D0D0D"/>
          <w:highlight w:val="none"/>
        </w:rPr>
        <w:t>12.3 如在使用过程中发生质量问题，乙方在接到甲方通知后在</w:t>
      </w:r>
      <w:r>
        <w:rPr>
          <w:rFonts w:hint="eastAsia" w:hAnsi="宋体"/>
          <w:color w:val="0D0D0D"/>
          <w:highlight w:val="none"/>
          <w:u w:val="single"/>
        </w:rPr>
        <w:t>12</w:t>
      </w:r>
      <w:r>
        <w:rPr>
          <w:rFonts w:hAnsi="宋体"/>
          <w:color w:val="0D0D0D"/>
          <w:highlight w:val="none"/>
        </w:rPr>
        <w:t>小时内到达甲方现场。</w:t>
      </w:r>
    </w:p>
    <w:p>
      <w:pPr>
        <w:pStyle w:val="28"/>
        <w:snapToGrid w:val="0"/>
        <w:spacing w:before="120" w:beforeLines="0" w:after="120" w:afterLines="0" w:line="360" w:lineRule="auto"/>
        <w:rPr>
          <w:rFonts w:hAnsi="宋体"/>
          <w:color w:val="0D0D0D"/>
          <w:highlight w:val="none"/>
        </w:rPr>
      </w:pPr>
      <w:r>
        <w:rPr>
          <w:rFonts w:hAnsi="宋体"/>
          <w:color w:val="0D0D0D"/>
          <w:highlight w:val="none"/>
        </w:rPr>
        <w:t>12.4 在质保期内，乙方应对货物出现的质量及安全问题负责处理解决并承担一切费用。</w:t>
      </w:r>
    </w:p>
    <w:p>
      <w:pPr>
        <w:pStyle w:val="28"/>
        <w:snapToGrid w:val="0"/>
        <w:spacing w:before="120" w:beforeLines="0" w:after="120" w:afterLines="0" w:line="360" w:lineRule="auto"/>
        <w:rPr>
          <w:rFonts w:hAnsi="宋体"/>
          <w:b/>
          <w:color w:val="0D0D0D"/>
          <w:highlight w:val="none"/>
        </w:rPr>
      </w:pPr>
      <w:r>
        <w:rPr>
          <w:rFonts w:hAnsi="宋体"/>
          <w:b/>
          <w:color w:val="0D0D0D"/>
          <w:highlight w:val="none"/>
        </w:rPr>
        <w:t>十三、</w:t>
      </w:r>
      <w:r>
        <w:rPr>
          <w:rFonts w:hint="eastAsia" w:hAnsi="宋体"/>
          <w:b/>
          <w:color w:val="0D0D0D"/>
          <w:highlight w:val="none"/>
        </w:rPr>
        <w:t>货物</w:t>
      </w:r>
      <w:r>
        <w:rPr>
          <w:rFonts w:hAnsi="宋体"/>
          <w:b/>
          <w:color w:val="0D0D0D"/>
          <w:highlight w:val="none"/>
        </w:rPr>
        <w:t>验收</w:t>
      </w:r>
    </w:p>
    <w:p>
      <w:pPr>
        <w:pStyle w:val="28"/>
        <w:snapToGrid w:val="0"/>
        <w:spacing w:before="120" w:beforeLines="0" w:after="120" w:afterLines="0" w:line="360" w:lineRule="auto"/>
        <w:rPr>
          <w:rFonts w:hAnsi="宋体"/>
          <w:color w:val="0D0D0D"/>
          <w:highlight w:val="none"/>
        </w:rPr>
      </w:pPr>
      <w:r>
        <w:rPr>
          <w:rFonts w:hAnsi="宋体"/>
          <w:color w:val="0D0D0D"/>
          <w:highlight w:val="none"/>
        </w:rPr>
        <w:t xml:space="preserve">13.1 </w:t>
      </w:r>
      <w:r>
        <w:rPr>
          <w:rFonts w:hAnsi="宋体"/>
          <w:color w:val="0C0C0C"/>
          <w:highlight w:val="none"/>
        </w:rPr>
        <w:t>甲方对乙方提交的货物依据招标文件上的技术规格要求和国家有关质量标准进行现场初步验收，外观、说明书</w:t>
      </w:r>
      <w:r>
        <w:rPr>
          <w:rFonts w:hint="eastAsia" w:hAnsi="宋体"/>
          <w:color w:val="0C0C0C"/>
          <w:highlight w:val="none"/>
          <w:lang w:eastAsia="zh-CN"/>
        </w:rPr>
        <w:t>、质量检验合格证明等</w:t>
      </w:r>
      <w:r>
        <w:rPr>
          <w:rFonts w:hAnsi="宋体"/>
          <w:color w:val="0C0C0C"/>
          <w:highlight w:val="none"/>
        </w:rPr>
        <w:t>符合招标文件</w:t>
      </w:r>
      <w:r>
        <w:rPr>
          <w:rFonts w:hint="eastAsia" w:hAnsi="宋体"/>
          <w:color w:val="0C0C0C"/>
          <w:highlight w:val="none"/>
          <w:lang w:eastAsia="zh-CN"/>
        </w:rPr>
        <w:t>及相关规范</w:t>
      </w:r>
      <w:r>
        <w:rPr>
          <w:rFonts w:hAnsi="宋体"/>
          <w:color w:val="0C0C0C"/>
          <w:highlight w:val="none"/>
        </w:rPr>
        <w:t>技术要求的，给予签收，初步验收不合格的不予签收。货到后，甲方需在五个工作日内验收。</w:t>
      </w:r>
    </w:p>
    <w:p>
      <w:pPr>
        <w:pStyle w:val="28"/>
        <w:snapToGrid w:val="0"/>
        <w:spacing w:before="120" w:beforeLines="0" w:after="120" w:afterLines="0" w:line="360" w:lineRule="auto"/>
        <w:rPr>
          <w:rFonts w:hAnsi="宋体"/>
          <w:color w:val="0D0D0D"/>
          <w:highlight w:val="none"/>
        </w:rPr>
      </w:pPr>
      <w:r>
        <w:rPr>
          <w:rFonts w:hAnsi="宋体"/>
          <w:color w:val="0D0D0D"/>
          <w:highlight w:val="none"/>
        </w:rPr>
        <w:t>13.2 乙方交货前应对产品作出全面检查和对验收文件进行整理，并列出清单，作为甲方收货验收和使用的技术条件依据，检验的结果应随货物交甲方。</w:t>
      </w:r>
    </w:p>
    <w:p>
      <w:pPr>
        <w:pStyle w:val="28"/>
        <w:snapToGrid w:val="0"/>
        <w:spacing w:before="120" w:beforeLines="0" w:after="120" w:afterLines="0" w:line="360" w:lineRule="auto"/>
        <w:rPr>
          <w:rFonts w:hAnsi="宋体"/>
          <w:color w:val="0D0D0D"/>
          <w:highlight w:val="none"/>
        </w:rPr>
      </w:pPr>
      <w:r>
        <w:rPr>
          <w:rFonts w:hint="eastAsia" w:hAnsi="宋体"/>
          <w:color w:val="0D0D0D"/>
          <w:highlight w:val="none"/>
        </w:rPr>
        <w:t>13.3</w:t>
      </w:r>
      <w:r>
        <w:rPr>
          <w:rFonts w:hint="eastAsia" w:hAnsi="宋体"/>
          <w:color w:val="0D0D0D"/>
          <w:highlight w:val="none"/>
          <w:lang w:val="en-US" w:eastAsia="zh-CN"/>
        </w:rPr>
        <w:t xml:space="preserve"> </w:t>
      </w:r>
      <w:r>
        <w:rPr>
          <w:rFonts w:hint="eastAsia" w:hAnsi="宋体"/>
          <w:color w:val="0D0D0D"/>
          <w:highlight w:val="none"/>
        </w:rPr>
        <w:t>材料到达现场后，必须按照</w:t>
      </w:r>
      <w:r>
        <w:rPr>
          <w:rFonts w:hint="eastAsia" w:hAnsi="宋体"/>
          <w:color w:val="0D0D0D"/>
          <w:highlight w:val="none"/>
          <w:lang w:eastAsia="zh-CN"/>
        </w:rPr>
        <w:t>甲方</w:t>
      </w:r>
      <w:r>
        <w:rPr>
          <w:rFonts w:hint="eastAsia" w:hAnsi="宋体"/>
          <w:color w:val="0D0D0D"/>
          <w:highlight w:val="none"/>
        </w:rPr>
        <w:t>要求运至指定堆放地点，否则</w:t>
      </w:r>
      <w:r>
        <w:rPr>
          <w:rFonts w:hint="eastAsia" w:hAnsi="宋体"/>
          <w:color w:val="0D0D0D"/>
          <w:highlight w:val="none"/>
          <w:lang w:eastAsia="zh-CN"/>
        </w:rPr>
        <w:t>甲方</w:t>
      </w:r>
      <w:r>
        <w:rPr>
          <w:rFonts w:hint="eastAsia" w:hAnsi="宋体"/>
          <w:color w:val="0D0D0D"/>
          <w:highlight w:val="none"/>
        </w:rPr>
        <w:t>有权不予接收，</w:t>
      </w:r>
      <w:r>
        <w:rPr>
          <w:rFonts w:hint="eastAsia" w:hAnsi="宋体"/>
          <w:color w:val="0D0D0D"/>
          <w:highlight w:val="none"/>
          <w:lang w:eastAsia="zh-CN"/>
        </w:rPr>
        <w:t>甲方</w:t>
      </w:r>
      <w:r>
        <w:rPr>
          <w:rFonts w:hint="eastAsia" w:hAnsi="宋体"/>
          <w:color w:val="0D0D0D"/>
          <w:highlight w:val="none"/>
        </w:rPr>
        <w:t>必须派人及时接收材料（否则由此引起的责任由</w:t>
      </w:r>
      <w:r>
        <w:rPr>
          <w:rFonts w:hint="eastAsia" w:hAnsi="宋体"/>
          <w:color w:val="0D0D0D"/>
          <w:highlight w:val="none"/>
          <w:lang w:eastAsia="zh-CN"/>
        </w:rPr>
        <w:t>甲方</w:t>
      </w:r>
      <w:r>
        <w:rPr>
          <w:rFonts w:hint="eastAsia" w:hAnsi="宋体"/>
          <w:color w:val="0D0D0D"/>
          <w:highlight w:val="none"/>
        </w:rPr>
        <w:t>负责），</w:t>
      </w:r>
      <w:r>
        <w:rPr>
          <w:rFonts w:hint="eastAsia" w:hAnsi="宋体"/>
          <w:color w:val="0D0D0D"/>
          <w:highlight w:val="none"/>
          <w:lang w:eastAsia="zh-CN"/>
        </w:rPr>
        <w:t>乙方</w:t>
      </w:r>
      <w:r>
        <w:rPr>
          <w:rFonts w:hint="eastAsia" w:hAnsi="宋体"/>
          <w:color w:val="0D0D0D"/>
          <w:highlight w:val="none"/>
        </w:rPr>
        <w:t>派人到现场与</w:t>
      </w:r>
      <w:r>
        <w:rPr>
          <w:rFonts w:hint="eastAsia" w:hAnsi="宋体"/>
          <w:color w:val="0D0D0D"/>
          <w:highlight w:val="none"/>
          <w:lang w:eastAsia="zh-CN"/>
        </w:rPr>
        <w:t>甲方</w:t>
      </w:r>
      <w:r>
        <w:rPr>
          <w:rFonts w:hint="eastAsia" w:hAnsi="宋体"/>
          <w:color w:val="0D0D0D"/>
          <w:highlight w:val="none"/>
        </w:rPr>
        <w:t>一起货物验收。</w:t>
      </w:r>
    </w:p>
    <w:p>
      <w:pPr>
        <w:pStyle w:val="28"/>
        <w:snapToGrid w:val="0"/>
        <w:spacing w:before="120" w:beforeLines="0" w:after="120" w:afterLines="0" w:line="360" w:lineRule="auto"/>
        <w:rPr>
          <w:rFonts w:hint="eastAsia" w:hAnsi="宋体"/>
          <w:color w:val="0D0D0D"/>
          <w:highlight w:val="none"/>
        </w:rPr>
      </w:pPr>
      <w:r>
        <w:rPr>
          <w:rFonts w:hint="eastAsia" w:hAnsi="宋体"/>
          <w:color w:val="0D0D0D"/>
          <w:highlight w:val="none"/>
        </w:rPr>
        <w:t>13.4</w:t>
      </w:r>
      <w:r>
        <w:rPr>
          <w:rFonts w:hint="eastAsia" w:hAnsi="宋体"/>
          <w:color w:val="0D0D0D"/>
          <w:highlight w:val="none"/>
          <w:lang w:val="en-US" w:eastAsia="zh-CN"/>
        </w:rPr>
        <w:t xml:space="preserve"> </w:t>
      </w:r>
      <w:r>
        <w:rPr>
          <w:rFonts w:hint="eastAsia" w:hAnsi="宋体"/>
          <w:color w:val="0D0D0D"/>
          <w:highlight w:val="none"/>
        </w:rPr>
        <w:t>材料到达现场后，</w:t>
      </w:r>
      <w:r>
        <w:rPr>
          <w:rFonts w:hint="eastAsia" w:hAnsi="宋体"/>
          <w:color w:val="0D0D0D"/>
          <w:highlight w:val="none"/>
          <w:lang w:eastAsia="zh-CN"/>
        </w:rPr>
        <w:t>甲方</w:t>
      </w:r>
      <w:r>
        <w:rPr>
          <w:rFonts w:hint="eastAsia" w:hAnsi="宋体"/>
          <w:color w:val="0D0D0D"/>
          <w:highlight w:val="none"/>
        </w:rPr>
        <w:t>严格按照质量要求进行验收，若不合格或不能满足</w:t>
      </w:r>
      <w:r>
        <w:rPr>
          <w:rFonts w:hint="eastAsia" w:hAnsi="宋体"/>
          <w:color w:val="0D0D0D"/>
          <w:highlight w:val="none"/>
          <w:lang w:eastAsia="zh-CN"/>
        </w:rPr>
        <w:t>甲方</w:t>
      </w:r>
      <w:r>
        <w:rPr>
          <w:rFonts w:hint="eastAsia" w:hAnsi="宋体"/>
          <w:color w:val="0D0D0D"/>
          <w:highlight w:val="none"/>
        </w:rPr>
        <w:t>使用要求则无条件给予退还，发生一切损失由</w:t>
      </w:r>
      <w:r>
        <w:rPr>
          <w:rFonts w:hint="eastAsia" w:hAnsi="宋体"/>
          <w:color w:val="0D0D0D"/>
          <w:highlight w:val="none"/>
          <w:lang w:eastAsia="zh-CN"/>
        </w:rPr>
        <w:t>乙方</w:t>
      </w:r>
      <w:r>
        <w:rPr>
          <w:rFonts w:hint="eastAsia" w:hAnsi="宋体"/>
          <w:color w:val="0D0D0D"/>
          <w:highlight w:val="none"/>
        </w:rPr>
        <w:t>承担，且承担因此延误工期等给</w:t>
      </w:r>
      <w:r>
        <w:rPr>
          <w:rFonts w:hint="eastAsia" w:hAnsi="宋体"/>
          <w:color w:val="0D0D0D"/>
          <w:highlight w:val="none"/>
          <w:lang w:eastAsia="zh-CN"/>
        </w:rPr>
        <w:t>甲方</w:t>
      </w:r>
      <w:r>
        <w:rPr>
          <w:rFonts w:hint="eastAsia" w:hAnsi="宋体"/>
          <w:color w:val="0D0D0D"/>
          <w:highlight w:val="none"/>
        </w:rPr>
        <w:t>造成的经济损失。</w:t>
      </w:r>
    </w:p>
    <w:p>
      <w:pPr>
        <w:pStyle w:val="28"/>
        <w:snapToGrid w:val="0"/>
        <w:spacing w:before="120" w:beforeLines="0" w:after="120" w:afterLines="0" w:line="360" w:lineRule="auto"/>
        <w:rPr>
          <w:rFonts w:hAnsi="宋体"/>
          <w:color w:val="0D0D0D"/>
          <w:highlight w:val="none"/>
        </w:rPr>
      </w:pPr>
      <w:r>
        <w:rPr>
          <w:rFonts w:hAnsi="宋体"/>
          <w:color w:val="0D0D0D"/>
          <w:highlight w:val="none"/>
        </w:rPr>
        <w:t>13.</w:t>
      </w:r>
      <w:r>
        <w:rPr>
          <w:rFonts w:hint="eastAsia" w:hAnsi="宋体"/>
          <w:color w:val="0D0D0D"/>
          <w:highlight w:val="none"/>
        </w:rPr>
        <w:t>5</w:t>
      </w:r>
      <w:r>
        <w:rPr>
          <w:rFonts w:hAnsi="宋体"/>
          <w:color w:val="0D0D0D"/>
          <w:highlight w:val="none"/>
        </w:rPr>
        <w:t xml:space="preserve"> 对技术复杂的货物，甲方应请国家认可的专业检测机构参与初步验收及最终验收，并由其出具质量检测报告。</w:t>
      </w:r>
    </w:p>
    <w:p>
      <w:pPr>
        <w:pStyle w:val="28"/>
        <w:snapToGrid w:val="0"/>
        <w:spacing w:before="120" w:beforeLines="0" w:after="120" w:afterLines="0" w:line="360" w:lineRule="auto"/>
        <w:rPr>
          <w:rFonts w:hAnsi="宋体"/>
          <w:color w:val="0D0D0D"/>
          <w:highlight w:val="none"/>
        </w:rPr>
      </w:pPr>
      <w:r>
        <w:rPr>
          <w:rFonts w:hAnsi="宋体"/>
          <w:color w:val="0D0D0D"/>
          <w:highlight w:val="none"/>
        </w:rPr>
        <w:t>13.</w:t>
      </w:r>
      <w:r>
        <w:rPr>
          <w:rFonts w:hint="eastAsia" w:hAnsi="宋体"/>
          <w:color w:val="0D0D0D"/>
          <w:highlight w:val="none"/>
        </w:rPr>
        <w:t>6</w:t>
      </w:r>
      <w:r>
        <w:rPr>
          <w:rFonts w:hAnsi="宋体"/>
          <w:color w:val="0D0D0D"/>
          <w:highlight w:val="none"/>
        </w:rPr>
        <w:t xml:space="preserve"> 验收时乙方必须在现场，验收完毕后作出验收结果报告；验收费用由乙方负责。</w:t>
      </w:r>
    </w:p>
    <w:p>
      <w:pPr>
        <w:pStyle w:val="28"/>
        <w:snapToGrid w:val="0"/>
        <w:spacing w:before="120" w:beforeLines="0" w:after="120" w:afterLines="0" w:line="360" w:lineRule="auto"/>
        <w:rPr>
          <w:rFonts w:hAnsi="宋体"/>
          <w:b/>
          <w:color w:val="0D0D0D"/>
          <w:highlight w:val="none"/>
        </w:rPr>
      </w:pPr>
      <w:r>
        <w:rPr>
          <w:rFonts w:hAnsi="宋体"/>
          <w:b/>
          <w:color w:val="0D0D0D"/>
          <w:highlight w:val="none"/>
        </w:rPr>
        <w:t>十四、货物包装、发运及运输</w:t>
      </w:r>
    </w:p>
    <w:p>
      <w:pPr>
        <w:pStyle w:val="28"/>
        <w:snapToGrid w:val="0"/>
        <w:spacing w:before="120" w:beforeLines="0" w:after="120" w:afterLines="0" w:line="360" w:lineRule="auto"/>
        <w:rPr>
          <w:rFonts w:hAnsi="宋体"/>
          <w:color w:val="0D0D0D"/>
          <w:highlight w:val="none"/>
        </w:rPr>
      </w:pPr>
      <w:r>
        <w:rPr>
          <w:rFonts w:hAnsi="宋体"/>
          <w:color w:val="0D0D0D"/>
          <w:highlight w:val="none"/>
        </w:rPr>
        <w:t>14.1 乙方应在货物发运前对其进行满足运输距离、防潮、防震、防锈和防破损</w:t>
      </w:r>
      <w:r>
        <w:rPr>
          <w:rFonts w:hint="eastAsia" w:hAnsi="宋体"/>
          <w:color w:val="0D0D0D"/>
          <w:highlight w:val="none"/>
        </w:rPr>
        <w:t>装车</w:t>
      </w:r>
      <w:r>
        <w:rPr>
          <w:rFonts w:hAnsi="宋体"/>
          <w:color w:val="0D0D0D"/>
          <w:highlight w:val="none"/>
        </w:rPr>
        <w:t>等要求包装，以保证货物安全运达甲方指定地点。</w:t>
      </w:r>
    </w:p>
    <w:p>
      <w:pPr>
        <w:pStyle w:val="28"/>
        <w:snapToGrid w:val="0"/>
        <w:spacing w:before="120" w:beforeLines="0" w:after="120" w:afterLines="0" w:line="360" w:lineRule="auto"/>
        <w:rPr>
          <w:rFonts w:hAnsi="宋体"/>
          <w:color w:val="0D0D0D"/>
          <w:highlight w:val="none"/>
        </w:rPr>
      </w:pPr>
      <w:r>
        <w:rPr>
          <w:rFonts w:hAnsi="宋体"/>
          <w:color w:val="0D0D0D"/>
          <w:highlight w:val="none"/>
        </w:rPr>
        <w:t>14.2 使用说明书、质量检验证明书、随配附件和工具以及清单一并附于货物内。</w:t>
      </w:r>
    </w:p>
    <w:p>
      <w:pPr>
        <w:pStyle w:val="28"/>
        <w:snapToGrid w:val="0"/>
        <w:spacing w:before="120" w:beforeLines="0" w:after="120" w:afterLines="0" w:line="360" w:lineRule="auto"/>
        <w:rPr>
          <w:rFonts w:hAnsi="宋体"/>
          <w:color w:val="0D0D0D"/>
          <w:highlight w:val="none"/>
        </w:rPr>
      </w:pPr>
      <w:r>
        <w:rPr>
          <w:rFonts w:hAnsi="宋体"/>
          <w:color w:val="0D0D0D"/>
          <w:highlight w:val="none"/>
        </w:rPr>
        <w:t>14.3 乙方在货物发运手续办理完毕后24小时内或货到甲方48小时前通知甲方，以准备接货。</w:t>
      </w:r>
    </w:p>
    <w:p>
      <w:pPr>
        <w:pStyle w:val="28"/>
        <w:snapToGrid w:val="0"/>
        <w:spacing w:before="120" w:beforeLines="0" w:after="120" w:afterLines="0" w:line="360" w:lineRule="auto"/>
        <w:rPr>
          <w:rFonts w:hAnsi="宋体"/>
          <w:color w:val="0D0D0D"/>
          <w:highlight w:val="none"/>
        </w:rPr>
      </w:pPr>
      <w:r>
        <w:rPr>
          <w:rFonts w:hAnsi="宋体"/>
          <w:color w:val="0D0D0D"/>
          <w:highlight w:val="none"/>
        </w:rPr>
        <w:t>14.4 货物</w:t>
      </w:r>
      <w:r>
        <w:rPr>
          <w:rFonts w:hint="eastAsia" w:hAnsi="宋体"/>
          <w:color w:val="0D0D0D"/>
          <w:highlight w:val="none"/>
          <w:lang w:eastAsia="zh-CN"/>
        </w:rPr>
        <w:t>（</w:t>
      </w:r>
      <w:r>
        <w:rPr>
          <w:rFonts w:hint="eastAsia" w:hAnsi="宋体"/>
          <w:color w:val="0D0D0D"/>
          <w:highlight w:val="none"/>
          <w:lang w:val="en-US" w:eastAsia="zh-CN"/>
        </w:rPr>
        <w:t>包括乙方相关人员</w:t>
      </w:r>
      <w:r>
        <w:rPr>
          <w:rFonts w:hint="eastAsia" w:hAnsi="宋体"/>
          <w:color w:val="0D0D0D"/>
          <w:highlight w:val="none"/>
          <w:lang w:eastAsia="zh-CN"/>
        </w:rPr>
        <w:t>）</w:t>
      </w:r>
      <w:r>
        <w:rPr>
          <w:rFonts w:hAnsi="宋体"/>
          <w:color w:val="0D0D0D"/>
          <w:highlight w:val="none"/>
        </w:rPr>
        <w:t>在交付甲方前发生的风险均由乙方负责。</w:t>
      </w:r>
    </w:p>
    <w:p>
      <w:pPr>
        <w:pStyle w:val="28"/>
        <w:snapToGrid w:val="0"/>
        <w:spacing w:before="120" w:beforeLines="0" w:after="120" w:afterLines="0" w:line="360" w:lineRule="auto"/>
        <w:rPr>
          <w:rFonts w:hAnsi="宋体"/>
          <w:color w:val="0D0D0D"/>
          <w:highlight w:val="none"/>
        </w:rPr>
      </w:pPr>
      <w:r>
        <w:rPr>
          <w:rFonts w:hAnsi="宋体"/>
          <w:color w:val="0D0D0D"/>
          <w:highlight w:val="none"/>
        </w:rPr>
        <w:t>14.5 货物在规定的交付期限内由乙方送达甲方指定的地点，乙方同时需通知甲方货物已送达。</w:t>
      </w:r>
    </w:p>
    <w:p>
      <w:pPr>
        <w:pStyle w:val="28"/>
        <w:snapToGrid w:val="0"/>
        <w:spacing w:before="120" w:beforeLines="0" w:after="120" w:afterLines="0" w:line="360" w:lineRule="auto"/>
        <w:rPr>
          <w:rFonts w:hAnsi="宋体"/>
          <w:color w:val="0D0D0D"/>
          <w:highlight w:val="none"/>
        </w:rPr>
      </w:pPr>
      <w:r>
        <w:rPr>
          <w:rFonts w:hint="eastAsia" w:hAnsi="宋体"/>
          <w:color w:val="0D0D0D"/>
          <w:highlight w:val="none"/>
        </w:rPr>
        <w:t>14.6</w:t>
      </w:r>
      <w:r>
        <w:rPr>
          <w:rFonts w:hint="eastAsia" w:hAnsi="宋体"/>
          <w:color w:val="0D0D0D"/>
          <w:highlight w:val="none"/>
          <w:lang w:val="en-US" w:eastAsia="zh-CN"/>
        </w:rPr>
        <w:t xml:space="preserve"> </w:t>
      </w:r>
      <w:r>
        <w:rPr>
          <w:rFonts w:hint="eastAsia" w:hAnsi="宋体"/>
          <w:color w:val="0D0D0D"/>
          <w:highlight w:val="none"/>
        </w:rPr>
        <w:t>材料在装运前由</w:t>
      </w:r>
      <w:r>
        <w:rPr>
          <w:rFonts w:hint="eastAsia" w:hAnsi="宋体"/>
          <w:color w:val="0D0D0D"/>
          <w:highlight w:val="none"/>
          <w:lang w:eastAsia="zh-CN"/>
        </w:rPr>
        <w:t>乙方</w:t>
      </w:r>
      <w:r>
        <w:rPr>
          <w:rFonts w:hint="eastAsia" w:hAnsi="宋体"/>
          <w:color w:val="0D0D0D"/>
          <w:highlight w:val="none"/>
        </w:rPr>
        <w:t>投保，一旦材料在装车、运输过程中发生损坏或短缺，由</w:t>
      </w:r>
      <w:r>
        <w:rPr>
          <w:rFonts w:hint="eastAsia" w:hAnsi="宋体"/>
          <w:color w:val="0D0D0D"/>
          <w:highlight w:val="none"/>
          <w:lang w:eastAsia="zh-CN"/>
        </w:rPr>
        <w:t>乙方</w:t>
      </w:r>
      <w:r>
        <w:rPr>
          <w:rFonts w:hint="eastAsia" w:hAnsi="宋体"/>
          <w:color w:val="0D0D0D"/>
          <w:highlight w:val="none"/>
        </w:rPr>
        <w:t>负责索赔。</w:t>
      </w:r>
    </w:p>
    <w:p>
      <w:pPr>
        <w:pStyle w:val="28"/>
        <w:snapToGrid w:val="0"/>
        <w:spacing w:before="120" w:beforeLines="0" w:after="120" w:afterLines="0" w:line="360" w:lineRule="auto"/>
        <w:rPr>
          <w:rFonts w:hAnsi="宋体"/>
          <w:color w:val="0D0D0D"/>
          <w:highlight w:val="none"/>
        </w:rPr>
      </w:pPr>
      <w:r>
        <w:rPr>
          <w:rFonts w:hint="eastAsia" w:hAnsi="宋体"/>
          <w:color w:val="0D0D0D"/>
          <w:highlight w:val="none"/>
        </w:rPr>
        <w:t>14.7</w:t>
      </w:r>
      <w:r>
        <w:rPr>
          <w:rFonts w:hint="eastAsia" w:hAnsi="宋体"/>
          <w:color w:val="0D0D0D"/>
          <w:highlight w:val="none"/>
          <w:lang w:val="en-US" w:eastAsia="zh-CN"/>
        </w:rPr>
        <w:t xml:space="preserve"> </w:t>
      </w:r>
      <w:r>
        <w:rPr>
          <w:rFonts w:hint="eastAsia" w:hAnsi="宋体"/>
          <w:color w:val="0D0D0D"/>
          <w:highlight w:val="none"/>
          <w:lang w:eastAsia="zh-CN"/>
        </w:rPr>
        <w:t>乙方</w:t>
      </w:r>
      <w:r>
        <w:rPr>
          <w:rFonts w:hint="eastAsia" w:hAnsi="宋体"/>
          <w:color w:val="0D0D0D"/>
          <w:highlight w:val="none"/>
        </w:rPr>
        <w:t>保证在确认货物因装车、运输中发生损坏或短缺后，尽快给予调换、修复和补齐缺件，不管其造成的原因如何，也不能以办理索赔为由而拖延。</w:t>
      </w:r>
    </w:p>
    <w:p>
      <w:pPr>
        <w:pStyle w:val="28"/>
        <w:snapToGrid w:val="0"/>
        <w:spacing w:before="120" w:beforeLines="0" w:after="120" w:afterLines="0" w:line="360" w:lineRule="auto"/>
        <w:rPr>
          <w:rFonts w:hAnsi="宋体"/>
          <w:b/>
          <w:color w:val="0D0D0D"/>
          <w:highlight w:val="none"/>
        </w:rPr>
      </w:pPr>
      <w:r>
        <w:rPr>
          <w:rFonts w:hAnsi="宋体"/>
          <w:b/>
          <w:color w:val="0D0D0D"/>
          <w:highlight w:val="none"/>
        </w:rPr>
        <w:t>十五、违约责任</w:t>
      </w:r>
    </w:p>
    <w:p>
      <w:pPr>
        <w:pStyle w:val="28"/>
        <w:snapToGrid w:val="0"/>
        <w:spacing w:before="120" w:beforeLines="0" w:after="120" w:afterLines="0" w:line="360" w:lineRule="auto"/>
        <w:rPr>
          <w:rFonts w:hAnsi="宋体"/>
          <w:bCs/>
          <w:color w:val="0D0D0D"/>
          <w:highlight w:val="none"/>
        </w:rPr>
      </w:pPr>
      <w:r>
        <w:rPr>
          <w:rFonts w:hint="eastAsia" w:hAnsi="宋体"/>
          <w:bCs/>
          <w:color w:val="0D0D0D"/>
          <w:highlight w:val="none"/>
        </w:rPr>
        <w:t>15.1</w:t>
      </w:r>
      <w:r>
        <w:rPr>
          <w:rFonts w:hint="eastAsia" w:hAnsi="宋体"/>
          <w:bCs/>
          <w:color w:val="0D0D0D"/>
          <w:highlight w:val="none"/>
          <w:lang w:val="en-US" w:eastAsia="zh-CN"/>
        </w:rPr>
        <w:t xml:space="preserve"> </w:t>
      </w:r>
      <w:r>
        <w:rPr>
          <w:rFonts w:hint="eastAsia" w:hAnsi="宋体"/>
          <w:bCs/>
          <w:color w:val="0D0D0D"/>
          <w:highlight w:val="none"/>
        </w:rPr>
        <w:t>产品质量责任</w:t>
      </w:r>
    </w:p>
    <w:p>
      <w:pPr>
        <w:pStyle w:val="28"/>
        <w:snapToGrid w:val="0"/>
        <w:spacing w:before="120" w:beforeLines="0" w:after="120" w:afterLines="0" w:line="360" w:lineRule="auto"/>
        <w:rPr>
          <w:rFonts w:hAnsi="宋体"/>
          <w:bCs/>
          <w:color w:val="0D0D0D"/>
          <w:highlight w:val="none"/>
        </w:rPr>
      </w:pPr>
      <w:r>
        <w:rPr>
          <w:rFonts w:hint="eastAsia" w:hAnsi="宋体"/>
          <w:bCs/>
          <w:color w:val="0D0D0D"/>
          <w:highlight w:val="none"/>
        </w:rPr>
        <w:t>(1)</w:t>
      </w:r>
      <w:r>
        <w:rPr>
          <w:rFonts w:hint="eastAsia" w:hAnsi="宋体"/>
          <w:bCs/>
          <w:color w:val="0D0D0D"/>
          <w:highlight w:val="none"/>
          <w:lang w:val="en-US" w:eastAsia="zh-CN"/>
        </w:rPr>
        <w:t xml:space="preserve"> </w:t>
      </w:r>
      <w:r>
        <w:rPr>
          <w:rFonts w:hint="eastAsia" w:hAnsi="宋体"/>
          <w:bCs/>
          <w:color w:val="0D0D0D"/>
          <w:highlight w:val="none"/>
        </w:rPr>
        <w:t>凡材料在装车等过程中发现的材料质量问题，由</w:t>
      </w:r>
      <w:r>
        <w:rPr>
          <w:rFonts w:hint="eastAsia" w:hAnsi="宋体"/>
          <w:bCs/>
          <w:color w:val="0D0D0D"/>
          <w:highlight w:val="none"/>
          <w:lang w:eastAsia="zh-CN"/>
        </w:rPr>
        <w:t>乙方</w:t>
      </w:r>
      <w:r>
        <w:rPr>
          <w:rFonts w:hint="eastAsia" w:hAnsi="宋体"/>
          <w:bCs/>
          <w:color w:val="0D0D0D"/>
          <w:highlight w:val="none"/>
        </w:rPr>
        <w:t>负责处理，实行包换、包退，直至产品符合质量要求。</w:t>
      </w:r>
      <w:r>
        <w:rPr>
          <w:rFonts w:hint="eastAsia" w:hAnsi="宋体"/>
          <w:bCs/>
          <w:color w:val="0D0D0D"/>
          <w:highlight w:val="none"/>
          <w:lang w:eastAsia="zh-CN"/>
        </w:rPr>
        <w:t>乙方</w:t>
      </w:r>
      <w:r>
        <w:rPr>
          <w:rFonts w:hint="eastAsia" w:hAnsi="宋体"/>
          <w:bCs/>
          <w:color w:val="0D0D0D"/>
          <w:highlight w:val="none"/>
        </w:rPr>
        <w:t>承担调换、退货发生的一切费用和</w:t>
      </w:r>
      <w:r>
        <w:rPr>
          <w:rFonts w:hint="eastAsia" w:hAnsi="宋体"/>
          <w:bCs/>
          <w:color w:val="0D0D0D"/>
          <w:highlight w:val="none"/>
          <w:lang w:eastAsia="zh-CN"/>
        </w:rPr>
        <w:t>甲方</w:t>
      </w:r>
      <w:r>
        <w:rPr>
          <w:rFonts w:hint="eastAsia" w:hAnsi="宋体"/>
          <w:bCs/>
          <w:color w:val="0D0D0D"/>
          <w:highlight w:val="none"/>
        </w:rPr>
        <w:t>的直接经济损失。</w:t>
      </w:r>
    </w:p>
    <w:p>
      <w:pPr>
        <w:pStyle w:val="28"/>
        <w:snapToGrid w:val="0"/>
        <w:spacing w:before="120" w:beforeLines="0" w:after="120" w:afterLines="0" w:line="360" w:lineRule="auto"/>
        <w:rPr>
          <w:rFonts w:hAnsi="宋体"/>
          <w:bCs/>
          <w:color w:val="0D0D0D"/>
          <w:highlight w:val="none"/>
        </w:rPr>
      </w:pPr>
      <w:r>
        <w:rPr>
          <w:rFonts w:hint="eastAsia" w:hAnsi="宋体"/>
          <w:bCs/>
          <w:color w:val="0D0D0D"/>
          <w:highlight w:val="none"/>
        </w:rPr>
        <w:t>(</w:t>
      </w:r>
      <w:r>
        <w:rPr>
          <w:rFonts w:hAnsi="宋体"/>
          <w:bCs/>
          <w:color w:val="0D0D0D"/>
          <w:highlight w:val="none"/>
        </w:rPr>
        <w:t>2)</w:t>
      </w:r>
      <w:r>
        <w:rPr>
          <w:rFonts w:hint="eastAsia" w:hAnsi="宋体"/>
          <w:bCs/>
          <w:color w:val="0D0D0D"/>
          <w:highlight w:val="none"/>
        </w:rPr>
        <w:t xml:space="preserve"> </w:t>
      </w:r>
      <w:r>
        <w:rPr>
          <w:rFonts w:hint="eastAsia" w:hAnsi="宋体"/>
          <w:bCs/>
          <w:color w:val="0D0D0D"/>
          <w:highlight w:val="none"/>
          <w:lang w:eastAsia="zh-CN"/>
        </w:rPr>
        <w:t>乙方</w:t>
      </w:r>
      <w:r>
        <w:rPr>
          <w:rFonts w:hint="eastAsia" w:hAnsi="宋体"/>
          <w:bCs/>
          <w:color w:val="0D0D0D"/>
          <w:highlight w:val="none"/>
        </w:rPr>
        <w:t>在接到</w:t>
      </w:r>
      <w:r>
        <w:rPr>
          <w:rFonts w:hint="eastAsia" w:hAnsi="宋体"/>
          <w:bCs/>
          <w:color w:val="0D0D0D"/>
          <w:highlight w:val="none"/>
          <w:lang w:eastAsia="zh-CN"/>
        </w:rPr>
        <w:t>甲方</w:t>
      </w:r>
      <w:r>
        <w:rPr>
          <w:rFonts w:hint="eastAsia" w:hAnsi="宋体"/>
          <w:bCs/>
          <w:color w:val="0D0D0D"/>
          <w:highlight w:val="none"/>
        </w:rPr>
        <w:t>通知后，应立即派人赴现场处理材料质量问题。</w:t>
      </w:r>
      <w:r>
        <w:rPr>
          <w:rFonts w:hAnsi="宋体"/>
          <w:bCs/>
          <w:color w:val="0D0D0D"/>
          <w:highlight w:val="none"/>
        </w:rPr>
        <w:t xml:space="preserve"> </w:t>
      </w:r>
    </w:p>
    <w:p>
      <w:pPr>
        <w:pStyle w:val="28"/>
        <w:snapToGrid w:val="0"/>
        <w:spacing w:before="120" w:beforeLines="0" w:after="120" w:afterLines="0" w:line="360" w:lineRule="auto"/>
        <w:rPr>
          <w:rFonts w:hAnsi="宋体"/>
          <w:bCs/>
          <w:color w:val="0D0D0D"/>
          <w:highlight w:val="none"/>
        </w:rPr>
      </w:pPr>
      <w:r>
        <w:rPr>
          <w:rFonts w:hint="eastAsia" w:hAnsi="宋体"/>
          <w:bCs/>
          <w:color w:val="0D0D0D"/>
          <w:highlight w:val="none"/>
        </w:rPr>
        <w:t>(</w:t>
      </w:r>
      <w:r>
        <w:rPr>
          <w:rFonts w:hAnsi="宋体"/>
          <w:bCs/>
          <w:color w:val="0D0D0D"/>
          <w:highlight w:val="none"/>
        </w:rPr>
        <w:t>3)</w:t>
      </w:r>
      <w:r>
        <w:rPr>
          <w:rFonts w:hint="eastAsia" w:hAnsi="宋体"/>
          <w:bCs/>
          <w:color w:val="0D0D0D"/>
          <w:highlight w:val="none"/>
        </w:rPr>
        <w:t xml:space="preserve"> 由于</w:t>
      </w:r>
      <w:r>
        <w:rPr>
          <w:rFonts w:hint="eastAsia" w:hAnsi="宋体"/>
          <w:bCs/>
          <w:color w:val="0D0D0D"/>
          <w:highlight w:val="none"/>
          <w:lang w:eastAsia="zh-CN"/>
        </w:rPr>
        <w:t>甲方</w:t>
      </w:r>
      <w:r>
        <w:rPr>
          <w:rFonts w:hint="eastAsia" w:hAnsi="宋体"/>
          <w:bCs/>
          <w:color w:val="0D0D0D"/>
          <w:highlight w:val="none"/>
        </w:rPr>
        <w:t>保管不善或使用不当造成材料短缺或损坏，由</w:t>
      </w:r>
      <w:r>
        <w:rPr>
          <w:rFonts w:hint="eastAsia" w:hAnsi="宋体"/>
          <w:bCs/>
          <w:color w:val="0D0D0D"/>
          <w:highlight w:val="none"/>
          <w:lang w:eastAsia="zh-CN"/>
        </w:rPr>
        <w:t>甲方</w:t>
      </w:r>
      <w:r>
        <w:rPr>
          <w:rFonts w:hint="eastAsia" w:hAnsi="宋体"/>
          <w:bCs/>
          <w:color w:val="0D0D0D"/>
          <w:highlight w:val="none"/>
        </w:rPr>
        <w:t>负责。但</w:t>
      </w:r>
      <w:r>
        <w:rPr>
          <w:rFonts w:hint="eastAsia" w:hAnsi="宋体"/>
          <w:bCs/>
          <w:color w:val="0D0D0D"/>
          <w:highlight w:val="none"/>
          <w:lang w:eastAsia="zh-CN"/>
        </w:rPr>
        <w:t>乙方</w:t>
      </w:r>
      <w:r>
        <w:rPr>
          <w:rFonts w:hint="eastAsia" w:hAnsi="宋体"/>
          <w:bCs/>
          <w:color w:val="0D0D0D"/>
          <w:highlight w:val="none"/>
        </w:rPr>
        <w:t>保证及时给予补齐或修复。</w:t>
      </w:r>
    </w:p>
    <w:p>
      <w:pPr>
        <w:pStyle w:val="28"/>
        <w:snapToGrid w:val="0"/>
        <w:spacing w:before="120" w:beforeLines="0" w:after="120" w:afterLines="0" w:line="360" w:lineRule="auto"/>
        <w:rPr>
          <w:rFonts w:hAnsi="宋体"/>
          <w:bCs/>
          <w:color w:val="0D0D0D"/>
          <w:highlight w:val="none"/>
        </w:rPr>
      </w:pPr>
      <w:r>
        <w:rPr>
          <w:rFonts w:hint="eastAsia" w:hAnsi="宋体"/>
          <w:bCs/>
          <w:color w:val="0D0D0D"/>
          <w:highlight w:val="none"/>
        </w:rPr>
        <w:t>15.2违约赔偿</w:t>
      </w:r>
    </w:p>
    <w:p>
      <w:pPr>
        <w:pStyle w:val="28"/>
        <w:snapToGrid w:val="0"/>
        <w:spacing w:before="120" w:beforeLines="0" w:after="120" w:afterLines="0" w:line="360" w:lineRule="auto"/>
        <w:rPr>
          <w:rFonts w:hAnsi="宋体"/>
          <w:bCs/>
          <w:color w:val="0D0D0D"/>
          <w:highlight w:val="none"/>
        </w:rPr>
      </w:pPr>
      <w:r>
        <w:rPr>
          <w:rFonts w:hint="eastAsia" w:hAnsi="宋体"/>
          <w:bCs/>
          <w:color w:val="0D0D0D"/>
          <w:highlight w:val="none"/>
        </w:rPr>
        <w:t xml:space="preserve">    除不可抗力外，如</w:t>
      </w:r>
      <w:r>
        <w:rPr>
          <w:rFonts w:hint="eastAsia" w:hAnsi="宋体"/>
          <w:bCs/>
          <w:color w:val="0D0D0D"/>
          <w:highlight w:val="none"/>
          <w:lang w:eastAsia="zh-CN"/>
        </w:rPr>
        <w:t>乙方</w:t>
      </w:r>
      <w:r>
        <w:rPr>
          <w:rFonts w:hint="eastAsia" w:hAnsi="宋体"/>
          <w:bCs/>
          <w:color w:val="0D0D0D"/>
          <w:highlight w:val="none"/>
        </w:rPr>
        <w:t>发生不能按期交货或提供服务，</w:t>
      </w:r>
      <w:r>
        <w:rPr>
          <w:rFonts w:hint="eastAsia" w:hAnsi="宋体"/>
          <w:bCs/>
          <w:color w:val="0D0D0D"/>
          <w:highlight w:val="none"/>
          <w:lang w:eastAsia="zh-CN"/>
        </w:rPr>
        <w:t>甲方</w:t>
      </w:r>
      <w:r>
        <w:rPr>
          <w:rFonts w:hint="eastAsia" w:hAnsi="宋体"/>
          <w:bCs/>
          <w:color w:val="0D0D0D"/>
          <w:highlight w:val="none"/>
        </w:rPr>
        <w:t>发生中途退货等情况，应及时以书面形式通知对方。买、卖双方应本着友好的态度进行协商，妥善解决。</w:t>
      </w:r>
      <w:r>
        <w:rPr>
          <w:rFonts w:hint="eastAsia" w:hAnsi="宋体"/>
          <w:bCs/>
          <w:color w:val="0D0D0D"/>
          <w:highlight w:val="none"/>
        </w:rPr>
        <w:cr/>
      </w:r>
      <w:r>
        <w:rPr>
          <w:rFonts w:hint="eastAsia" w:hAnsi="宋体"/>
          <w:bCs/>
          <w:color w:val="0D0D0D"/>
          <w:highlight w:val="none"/>
        </w:rPr>
        <w:t xml:space="preserve">    如协商无效，按下列规定处以罚金。</w:t>
      </w:r>
    </w:p>
    <w:p>
      <w:pPr>
        <w:pStyle w:val="28"/>
        <w:snapToGrid w:val="0"/>
        <w:spacing w:before="120" w:beforeLines="0" w:after="120" w:afterLines="0" w:line="360" w:lineRule="auto"/>
        <w:rPr>
          <w:rFonts w:hAnsi="宋体"/>
          <w:bCs/>
          <w:color w:val="0D0D0D"/>
          <w:highlight w:val="none"/>
        </w:rPr>
      </w:pPr>
      <w:r>
        <w:rPr>
          <w:rFonts w:hint="eastAsia" w:hAnsi="宋体"/>
          <w:bCs/>
          <w:color w:val="0D0D0D"/>
          <w:highlight w:val="none"/>
        </w:rPr>
        <w:t>(1) 逾期交货（包括交付使用）</w:t>
      </w:r>
      <w:r>
        <w:rPr>
          <w:rFonts w:hint="eastAsia" w:hAnsi="宋体"/>
          <w:bCs/>
          <w:color w:val="0D0D0D"/>
          <w:highlight w:val="none"/>
        </w:rPr>
        <w:cr/>
      </w:r>
      <w:r>
        <w:rPr>
          <w:rFonts w:hint="eastAsia" w:hAnsi="宋体"/>
          <w:bCs/>
          <w:color w:val="0D0D0D"/>
          <w:highlight w:val="none"/>
        </w:rPr>
        <w:t xml:space="preserve"> </w:t>
      </w:r>
      <w:r>
        <w:rPr>
          <w:rFonts w:hAnsi="宋体"/>
          <w:bCs/>
          <w:color w:val="0D0D0D"/>
          <w:highlight w:val="none"/>
        </w:rPr>
        <w:t xml:space="preserve">   </w:t>
      </w:r>
      <w:r>
        <w:rPr>
          <w:rFonts w:hAnsi="宋体"/>
          <w:bCs/>
          <w:highlight w:val="none"/>
        </w:rPr>
        <w:t xml:space="preserve"> </w:t>
      </w:r>
      <w:r>
        <w:rPr>
          <w:rFonts w:hint="eastAsia" w:hAnsi="宋体"/>
          <w:bCs/>
          <w:highlight w:val="none"/>
        </w:rPr>
        <w:t>接到甲方盖章的交货催告通知单五日内</w:t>
      </w:r>
      <w:r>
        <w:rPr>
          <w:rFonts w:hint="eastAsia" w:hAnsi="宋体"/>
          <w:bCs/>
          <w:highlight w:val="none"/>
          <w:lang w:val="en-US" w:eastAsia="zh-CN"/>
        </w:rPr>
        <w:t>必须</w:t>
      </w:r>
      <w:r>
        <w:rPr>
          <w:rFonts w:hint="eastAsia" w:hAnsi="宋体"/>
          <w:bCs/>
          <w:highlight w:val="none"/>
        </w:rPr>
        <w:t>完成供货</w:t>
      </w:r>
      <w:r>
        <w:rPr>
          <w:rFonts w:hint="eastAsia" w:hAnsi="宋体"/>
          <w:bCs/>
          <w:highlight w:val="none"/>
          <w:lang w:eastAsia="zh-CN"/>
        </w:rPr>
        <w:t>，</w:t>
      </w:r>
      <w:r>
        <w:rPr>
          <w:rFonts w:hint="eastAsia" w:hAnsi="宋体"/>
          <w:bCs/>
          <w:color w:val="0D0D0D"/>
          <w:highlight w:val="none"/>
        </w:rPr>
        <w:t>乙方逾期交货（包括交付使用），实际供货时间（包括交付使用）与要求供货时间（包括交付使用）每延迟一天罚</w:t>
      </w:r>
      <w:r>
        <w:rPr>
          <w:rFonts w:hint="eastAsia" w:hAnsi="宋体"/>
          <w:bCs/>
          <w:color w:val="0D0D0D"/>
          <w:highlight w:val="none"/>
          <w:lang w:val="en-US" w:eastAsia="zh-CN"/>
        </w:rPr>
        <w:t>1</w:t>
      </w:r>
      <w:r>
        <w:rPr>
          <w:rFonts w:hint="eastAsia" w:hAnsi="宋体"/>
          <w:bCs/>
          <w:color w:val="0D0D0D"/>
          <w:highlight w:val="none"/>
        </w:rPr>
        <w:t>000元/天。</w:t>
      </w:r>
    </w:p>
    <w:p>
      <w:pPr>
        <w:pStyle w:val="28"/>
        <w:snapToGrid w:val="0"/>
        <w:spacing w:before="120" w:beforeLines="0" w:after="120" w:afterLines="0" w:line="360" w:lineRule="auto"/>
        <w:rPr>
          <w:rFonts w:hAnsi="宋体"/>
          <w:color w:val="0D0D0D"/>
          <w:highlight w:val="none"/>
        </w:rPr>
      </w:pPr>
      <w:r>
        <w:rPr>
          <w:rFonts w:hint="eastAsia" w:hAnsi="宋体"/>
          <w:bCs/>
          <w:color w:val="0D0D0D"/>
          <w:highlight w:val="none"/>
        </w:rPr>
        <w:t>(2) 乙方不能交货或甲方中途退</w:t>
      </w:r>
      <w:r>
        <w:rPr>
          <w:rFonts w:hAnsi="宋体"/>
          <w:color w:val="0D0D0D"/>
          <w:highlight w:val="none"/>
        </w:rPr>
        <w:t>货</w:t>
      </w:r>
    </w:p>
    <w:p>
      <w:pPr>
        <w:pStyle w:val="28"/>
        <w:snapToGrid w:val="0"/>
        <w:spacing w:before="120" w:beforeLines="0" w:after="120" w:afterLines="0" w:line="360" w:lineRule="auto"/>
        <w:rPr>
          <w:rFonts w:hAnsi="宋体"/>
          <w:color w:val="0D0D0D"/>
          <w:highlight w:val="none"/>
        </w:rPr>
      </w:pPr>
      <w:r>
        <w:rPr>
          <w:rFonts w:hAnsi="宋体"/>
          <w:color w:val="0D0D0D"/>
          <w:highlight w:val="none"/>
        </w:rPr>
        <w:t xml:space="preserve">    </w:t>
      </w:r>
      <w:r>
        <w:rPr>
          <w:rFonts w:hint="eastAsia" w:hAnsi="宋体"/>
          <w:color w:val="0D0D0D"/>
          <w:highlight w:val="none"/>
        </w:rPr>
        <w:t>乙方</w:t>
      </w:r>
      <w:r>
        <w:rPr>
          <w:rFonts w:hAnsi="宋体"/>
          <w:color w:val="0D0D0D"/>
          <w:highlight w:val="none"/>
        </w:rPr>
        <w:t>不能交货，应向</w:t>
      </w:r>
      <w:r>
        <w:rPr>
          <w:rFonts w:hint="eastAsia" w:hAnsi="宋体"/>
          <w:color w:val="0D0D0D"/>
          <w:highlight w:val="none"/>
        </w:rPr>
        <w:t>甲方</w:t>
      </w:r>
      <w:r>
        <w:rPr>
          <w:rFonts w:hAnsi="宋体"/>
          <w:color w:val="0D0D0D"/>
          <w:highlight w:val="none"/>
        </w:rPr>
        <w:t>偿付违约金。违约金按不能交货部分货款的</w:t>
      </w:r>
      <w:r>
        <w:rPr>
          <w:rFonts w:hint="eastAsia" w:hAnsi="宋体"/>
          <w:color w:val="0D0D0D"/>
          <w:highlight w:val="none"/>
          <w:lang w:val="en-US" w:eastAsia="zh-CN"/>
        </w:rPr>
        <w:t>20</w:t>
      </w:r>
      <w:r>
        <w:rPr>
          <w:rFonts w:hAnsi="宋体"/>
          <w:color w:val="0D0D0D"/>
          <w:highlight w:val="none"/>
        </w:rPr>
        <w:t>％计算。</w:t>
      </w:r>
      <w:r>
        <w:rPr>
          <w:rFonts w:hAnsi="宋体"/>
          <w:color w:val="0D0D0D"/>
          <w:highlight w:val="none"/>
        </w:rPr>
        <w:cr/>
      </w:r>
      <w:r>
        <w:rPr>
          <w:rFonts w:hAnsi="宋体"/>
          <w:color w:val="0D0D0D"/>
          <w:highlight w:val="none"/>
        </w:rPr>
        <w:t xml:space="preserve">    </w:t>
      </w:r>
      <w:r>
        <w:rPr>
          <w:rFonts w:hint="eastAsia" w:hAnsi="宋体"/>
          <w:color w:val="0D0D0D"/>
          <w:highlight w:val="none"/>
        </w:rPr>
        <w:t>甲方</w:t>
      </w:r>
      <w:r>
        <w:rPr>
          <w:rFonts w:hAnsi="宋体"/>
          <w:color w:val="0D0D0D"/>
          <w:highlight w:val="none"/>
        </w:rPr>
        <w:t>中途退货，应向</w:t>
      </w:r>
      <w:r>
        <w:rPr>
          <w:rFonts w:hint="eastAsia" w:hAnsi="宋体"/>
          <w:color w:val="0D0D0D"/>
          <w:highlight w:val="none"/>
        </w:rPr>
        <w:t>乙方</w:t>
      </w:r>
      <w:r>
        <w:rPr>
          <w:rFonts w:hAnsi="宋体"/>
          <w:color w:val="0D0D0D"/>
          <w:highlight w:val="none"/>
        </w:rPr>
        <w:t>偿付违约金。违约金的计算方法与</w:t>
      </w:r>
      <w:r>
        <w:rPr>
          <w:rFonts w:hint="eastAsia" w:hAnsi="宋体"/>
          <w:color w:val="0D0D0D"/>
          <w:highlight w:val="none"/>
          <w:lang w:eastAsia="zh-CN"/>
        </w:rPr>
        <w:t>乙方</w:t>
      </w:r>
      <w:r>
        <w:rPr>
          <w:rFonts w:hAnsi="宋体"/>
          <w:color w:val="0D0D0D"/>
          <w:highlight w:val="none"/>
        </w:rPr>
        <w:t>违约相同。</w:t>
      </w:r>
    </w:p>
    <w:p>
      <w:pPr>
        <w:pStyle w:val="28"/>
        <w:snapToGrid w:val="0"/>
        <w:spacing w:before="120" w:beforeLines="0" w:after="120" w:afterLines="0" w:line="360" w:lineRule="auto"/>
        <w:rPr>
          <w:rFonts w:hAnsi="宋体"/>
          <w:color w:val="0D0D0D"/>
          <w:highlight w:val="none"/>
        </w:rPr>
      </w:pPr>
      <w:r>
        <w:rPr>
          <w:rFonts w:hAnsi="宋体"/>
          <w:color w:val="0D0D0D"/>
          <w:highlight w:val="none"/>
        </w:rPr>
        <w:t>(3) 逾期交货的违约赔偿最高限度为迟交货合同总价的5％，如违约金达到最高限额时</w:t>
      </w:r>
      <w:r>
        <w:rPr>
          <w:rFonts w:hint="eastAsia" w:hAnsi="宋体"/>
          <w:color w:val="0D0D0D"/>
          <w:highlight w:val="none"/>
          <w:lang w:eastAsia="zh-CN"/>
        </w:rPr>
        <w:t>乙方</w:t>
      </w:r>
      <w:r>
        <w:rPr>
          <w:rFonts w:hAnsi="宋体"/>
          <w:color w:val="0D0D0D"/>
          <w:highlight w:val="none"/>
        </w:rPr>
        <w:t>仍不能交货，</w:t>
      </w:r>
      <w:r>
        <w:rPr>
          <w:rFonts w:hint="eastAsia" w:hAnsi="宋体"/>
          <w:color w:val="0D0D0D"/>
          <w:highlight w:val="none"/>
          <w:lang w:eastAsia="zh-CN"/>
        </w:rPr>
        <w:t>甲方</w:t>
      </w:r>
      <w:r>
        <w:rPr>
          <w:rFonts w:hAnsi="宋体"/>
          <w:color w:val="0D0D0D"/>
          <w:highlight w:val="none"/>
        </w:rPr>
        <w:t>可考虑终止合同。</w:t>
      </w:r>
    </w:p>
    <w:p>
      <w:pPr>
        <w:pStyle w:val="28"/>
        <w:snapToGrid w:val="0"/>
        <w:spacing w:before="120" w:beforeLines="0" w:after="120" w:afterLines="0" w:line="360" w:lineRule="auto"/>
        <w:rPr>
          <w:rFonts w:hAnsi="宋体"/>
          <w:bCs/>
          <w:color w:val="0D0D0D"/>
          <w:highlight w:val="none"/>
        </w:rPr>
      </w:pPr>
      <w:r>
        <w:rPr>
          <w:rFonts w:hint="eastAsia" w:hAnsi="宋体"/>
          <w:bCs/>
          <w:color w:val="0D0D0D"/>
          <w:highlight w:val="none"/>
        </w:rPr>
        <w:t>(4) 经买、卖双方协商同意延期交货和经双方友好协商同意退货且无需罚款者不在此例。</w:t>
      </w:r>
    </w:p>
    <w:p>
      <w:pPr>
        <w:pStyle w:val="28"/>
        <w:snapToGrid w:val="0"/>
        <w:spacing w:before="120" w:beforeLines="0" w:after="120" w:afterLines="0" w:line="360" w:lineRule="auto"/>
        <w:rPr>
          <w:rFonts w:hAnsi="宋体"/>
          <w:b/>
          <w:color w:val="0D0D0D"/>
          <w:highlight w:val="none"/>
        </w:rPr>
      </w:pPr>
      <w:r>
        <w:rPr>
          <w:rFonts w:hAnsi="宋体"/>
          <w:b/>
          <w:color w:val="0D0D0D"/>
          <w:highlight w:val="none"/>
        </w:rPr>
        <w:t>十六、不可抗力事件处理</w:t>
      </w:r>
    </w:p>
    <w:p>
      <w:pPr>
        <w:pStyle w:val="28"/>
        <w:snapToGrid w:val="0"/>
        <w:spacing w:before="120" w:beforeLines="0" w:after="120" w:afterLines="0" w:line="360" w:lineRule="auto"/>
        <w:rPr>
          <w:rFonts w:hAnsi="宋体"/>
          <w:color w:val="0D0D0D"/>
          <w:highlight w:val="none"/>
        </w:rPr>
      </w:pPr>
      <w:r>
        <w:rPr>
          <w:rFonts w:hAnsi="宋体"/>
          <w:color w:val="0D0D0D"/>
          <w:highlight w:val="none"/>
        </w:rPr>
        <w:t>16.1 在合同有效期内，任何一方因不可抗力事件导致不能履行合同，则合同履行期可延长，其延长期与不可抗力影响期相同。</w:t>
      </w:r>
    </w:p>
    <w:p>
      <w:pPr>
        <w:pStyle w:val="28"/>
        <w:snapToGrid w:val="0"/>
        <w:spacing w:before="120" w:beforeLines="0" w:after="120" w:afterLines="0" w:line="360" w:lineRule="auto"/>
        <w:rPr>
          <w:rFonts w:hAnsi="宋体"/>
          <w:color w:val="0D0D0D"/>
          <w:highlight w:val="none"/>
        </w:rPr>
      </w:pPr>
      <w:r>
        <w:rPr>
          <w:rFonts w:hAnsi="宋体"/>
          <w:color w:val="0D0D0D"/>
          <w:highlight w:val="none"/>
        </w:rPr>
        <w:t>16.2 不可抗力事件发生后，应立即通知对方，并寄送有关权威机构出具的证明。</w:t>
      </w:r>
    </w:p>
    <w:p>
      <w:pPr>
        <w:pStyle w:val="28"/>
        <w:snapToGrid w:val="0"/>
        <w:spacing w:before="120" w:beforeLines="0" w:after="120" w:afterLines="0" w:line="360" w:lineRule="auto"/>
        <w:rPr>
          <w:rFonts w:hAnsi="宋体"/>
          <w:color w:val="0D0D0D"/>
          <w:highlight w:val="none"/>
        </w:rPr>
      </w:pPr>
      <w:r>
        <w:rPr>
          <w:rFonts w:hAnsi="宋体"/>
          <w:color w:val="0D0D0D"/>
          <w:highlight w:val="none"/>
        </w:rPr>
        <w:t>16.3 不可抗力事件延续120天以上，双方应通过友好协商，确定是否继续履行合同。</w:t>
      </w:r>
    </w:p>
    <w:p>
      <w:pPr>
        <w:pStyle w:val="28"/>
        <w:snapToGrid w:val="0"/>
        <w:spacing w:before="120" w:beforeLines="0" w:after="120" w:afterLines="0" w:line="360" w:lineRule="auto"/>
        <w:rPr>
          <w:rFonts w:hAnsi="宋体"/>
          <w:b/>
          <w:color w:val="0D0D0D"/>
          <w:highlight w:val="none"/>
        </w:rPr>
      </w:pPr>
      <w:r>
        <w:rPr>
          <w:rFonts w:hAnsi="宋体"/>
          <w:b/>
          <w:color w:val="0D0D0D"/>
          <w:highlight w:val="none"/>
        </w:rPr>
        <w:t>十七、诉讼</w:t>
      </w:r>
    </w:p>
    <w:p>
      <w:pPr>
        <w:pStyle w:val="28"/>
        <w:snapToGrid w:val="0"/>
        <w:spacing w:before="120" w:beforeLines="0" w:after="120" w:afterLines="0" w:line="360" w:lineRule="auto"/>
        <w:rPr>
          <w:rFonts w:hint="eastAsia" w:hAnsi="宋体" w:eastAsia="宋体"/>
          <w:color w:val="0D0D0D"/>
          <w:highlight w:val="none"/>
          <w:lang w:eastAsia="zh-CN"/>
        </w:rPr>
      </w:pPr>
      <w:r>
        <w:rPr>
          <w:rFonts w:hAnsi="宋体"/>
          <w:color w:val="0D0D0D"/>
          <w:highlight w:val="none"/>
        </w:rPr>
        <w:t>17.1</w:t>
      </w:r>
      <w:r>
        <w:rPr>
          <w:rFonts w:hint="eastAsia" w:hAnsi="宋体"/>
          <w:color w:val="0D0D0D"/>
          <w:highlight w:val="none"/>
          <w:lang w:val="en-US" w:eastAsia="zh-CN"/>
        </w:rPr>
        <w:t xml:space="preserve"> </w:t>
      </w:r>
      <w:r>
        <w:rPr>
          <w:rFonts w:hint="eastAsia" w:hAnsi="宋体"/>
          <w:color w:val="0C0C0C"/>
          <w:highlight w:val="none"/>
        </w:rPr>
        <w:t>双方在执行合同中所发生的一切争议，应通过协商解决。如协商不成，可向合同签订地法院起诉，过程中守约方所支付的费用（包括但不限于律师费、差旅费、诉讼费、保全费、鉴定费、评估费等</w:t>
      </w:r>
      <w:r>
        <w:rPr>
          <w:rFonts w:hint="eastAsia" w:hAnsi="宋体"/>
          <w:color w:val="0C0C0C"/>
          <w:highlight w:val="none"/>
          <w:lang w:eastAsia="zh-CN"/>
        </w:rPr>
        <w:t>）</w:t>
      </w:r>
      <w:r>
        <w:rPr>
          <w:rFonts w:hint="eastAsia" w:hAnsi="宋体"/>
          <w:color w:val="0C0C0C"/>
          <w:highlight w:val="none"/>
        </w:rPr>
        <w:t>，由违约方赔偿。合同签订地在此约定为台州市。</w:t>
      </w:r>
    </w:p>
    <w:p>
      <w:pPr>
        <w:pStyle w:val="28"/>
        <w:snapToGrid w:val="0"/>
        <w:spacing w:before="120" w:beforeLines="0" w:after="120" w:afterLines="0" w:line="360" w:lineRule="auto"/>
        <w:rPr>
          <w:rFonts w:hAnsi="宋体"/>
          <w:b/>
          <w:color w:val="0D0D0D"/>
          <w:highlight w:val="none"/>
        </w:rPr>
      </w:pPr>
      <w:r>
        <w:rPr>
          <w:rFonts w:hAnsi="宋体"/>
          <w:b/>
          <w:color w:val="0D0D0D"/>
          <w:highlight w:val="none"/>
        </w:rPr>
        <w:t>十八、合同生效及其它</w:t>
      </w:r>
    </w:p>
    <w:p>
      <w:pPr>
        <w:pStyle w:val="28"/>
        <w:snapToGrid w:val="0"/>
        <w:spacing w:before="120" w:beforeLines="0" w:after="120" w:afterLines="0" w:line="360" w:lineRule="auto"/>
        <w:rPr>
          <w:rFonts w:hAnsi="宋体"/>
          <w:color w:val="0D0D0D"/>
          <w:highlight w:val="none"/>
        </w:rPr>
      </w:pPr>
      <w:r>
        <w:rPr>
          <w:rFonts w:hAnsi="宋体"/>
          <w:color w:val="0D0D0D"/>
          <w:highlight w:val="none"/>
        </w:rPr>
        <w:t>18.1 合同经双方法定代表人</w:t>
      </w:r>
      <w:r>
        <w:rPr>
          <w:rFonts w:hint="eastAsia" w:hAnsi="宋体"/>
          <w:color w:val="0D0D0D"/>
          <w:highlight w:val="none"/>
          <w:lang w:val="en-US" w:eastAsia="zh-CN"/>
        </w:rPr>
        <w:t>/经营者</w:t>
      </w:r>
      <w:r>
        <w:rPr>
          <w:rFonts w:hAnsi="宋体"/>
          <w:color w:val="0D0D0D"/>
          <w:highlight w:val="none"/>
        </w:rPr>
        <w:t>或授权委托代理人签字并加盖单位公章</w:t>
      </w:r>
      <w:r>
        <w:rPr>
          <w:rFonts w:hint="eastAsia" w:hAnsi="宋体"/>
          <w:color w:val="0D0D0D"/>
          <w:highlight w:val="none"/>
          <w:lang w:val="en-US" w:eastAsia="zh-CN"/>
        </w:rPr>
        <w:t>或合同章</w:t>
      </w:r>
      <w:r>
        <w:rPr>
          <w:rFonts w:hAnsi="宋体"/>
          <w:color w:val="0D0D0D"/>
          <w:highlight w:val="none"/>
        </w:rPr>
        <w:t>后生效。</w:t>
      </w:r>
    </w:p>
    <w:p>
      <w:pPr>
        <w:pStyle w:val="28"/>
        <w:snapToGrid w:val="0"/>
        <w:spacing w:before="120" w:beforeLines="0" w:after="120" w:afterLines="0" w:line="360" w:lineRule="auto"/>
        <w:rPr>
          <w:rFonts w:hAnsi="宋体"/>
          <w:color w:val="0D0D0D"/>
          <w:highlight w:val="none"/>
        </w:rPr>
      </w:pPr>
      <w:r>
        <w:rPr>
          <w:rFonts w:hAnsi="宋体"/>
          <w:color w:val="0D0D0D"/>
          <w:highlight w:val="none"/>
        </w:rPr>
        <w:t>18.2</w:t>
      </w:r>
      <w:r>
        <w:rPr>
          <w:rFonts w:hint="eastAsia" w:hAnsi="宋体"/>
          <w:color w:val="0D0D0D"/>
          <w:highlight w:val="none"/>
          <w:lang w:val="en-US" w:eastAsia="zh-CN"/>
        </w:rPr>
        <w:t xml:space="preserve"> </w:t>
      </w:r>
      <w:r>
        <w:rPr>
          <w:rFonts w:hAnsi="宋体"/>
          <w:color w:val="0D0D0D"/>
          <w:highlight w:val="none"/>
        </w:rPr>
        <w:t>合同执行中涉及采购资金和采购内容修改或补充的，须经部门审批，并签书面补充协议报监督管理部门备案，方可作为主合同不可分割的一部分。</w:t>
      </w:r>
    </w:p>
    <w:p>
      <w:pPr>
        <w:pStyle w:val="28"/>
        <w:snapToGrid w:val="0"/>
        <w:spacing w:before="120" w:beforeLines="0" w:after="120" w:afterLines="0" w:line="360" w:lineRule="auto"/>
        <w:rPr>
          <w:rFonts w:hAnsi="宋体"/>
          <w:color w:val="0D0D0D"/>
          <w:highlight w:val="none"/>
        </w:rPr>
      </w:pPr>
      <w:r>
        <w:rPr>
          <w:rFonts w:hAnsi="宋体"/>
          <w:color w:val="0D0D0D"/>
          <w:highlight w:val="none"/>
        </w:rPr>
        <w:t>18.3</w:t>
      </w:r>
      <w:r>
        <w:rPr>
          <w:rFonts w:hint="eastAsia" w:hAnsi="宋体"/>
          <w:color w:val="0D0D0D"/>
          <w:highlight w:val="none"/>
          <w:lang w:val="en-US" w:eastAsia="zh-CN"/>
        </w:rPr>
        <w:t xml:space="preserve"> </w:t>
      </w:r>
      <w:r>
        <w:rPr>
          <w:rFonts w:hAnsi="宋体"/>
          <w:color w:val="0D0D0D"/>
          <w:highlight w:val="none"/>
        </w:rPr>
        <w:t>本合同未尽事宜，遵照《</w:t>
      </w:r>
      <w:r>
        <w:rPr>
          <w:rFonts w:hint="eastAsia" w:hAnsi="宋体"/>
          <w:color w:val="0D0D0D"/>
          <w:highlight w:val="none"/>
          <w:lang w:val="en-US" w:eastAsia="zh-CN"/>
        </w:rPr>
        <w:t>民法典</w:t>
      </w:r>
      <w:r>
        <w:rPr>
          <w:rFonts w:hAnsi="宋体"/>
          <w:color w:val="0D0D0D"/>
          <w:highlight w:val="none"/>
        </w:rPr>
        <w:t>》有关条文执行。</w:t>
      </w:r>
    </w:p>
    <w:p>
      <w:pPr>
        <w:pStyle w:val="28"/>
        <w:snapToGrid w:val="0"/>
        <w:spacing w:before="120" w:beforeLines="0" w:after="120" w:afterLines="0" w:line="360" w:lineRule="auto"/>
        <w:rPr>
          <w:rFonts w:hAnsi="宋体"/>
          <w:color w:val="0D0D0D"/>
          <w:highlight w:val="none"/>
        </w:rPr>
      </w:pPr>
      <w:r>
        <w:rPr>
          <w:rFonts w:hAnsi="宋体"/>
          <w:color w:val="0D0D0D"/>
          <w:highlight w:val="none"/>
        </w:rPr>
        <w:t xml:space="preserve">18.4 </w:t>
      </w:r>
      <w:r>
        <w:rPr>
          <w:rFonts w:hAnsi="宋体"/>
          <w:color w:val="0C0C0C"/>
          <w:highlight w:val="none"/>
        </w:rPr>
        <w:t>本合同正本一式</w:t>
      </w:r>
      <w:r>
        <w:rPr>
          <w:rFonts w:hint="eastAsia" w:hAnsi="宋体"/>
          <w:color w:val="0C0C0C"/>
          <w:highlight w:val="none"/>
          <w:lang w:val="en-US" w:eastAsia="zh-CN"/>
        </w:rPr>
        <w:t>肆</w:t>
      </w:r>
      <w:r>
        <w:rPr>
          <w:rFonts w:hAnsi="宋体"/>
          <w:color w:val="0C0C0C"/>
          <w:highlight w:val="none"/>
        </w:rPr>
        <w:t>份，具有同等法律效力，甲</w:t>
      </w:r>
      <w:r>
        <w:rPr>
          <w:rFonts w:hint="eastAsia" w:hAnsi="宋体"/>
          <w:color w:val="0C0C0C"/>
          <w:highlight w:val="none"/>
        </w:rPr>
        <w:t>方</w:t>
      </w:r>
      <w:r>
        <w:rPr>
          <w:rFonts w:hint="eastAsia" w:hAnsi="宋体"/>
          <w:color w:val="0C0C0C"/>
          <w:highlight w:val="none"/>
          <w:lang w:val="en-US" w:eastAsia="zh-CN"/>
        </w:rPr>
        <w:t>贰</w:t>
      </w:r>
      <w:r>
        <w:rPr>
          <w:rFonts w:hAnsi="宋体"/>
          <w:color w:val="0C0C0C"/>
          <w:highlight w:val="none"/>
        </w:rPr>
        <w:t>份</w:t>
      </w:r>
      <w:r>
        <w:rPr>
          <w:rFonts w:hint="eastAsia" w:hAnsi="宋体"/>
          <w:color w:val="0C0C0C"/>
          <w:highlight w:val="none"/>
        </w:rPr>
        <w:t>，乙方贰份</w:t>
      </w:r>
      <w:r>
        <w:rPr>
          <w:rFonts w:hAnsi="宋体"/>
          <w:color w:val="0C0C0C"/>
          <w:highlight w:val="none"/>
        </w:rPr>
        <w:t>。</w:t>
      </w:r>
    </w:p>
    <w:p>
      <w:pPr>
        <w:spacing w:line="360" w:lineRule="auto"/>
        <w:rPr>
          <w:rFonts w:hAnsi="宋体"/>
          <w:color w:val="0D0D0D"/>
          <w:highlight w:val="none"/>
        </w:rPr>
      </w:pPr>
      <w:r>
        <w:rPr>
          <w:rFonts w:hAnsi="宋体"/>
          <w:color w:val="0D0D0D"/>
          <w:highlight w:val="none"/>
        </w:rPr>
        <w:t xml:space="preserve"> </w:t>
      </w:r>
    </w:p>
    <w:p>
      <w:pPr>
        <w:pStyle w:val="28"/>
        <w:snapToGrid w:val="0"/>
        <w:spacing w:before="120" w:beforeLines="0" w:after="120" w:afterLines="0" w:line="360" w:lineRule="auto"/>
        <w:rPr>
          <w:rFonts w:hint="eastAsia" w:ascii="宋体" w:hAnsi="宋体" w:eastAsia="宋体" w:cs="Times New Roman"/>
          <w:color w:val="0C0C0C"/>
          <w:highlight w:val="none"/>
        </w:rPr>
      </w:pPr>
      <w:r>
        <w:rPr>
          <w:rFonts w:hAnsi="宋体"/>
          <w:color w:val="0D0D0D"/>
          <w:highlight w:val="none"/>
        </w:rPr>
        <w:t xml:space="preserve"> </w:t>
      </w:r>
      <w:r>
        <w:rPr>
          <w:rFonts w:hint="eastAsia" w:ascii="宋体" w:hAnsi="宋体" w:eastAsia="宋体" w:cs="Times New Roman"/>
          <w:color w:val="0C0C0C"/>
          <w:highlight w:val="none"/>
        </w:rPr>
        <w:t xml:space="preserve">甲方：                                        乙方：  </w:t>
      </w:r>
    </w:p>
    <w:p>
      <w:pPr>
        <w:pStyle w:val="28"/>
        <w:snapToGrid w:val="0"/>
        <w:spacing w:before="120" w:beforeLines="0" w:after="120" w:afterLines="0" w:line="360" w:lineRule="auto"/>
        <w:rPr>
          <w:rFonts w:hint="eastAsia" w:ascii="宋体" w:hAnsi="宋体" w:eastAsia="宋体" w:cs="Times New Roman"/>
          <w:color w:val="0C0C0C"/>
          <w:highlight w:val="none"/>
        </w:rPr>
      </w:pPr>
      <w:r>
        <w:rPr>
          <w:rFonts w:hint="eastAsia" w:ascii="宋体" w:hAnsi="宋体" w:eastAsia="宋体" w:cs="Times New Roman"/>
          <w:color w:val="0C0C0C"/>
          <w:highlight w:val="none"/>
        </w:rPr>
        <w:t>法定代表人：                                  法定代表人</w:t>
      </w:r>
      <w:r>
        <w:rPr>
          <w:rFonts w:hint="eastAsia" w:ascii="宋体" w:hAnsi="宋体" w:eastAsia="宋体" w:cs="Times New Roman"/>
          <w:color w:val="0C0C0C"/>
          <w:highlight w:val="none"/>
          <w:lang w:val="en-US" w:eastAsia="zh-CN"/>
        </w:rPr>
        <w:t>/经营者</w:t>
      </w:r>
      <w:r>
        <w:rPr>
          <w:rFonts w:hint="eastAsia" w:ascii="宋体" w:hAnsi="宋体" w:eastAsia="宋体" w:cs="Times New Roman"/>
          <w:color w:val="0C0C0C"/>
          <w:highlight w:val="none"/>
        </w:rPr>
        <w:t>：</w:t>
      </w:r>
    </w:p>
    <w:p>
      <w:pPr>
        <w:pStyle w:val="28"/>
        <w:snapToGrid w:val="0"/>
        <w:spacing w:before="120" w:beforeLines="0" w:after="120" w:afterLines="0" w:line="360" w:lineRule="auto"/>
        <w:rPr>
          <w:rFonts w:hint="eastAsia" w:ascii="宋体" w:hAnsi="宋体" w:eastAsia="宋体" w:cs="Times New Roman"/>
          <w:color w:val="0C0C0C"/>
          <w:highlight w:val="none"/>
        </w:rPr>
      </w:pPr>
      <w:r>
        <w:rPr>
          <w:rFonts w:hint="eastAsia" w:ascii="宋体" w:hAnsi="宋体" w:eastAsia="宋体" w:cs="Times New Roman"/>
          <w:color w:val="0C0C0C"/>
          <w:highlight w:val="none"/>
        </w:rPr>
        <w:t>委托代理人：                                  法定代表人</w:t>
      </w:r>
      <w:r>
        <w:rPr>
          <w:rFonts w:hint="eastAsia" w:ascii="宋体" w:hAnsi="宋体" w:eastAsia="宋体" w:cs="Times New Roman"/>
          <w:color w:val="0C0C0C"/>
          <w:highlight w:val="none"/>
          <w:lang w:val="en-US" w:eastAsia="zh-CN"/>
        </w:rPr>
        <w:t>/经营者电话：</w:t>
      </w:r>
      <w:r>
        <w:rPr>
          <w:rFonts w:hint="eastAsia" w:ascii="宋体" w:hAnsi="宋体" w:eastAsia="宋体" w:cs="Times New Roman"/>
          <w:color w:val="0C0C0C"/>
          <w:highlight w:val="none"/>
        </w:rPr>
        <w:t xml:space="preserve"> </w:t>
      </w:r>
    </w:p>
    <w:p>
      <w:pPr>
        <w:pStyle w:val="28"/>
        <w:snapToGrid w:val="0"/>
        <w:spacing w:before="120" w:beforeLines="0" w:after="120" w:afterLines="0" w:line="360" w:lineRule="auto"/>
        <w:rPr>
          <w:rFonts w:hint="eastAsia" w:ascii="宋体" w:hAnsi="宋体" w:eastAsia="宋体" w:cs="Times New Roman"/>
          <w:color w:val="0C0C0C"/>
          <w:highlight w:val="none"/>
        </w:rPr>
      </w:pPr>
      <w:r>
        <w:rPr>
          <w:rFonts w:hint="eastAsia" w:ascii="宋体" w:hAnsi="宋体" w:eastAsia="宋体" w:cs="Times New Roman"/>
          <w:color w:val="0C0C0C"/>
          <w:highlight w:val="none"/>
        </w:rPr>
        <w:t>地 址：</w:t>
      </w:r>
      <w:r>
        <w:rPr>
          <w:rFonts w:hint="eastAsia" w:hAnsi="宋体" w:eastAsia="宋体" w:cs="Times New Roman"/>
          <w:color w:val="0C0C0C"/>
          <w:highlight w:val="none"/>
          <w:lang w:eastAsia="zh-CN"/>
        </w:rPr>
        <w:t>椒江区滨富东路999号东盛广场</w:t>
      </w:r>
      <w:r>
        <w:rPr>
          <w:rFonts w:hint="eastAsia" w:ascii="宋体" w:hAnsi="宋体" w:eastAsia="宋体" w:cs="Times New Roman"/>
          <w:color w:val="0C0C0C"/>
          <w:highlight w:val="none"/>
        </w:rPr>
        <w:t xml:space="preserve">        </w:t>
      </w:r>
      <w:r>
        <w:rPr>
          <w:rFonts w:hint="eastAsia" w:ascii="宋体" w:hAnsi="宋体" w:eastAsia="宋体" w:cs="Times New Roman"/>
          <w:color w:val="0C0C0C"/>
          <w:highlight w:val="none"/>
          <w:lang w:val="en-US" w:eastAsia="zh-CN"/>
        </w:rPr>
        <w:t xml:space="preserve">   </w:t>
      </w:r>
      <w:r>
        <w:rPr>
          <w:rFonts w:hint="eastAsia" w:ascii="宋体" w:hAnsi="宋体" w:eastAsia="宋体" w:cs="Times New Roman"/>
          <w:color w:val="0C0C0C"/>
          <w:highlight w:val="none"/>
        </w:rPr>
        <w:t>委托代理人</w:t>
      </w:r>
      <w:r>
        <w:rPr>
          <w:rFonts w:hint="eastAsia" w:ascii="宋体" w:hAnsi="宋体" w:eastAsia="宋体" w:cs="Times New Roman"/>
          <w:color w:val="0C0C0C"/>
          <w:highlight w:val="none"/>
          <w:lang w:val="en-US" w:eastAsia="zh-CN"/>
        </w:rPr>
        <w:t>电话</w:t>
      </w:r>
      <w:r>
        <w:rPr>
          <w:rFonts w:hint="eastAsia" w:ascii="宋体" w:hAnsi="宋体" w:eastAsia="宋体" w:cs="Times New Roman"/>
          <w:color w:val="0C0C0C"/>
          <w:highlight w:val="none"/>
        </w:rPr>
        <w:t>：</w:t>
      </w:r>
    </w:p>
    <w:p>
      <w:pPr>
        <w:pStyle w:val="28"/>
        <w:snapToGrid w:val="0"/>
        <w:spacing w:before="120" w:beforeLines="0" w:after="120" w:afterLines="0" w:line="360" w:lineRule="auto"/>
        <w:ind w:firstLine="5520" w:firstLineChars="2300"/>
        <w:rPr>
          <w:rFonts w:hint="eastAsia" w:ascii="宋体" w:hAnsi="宋体" w:eastAsia="宋体" w:cs="Times New Roman"/>
          <w:color w:val="0C0C0C"/>
          <w:highlight w:val="none"/>
        </w:rPr>
      </w:pPr>
      <w:r>
        <w:rPr>
          <w:rFonts w:hint="eastAsia" w:ascii="宋体" w:hAnsi="宋体" w:eastAsia="宋体" w:cs="Times New Roman"/>
          <w:color w:val="0C0C0C"/>
          <w:highlight w:val="none"/>
          <w:lang w:val="en-US" w:eastAsia="zh-CN"/>
        </w:rPr>
        <w:t xml:space="preserve"> </w:t>
      </w:r>
      <w:r>
        <w:rPr>
          <w:rFonts w:hint="eastAsia" w:ascii="宋体" w:hAnsi="宋体" w:eastAsia="宋体" w:cs="Times New Roman"/>
          <w:color w:val="0C0C0C"/>
          <w:highlight w:val="none"/>
        </w:rPr>
        <w:t>地 址：</w:t>
      </w:r>
    </w:p>
    <w:p>
      <w:pPr>
        <w:pStyle w:val="28"/>
        <w:snapToGrid w:val="0"/>
        <w:spacing w:before="120" w:beforeLines="0" w:after="120" w:afterLines="0" w:line="360" w:lineRule="auto"/>
        <w:rPr>
          <w:rFonts w:hint="eastAsia" w:ascii="宋体" w:hAnsi="宋体" w:eastAsia="宋体" w:cs="Times New Roman"/>
          <w:color w:val="0C0C0C"/>
          <w:highlight w:val="none"/>
        </w:rPr>
      </w:pPr>
      <w:r>
        <w:rPr>
          <w:rFonts w:hint="eastAsia" w:ascii="宋体" w:hAnsi="宋体" w:eastAsia="宋体" w:cs="Times New Roman"/>
          <w:color w:val="0C0C0C"/>
          <w:highlight w:val="none"/>
        </w:rPr>
        <w:t xml:space="preserve">电 话： 0576-88909650                     </w:t>
      </w:r>
      <w:r>
        <w:rPr>
          <w:rFonts w:hint="eastAsia" w:ascii="宋体" w:hAnsi="宋体" w:eastAsia="宋体" w:cs="Times New Roman"/>
          <w:color w:val="0C0C0C"/>
          <w:highlight w:val="none"/>
          <w:lang w:val="en-US" w:eastAsia="zh-CN"/>
        </w:rPr>
        <w:t xml:space="preserve">   </w:t>
      </w:r>
      <w:r>
        <w:rPr>
          <w:rFonts w:hint="eastAsia" w:ascii="宋体" w:hAnsi="宋体" w:eastAsia="宋体" w:cs="Times New Roman"/>
          <w:color w:val="0C0C0C"/>
          <w:highlight w:val="none"/>
        </w:rPr>
        <w:t xml:space="preserve"> 电 话：</w:t>
      </w:r>
    </w:p>
    <w:p>
      <w:pPr>
        <w:pStyle w:val="28"/>
        <w:snapToGrid w:val="0"/>
        <w:spacing w:before="120" w:beforeLines="0" w:after="120" w:afterLines="0" w:line="360" w:lineRule="auto"/>
        <w:rPr>
          <w:rFonts w:hint="eastAsia" w:ascii="宋体" w:hAnsi="宋体" w:eastAsia="宋体" w:cs="Times New Roman"/>
          <w:color w:val="0C0C0C"/>
          <w:highlight w:val="none"/>
        </w:rPr>
      </w:pPr>
      <w:r>
        <w:rPr>
          <w:rFonts w:hint="eastAsia" w:ascii="宋体" w:hAnsi="宋体" w:eastAsia="宋体" w:cs="Times New Roman"/>
          <w:color w:val="0C0C0C"/>
          <w:highlight w:val="none"/>
        </w:rPr>
        <w:t>开 户 行：建设银行台州湾新区支行</w:t>
      </w:r>
      <w:r>
        <w:rPr>
          <w:rFonts w:hint="eastAsia" w:ascii="宋体" w:hAnsi="宋体" w:eastAsia="宋体" w:cs="Times New Roman"/>
          <w:color w:val="0C0C0C"/>
          <w:highlight w:val="none"/>
          <w:lang w:val="en-US" w:eastAsia="zh-CN"/>
        </w:rPr>
        <w:t xml:space="preserve">    </w:t>
      </w:r>
      <w:r>
        <w:rPr>
          <w:rFonts w:hint="eastAsia" w:ascii="宋体" w:hAnsi="宋体" w:eastAsia="宋体" w:cs="Times New Roman"/>
          <w:color w:val="0C0C0C"/>
          <w:highlight w:val="none"/>
        </w:rPr>
        <w:t xml:space="preserve">       </w:t>
      </w:r>
      <w:r>
        <w:rPr>
          <w:rFonts w:hint="eastAsia" w:ascii="宋体" w:hAnsi="宋体" w:eastAsia="宋体" w:cs="Times New Roman"/>
          <w:color w:val="0C0C0C"/>
          <w:highlight w:val="none"/>
          <w:lang w:val="en-US" w:eastAsia="zh-CN"/>
        </w:rPr>
        <w:t xml:space="preserve">   </w:t>
      </w:r>
      <w:r>
        <w:rPr>
          <w:rFonts w:hint="eastAsia" w:ascii="宋体" w:hAnsi="宋体" w:eastAsia="宋体" w:cs="Times New Roman"/>
          <w:color w:val="0C0C0C"/>
          <w:highlight w:val="none"/>
        </w:rPr>
        <w:t>开 户 行：</w:t>
      </w:r>
    </w:p>
    <w:p>
      <w:pPr>
        <w:pStyle w:val="28"/>
        <w:snapToGrid w:val="0"/>
        <w:spacing w:before="120" w:beforeLines="0" w:after="120" w:afterLines="0" w:line="360" w:lineRule="auto"/>
        <w:rPr>
          <w:rFonts w:hint="eastAsia" w:ascii="宋体" w:hAnsi="宋体" w:eastAsia="宋体" w:cs="Times New Roman"/>
          <w:color w:val="0C0C0C"/>
          <w:highlight w:val="none"/>
        </w:rPr>
      </w:pPr>
      <w:r>
        <w:rPr>
          <w:rFonts w:hint="eastAsia" w:ascii="宋体" w:hAnsi="宋体" w:eastAsia="宋体" w:cs="Times New Roman"/>
          <w:color w:val="0C0C0C"/>
          <w:highlight w:val="none"/>
        </w:rPr>
        <w:t xml:space="preserve">帐 号： 33050110284009125999              </w:t>
      </w:r>
      <w:r>
        <w:rPr>
          <w:rFonts w:hint="eastAsia" w:ascii="宋体" w:hAnsi="宋体" w:eastAsia="宋体" w:cs="Times New Roman"/>
          <w:color w:val="0C0C0C"/>
          <w:highlight w:val="none"/>
          <w:lang w:val="en-US" w:eastAsia="zh-CN"/>
        </w:rPr>
        <w:t xml:space="preserve">   </w:t>
      </w:r>
      <w:r>
        <w:rPr>
          <w:rFonts w:hint="eastAsia" w:ascii="宋体" w:hAnsi="宋体" w:eastAsia="宋体" w:cs="Times New Roman"/>
          <w:color w:val="0C0C0C"/>
          <w:highlight w:val="none"/>
        </w:rPr>
        <w:t xml:space="preserve"> 帐 号：</w:t>
      </w:r>
    </w:p>
    <w:p>
      <w:pPr>
        <w:pStyle w:val="28"/>
        <w:snapToGrid w:val="0"/>
        <w:spacing w:before="120" w:beforeLines="0" w:after="120" w:afterLines="0" w:line="360" w:lineRule="auto"/>
        <w:rPr>
          <w:rFonts w:hint="eastAsia" w:ascii="宋体" w:hAnsi="宋体" w:eastAsia="宋体" w:cs="Times New Roman"/>
          <w:color w:val="0C0C0C"/>
          <w:highlight w:val="none"/>
        </w:rPr>
      </w:pPr>
      <w:r>
        <w:rPr>
          <w:rFonts w:hint="eastAsia" w:ascii="宋体" w:hAnsi="宋体" w:eastAsia="宋体" w:cs="Times New Roman"/>
          <w:color w:val="0C0C0C"/>
          <w:highlight w:val="none"/>
        </w:rPr>
        <w:t xml:space="preserve">税 号：                                   </w:t>
      </w:r>
      <w:r>
        <w:rPr>
          <w:rFonts w:hint="eastAsia" w:ascii="宋体" w:hAnsi="宋体" w:eastAsia="宋体" w:cs="Times New Roman"/>
          <w:color w:val="0C0C0C"/>
          <w:highlight w:val="none"/>
          <w:lang w:val="en-US" w:eastAsia="zh-CN"/>
        </w:rPr>
        <w:t xml:space="preserve">   </w:t>
      </w:r>
      <w:r>
        <w:rPr>
          <w:rFonts w:hint="eastAsia" w:ascii="宋体" w:hAnsi="宋体" w:eastAsia="宋体" w:cs="Times New Roman"/>
          <w:color w:val="0C0C0C"/>
          <w:highlight w:val="none"/>
        </w:rPr>
        <w:t xml:space="preserve"> 税 号：</w:t>
      </w:r>
    </w:p>
    <w:p>
      <w:pPr>
        <w:pStyle w:val="28"/>
        <w:snapToGrid w:val="0"/>
        <w:spacing w:before="120" w:beforeLines="0" w:after="120" w:afterLines="0" w:line="360" w:lineRule="auto"/>
        <w:rPr>
          <w:rFonts w:hint="eastAsia" w:ascii="宋体" w:hAnsi="宋体" w:eastAsia="宋体" w:cs="Times New Roman"/>
          <w:color w:val="0C0C0C"/>
          <w:highlight w:val="none"/>
        </w:rPr>
      </w:pPr>
      <w:r>
        <w:rPr>
          <w:rFonts w:hint="eastAsia" w:ascii="宋体" w:hAnsi="宋体" w:eastAsia="宋体" w:cs="Times New Roman"/>
          <w:color w:val="0C0C0C"/>
          <w:highlight w:val="none"/>
        </w:rPr>
        <w:t xml:space="preserve">签订地点：                     签订日期：  </w:t>
      </w:r>
      <w:r>
        <w:rPr>
          <w:rFonts w:hint="eastAsia" w:ascii="宋体" w:hAnsi="宋体" w:eastAsia="宋体" w:cs="Times New Roman"/>
          <w:color w:val="0C0C0C"/>
          <w:highlight w:val="none"/>
          <w:lang w:val="en-US" w:eastAsia="zh-CN"/>
        </w:rPr>
        <w:t xml:space="preserve">                 </w:t>
      </w:r>
      <w:r>
        <w:rPr>
          <w:rFonts w:hint="eastAsia" w:ascii="宋体" w:hAnsi="宋体" w:eastAsia="宋体" w:cs="Times New Roman"/>
          <w:color w:val="0C0C0C"/>
          <w:highlight w:val="none"/>
        </w:rPr>
        <w:t xml:space="preserve">    年  月  日</w:t>
      </w:r>
    </w:p>
    <w:p>
      <w:pPr>
        <w:pStyle w:val="28"/>
        <w:snapToGrid w:val="0"/>
        <w:spacing w:before="120" w:beforeLines="0" w:after="120" w:afterLines="0" w:line="360" w:lineRule="auto"/>
        <w:rPr>
          <w:rFonts w:hint="eastAsia" w:ascii="宋体" w:hAnsi="宋体" w:eastAsia="宋体" w:cs="Times New Roman"/>
          <w:color w:val="0C0C0C"/>
          <w:highlight w:val="none"/>
        </w:rPr>
        <w:sectPr>
          <w:headerReference r:id="rId9" w:type="default"/>
          <w:footerReference r:id="rId10" w:type="default"/>
          <w:footnotePr>
            <w:numRestart w:val="eachPage"/>
          </w:footnotePr>
          <w:endnotePr>
            <w:numRestart w:val="eachSect"/>
          </w:endnotePr>
          <w:pgSz w:w="11907" w:h="16840"/>
          <w:pgMar w:top="1247" w:right="1361" w:bottom="1247" w:left="1361" w:header="851" w:footer="824" w:gutter="0"/>
          <w:cols w:space="720" w:num="1"/>
          <w:docGrid w:linePitch="435" w:charSpace="-6554"/>
        </w:sectPr>
      </w:pPr>
    </w:p>
    <w:p>
      <w:pPr>
        <w:adjustRightInd w:val="0"/>
        <w:spacing w:line="360" w:lineRule="exact"/>
        <w:ind w:firstLine="600" w:firstLineChars="200"/>
        <w:jc w:val="center"/>
        <w:rPr>
          <w:rFonts w:ascii="黑体" w:hAnsi="黑体" w:eastAsia="黑体"/>
          <w:szCs w:val="28"/>
          <w:highlight w:val="none"/>
        </w:rPr>
      </w:pPr>
      <w:r>
        <w:rPr>
          <w:rFonts w:hint="eastAsia" w:ascii="黑体" w:hAnsi="黑体" w:eastAsia="黑体"/>
          <w:sz w:val="30"/>
          <w:szCs w:val="30"/>
          <w:highlight w:val="none"/>
        </w:rPr>
        <w:t>项目廉政责任书</w:t>
      </w:r>
    </w:p>
    <w:p>
      <w:pPr>
        <w:autoSpaceDE w:val="0"/>
        <w:autoSpaceDN w:val="0"/>
        <w:spacing w:line="360" w:lineRule="exact"/>
        <w:ind w:firstLine="482"/>
        <w:rPr>
          <w:sz w:val="21"/>
          <w:szCs w:val="21"/>
          <w:highlight w:val="none"/>
        </w:rPr>
      </w:pPr>
    </w:p>
    <w:p>
      <w:pPr>
        <w:autoSpaceDE w:val="0"/>
        <w:autoSpaceDN w:val="0"/>
        <w:spacing w:line="360" w:lineRule="auto"/>
        <w:ind w:firstLine="482"/>
        <w:rPr>
          <w:sz w:val="24"/>
          <w:highlight w:val="none"/>
        </w:rPr>
      </w:pPr>
      <w:r>
        <w:rPr>
          <w:rFonts w:hint="eastAsia"/>
          <w:sz w:val="24"/>
          <w:highlight w:val="none"/>
        </w:rPr>
        <w:t>项目名称：</w:t>
      </w:r>
      <w:r>
        <w:rPr>
          <w:rFonts w:hint="eastAsia"/>
          <w:bCs/>
          <w:sz w:val="24"/>
          <w:highlight w:val="none"/>
          <w:u w:val="single"/>
          <w:lang w:eastAsia="zh-CN"/>
        </w:rPr>
        <w:t>台州湾新区规划支路二道路工程(星空教育地块内)（石粉采购）</w:t>
      </w:r>
      <w:r>
        <w:rPr>
          <w:rFonts w:hint="eastAsia"/>
          <w:sz w:val="24"/>
          <w:highlight w:val="none"/>
          <w:u w:val="single"/>
        </w:rPr>
        <w:t xml:space="preserve">  </w:t>
      </w:r>
    </w:p>
    <w:p>
      <w:pPr>
        <w:autoSpaceDE w:val="0"/>
        <w:autoSpaceDN w:val="0"/>
        <w:spacing w:line="360" w:lineRule="auto"/>
        <w:ind w:firstLine="482"/>
        <w:rPr>
          <w:sz w:val="24"/>
          <w:highlight w:val="none"/>
        </w:rPr>
      </w:pPr>
      <w:r>
        <w:rPr>
          <w:rFonts w:hint="eastAsia" w:ascii="宋体" w:hAnsi="宋体"/>
          <w:color w:val="0D0D0D"/>
          <w:sz w:val="24"/>
          <w:highlight w:val="none"/>
          <w:lang w:val="en-US" w:eastAsia="zh-CN"/>
        </w:rPr>
        <w:t>招标人</w:t>
      </w:r>
      <w:r>
        <w:rPr>
          <w:rFonts w:hint="eastAsia"/>
          <w:sz w:val="24"/>
          <w:highlight w:val="none"/>
        </w:rPr>
        <w:t>（甲方）：</w:t>
      </w:r>
      <w:r>
        <w:rPr>
          <w:rFonts w:hint="eastAsia"/>
          <w:sz w:val="24"/>
          <w:highlight w:val="none"/>
          <w:u w:val="single"/>
        </w:rPr>
        <w:t xml:space="preserve">   </w:t>
      </w:r>
      <w:r>
        <w:rPr>
          <w:rFonts w:hint="eastAsia"/>
          <w:bCs/>
          <w:sz w:val="24"/>
          <w:highlight w:val="none"/>
          <w:u w:val="single"/>
          <w:lang w:eastAsia="zh-CN"/>
        </w:rPr>
        <w:t>台州东发建设集团有限公司</w:t>
      </w:r>
      <w:r>
        <w:rPr>
          <w:sz w:val="24"/>
          <w:highlight w:val="none"/>
          <w:u w:val="single"/>
        </w:rPr>
        <w:t xml:space="preserve"> </w:t>
      </w:r>
      <w:r>
        <w:rPr>
          <w:rFonts w:hint="eastAsia"/>
          <w:sz w:val="24"/>
          <w:highlight w:val="none"/>
          <w:u w:val="single"/>
        </w:rPr>
        <w:t xml:space="preserve">      </w:t>
      </w:r>
    </w:p>
    <w:p>
      <w:pPr>
        <w:autoSpaceDE w:val="0"/>
        <w:autoSpaceDN w:val="0"/>
        <w:spacing w:line="360" w:lineRule="auto"/>
        <w:ind w:firstLine="482"/>
        <w:rPr>
          <w:rFonts w:hint="eastAsia"/>
          <w:sz w:val="24"/>
          <w:highlight w:val="none"/>
        </w:rPr>
      </w:pPr>
      <w:r>
        <w:rPr>
          <w:rFonts w:hint="eastAsia"/>
          <w:sz w:val="24"/>
          <w:highlight w:val="none"/>
        </w:rPr>
        <w:t>中标</w:t>
      </w:r>
      <w:r>
        <w:rPr>
          <w:rFonts w:hint="eastAsia"/>
          <w:sz w:val="24"/>
          <w:highlight w:val="none"/>
          <w:lang w:val="en-US" w:eastAsia="zh-CN"/>
        </w:rPr>
        <w:t>人</w:t>
      </w:r>
      <w:r>
        <w:rPr>
          <w:rFonts w:hint="eastAsia"/>
          <w:sz w:val="24"/>
          <w:highlight w:val="none"/>
        </w:rPr>
        <w:t>（乙方）：</w:t>
      </w:r>
      <w:r>
        <w:rPr>
          <w:rFonts w:hint="eastAsia"/>
          <w:sz w:val="24"/>
          <w:highlight w:val="none"/>
          <w:u w:val="single"/>
        </w:rPr>
        <w:t xml:space="preserve">                                   </w:t>
      </w:r>
    </w:p>
    <w:p>
      <w:pPr>
        <w:autoSpaceDE w:val="0"/>
        <w:autoSpaceDN w:val="0"/>
        <w:spacing w:line="360" w:lineRule="auto"/>
        <w:ind w:firstLine="482"/>
        <w:rPr>
          <w:sz w:val="24"/>
          <w:highlight w:val="none"/>
        </w:rPr>
      </w:pPr>
      <w:r>
        <w:rPr>
          <w:rFonts w:hint="eastAsia"/>
          <w:sz w:val="24"/>
          <w:highlight w:val="none"/>
        </w:rPr>
        <w:t>为加强项目中的廉政建设，规范项目双方的各项活动，防止发生各种谋取不正当利益的违法违纪行为，保护国家、集体和当事人的合法权益，根据国家有关工程建设的法律法规和廉政建设责任制规定，特订立本廉政责任书。</w:t>
      </w:r>
    </w:p>
    <w:p>
      <w:pPr>
        <w:autoSpaceDE w:val="0"/>
        <w:autoSpaceDN w:val="0"/>
        <w:spacing w:line="360" w:lineRule="auto"/>
        <w:rPr>
          <w:sz w:val="24"/>
          <w:highlight w:val="none"/>
        </w:rPr>
      </w:pPr>
      <w:r>
        <w:rPr>
          <w:rFonts w:hint="eastAsia"/>
          <w:sz w:val="24"/>
          <w:highlight w:val="none"/>
        </w:rPr>
        <w:t>　　第一条 甲乙双方的责任</w:t>
      </w:r>
    </w:p>
    <w:p>
      <w:pPr>
        <w:spacing w:line="360" w:lineRule="auto"/>
        <w:jc w:val="left"/>
        <w:rPr>
          <w:sz w:val="24"/>
          <w:highlight w:val="none"/>
        </w:rPr>
      </w:pPr>
      <w:r>
        <w:rPr>
          <w:rFonts w:hint="eastAsia"/>
          <w:sz w:val="24"/>
          <w:highlight w:val="none"/>
        </w:rPr>
        <w:t>　　（一）应严格遵守国家关于市场准入、项目招标投标和市场活动等有关法律、法规，相关政策，以及廉政建设的各项规定。</w:t>
      </w:r>
    </w:p>
    <w:p>
      <w:pPr>
        <w:autoSpaceDE w:val="0"/>
        <w:autoSpaceDN w:val="0"/>
        <w:spacing w:line="360" w:lineRule="auto"/>
        <w:rPr>
          <w:sz w:val="24"/>
          <w:highlight w:val="none"/>
        </w:rPr>
      </w:pPr>
      <w:r>
        <w:rPr>
          <w:rFonts w:hint="eastAsia"/>
          <w:sz w:val="24"/>
          <w:highlight w:val="none"/>
        </w:rPr>
        <w:t>　　（二）严格执行项目双方合同文件，自觉按合同办事。</w:t>
      </w:r>
    </w:p>
    <w:p>
      <w:pPr>
        <w:spacing w:line="360" w:lineRule="auto"/>
        <w:rPr>
          <w:sz w:val="24"/>
          <w:highlight w:val="none"/>
        </w:rPr>
      </w:pPr>
      <w:r>
        <w:rPr>
          <w:rFonts w:hint="eastAsia"/>
          <w:sz w:val="24"/>
          <w:highlight w:val="none"/>
        </w:rPr>
        <w:t>　　（三）业务活动必须坚持公开、公平、公正、诚信、透明的原则（除法律法规另有规定者外），不得为获取不正当的利益，损害国家、集体和对方利益，不得违反工程建设管理、施工安装的规章制度。</w:t>
      </w:r>
    </w:p>
    <w:p>
      <w:pPr>
        <w:spacing w:line="360" w:lineRule="auto"/>
        <w:jc w:val="left"/>
        <w:rPr>
          <w:sz w:val="24"/>
          <w:highlight w:val="none"/>
        </w:rPr>
      </w:pPr>
      <w:r>
        <w:rPr>
          <w:rFonts w:hint="eastAsia"/>
          <w:sz w:val="24"/>
          <w:highlight w:val="none"/>
        </w:rPr>
        <w:t>　　（四）发现对方在业务活动中有违规、违纪、违法行为的，应及时提醒对方，情节严重的，应向其上级主管部门或纪检监察、司法等有关机关举报。</w:t>
      </w:r>
    </w:p>
    <w:p>
      <w:pPr>
        <w:autoSpaceDE w:val="0"/>
        <w:autoSpaceDN w:val="0"/>
        <w:spacing w:line="360" w:lineRule="auto"/>
        <w:rPr>
          <w:sz w:val="24"/>
          <w:highlight w:val="none"/>
        </w:rPr>
      </w:pPr>
      <w:r>
        <w:rPr>
          <w:rFonts w:hint="eastAsia"/>
          <w:sz w:val="24"/>
          <w:highlight w:val="none"/>
        </w:rPr>
        <w:t>　　第二条 甲方的责任</w:t>
      </w:r>
    </w:p>
    <w:p>
      <w:pPr>
        <w:autoSpaceDE w:val="0"/>
        <w:autoSpaceDN w:val="0"/>
        <w:spacing w:line="360" w:lineRule="auto"/>
        <w:rPr>
          <w:sz w:val="24"/>
          <w:highlight w:val="none"/>
        </w:rPr>
      </w:pPr>
      <w:r>
        <w:rPr>
          <w:rFonts w:hint="eastAsia"/>
          <w:sz w:val="24"/>
          <w:highlight w:val="none"/>
        </w:rPr>
        <w:t>　　甲方的领导和从事该项目的工作人员，在项目的事前、事中、事后应遵守以下规定：</w:t>
      </w:r>
    </w:p>
    <w:p>
      <w:pPr>
        <w:autoSpaceDE w:val="0"/>
        <w:autoSpaceDN w:val="0"/>
        <w:spacing w:line="360" w:lineRule="auto"/>
        <w:rPr>
          <w:sz w:val="24"/>
          <w:highlight w:val="none"/>
        </w:rPr>
      </w:pPr>
      <w:r>
        <w:rPr>
          <w:rFonts w:hint="eastAsia"/>
          <w:sz w:val="24"/>
          <w:highlight w:val="none"/>
        </w:rPr>
        <w:t>　　（一）不准向乙方和相关单位索要或接受回扣、礼金、有价证券、贵重物品和好处费、感谢费等。</w:t>
      </w:r>
    </w:p>
    <w:p>
      <w:pPr>
        <w:autoSpaceDE w:val="0"/>
        <w:autoSpaceDN w:val="0"/>
        <w:spacing w:line="360" w:lineRule="auto"/>
        <w:rPr>
          <w:sz w:val="24"/>
          <w:highlight w:val="none"/>
        </w:rPr>
      </w:pPr>
      <w:r>
        <w:rPr>
          <w:rFonts w:hint="eastAsia"/>
          <w:sz w:val="24"/>
          <w:highlight w:val="none"/>
        </w:rPr>
        <w:t>　　（二）不准在乙方和相关单位报销任何应由甲方或个人支付的费用。</w:t>
      </w:r>
    </w:p>
    <w:p>
      <w:pPr>
        <w:spacing w:line="360" w:lineRule="auto"/>
        <w:jc w:val="left"/>
        <w:rPr>
          <w:sz w:val="24"/>
          <w:highlight w:val="none"/>
        </w:rPr>
      </w:pPr>
      <w:r>
        <w:rPr>
          <w:rFonts w:hint="eastAsia"/>
          <w:sz w:val="24"/>
          <w:highlight w:val="none"/>
        </w:rPr>
        <w:t>　　（三）不准要求、暗示和接受乙方和相关单位为个人装修住房、婚丧嫁娶、配偶子女的工作安排以及出国（境）、旅游等提供方便。</w:t>
      </w:r>
    </w:p>
    <w:p>
      <w:pPr>
        <w:autoSpaceDE w:val="0"/>
        <w:autoSpaceDN w:val="0"/>
        <w:spacing w:line="360" w:lineRule="auto"/>
        <w:rPr>
          <w:sz w:val="24"/>
          <w:highlight w:val="none"/>
        </w:rPr>
      </w:pPr>
      <w:r>
        <w:rPr>
          <w:rFonts w:hint="eastAsia"/>
          <w:sz w:val="24"/>
          <w:highlight w:val="none"/>
        </w:rPr>
        <w:t>　　（四）不准参加有可能影响公正执行公务的乙方和相关单位的宴请和健身、娱乐等活动。</w:t>
      </w:r>
    </w:p>
    <w:p>
      <w:pPr>
        <w:spacing w:line="360" w:lineRule="auto"/>
        <w:jc w:val="left"/>
        <w:rPr>
          <w:sz w:val="24"/>
          <w:highlight w:val="none"/>
        </w:rPr>
      </w:pPr>
      <w:r>
        <w:rPr>
          <w:rFonts w:hint="eastAsia"/>
          <w:sz w:val="24"/>
          <w:highlight w:val="none"/>
        </w:rPr>
        <w:t>　　（五）不准向乙方介绍或为配偶、子女、亲属参与同甲方项目合同有关的设备、材料、劳务等经济活动。不得以任何理由向乙方和相关单位推荐其他单位和要求乙方购买项目合同规定以外的材料、设备等。</w:t>
      </w:r>
    </w:p>
    <w:p>
      <w:pPr>
        <w:autoSpaceDE w:val="0"/>
        <w:autoSpaceDN w:val="0"/>
        <w:spacing w:line="360" w:lineRule="auto"/>
        <w:rPr>
          <w:sz w:val="24"/>
          <w:highlight w:val="none"/>
        </w:rPr>
      </w:pPr>
      <w:r>
        <w:rPr>
          <w:rFonts w:hint="eastAsia"/>
          <w:sz w:val="24"/>
          <w:highlight w:val="none"/>
        </w:rPr>
        <w:t>　　第三条 乙方的责任</w:t>
      </w:r>
    </w:p>
    <w:p>
      <w:pPr>
        <w:spacing w:line="360" w:lineRule="auto"/>
        <w:jc w:val="left"/>
        <w:rPr>
          <w:sz w:val="24"/>
          <w:highlight w:val="none"/>
        </w:rPr>
      </w:pPr>
      <w:r>
        <w:rPr>
          <w:rFonts w:hint="eastAsia"/>
          <w:sz w:val="24"/>
          <w:highlight w:val="none"/>
        </w:rPr>
        <w:t>　　应与甲方保持正常的业务交往，按照有关法律法规和程序开展业务工作，严格执行项目的有关方针、政策，并遵守以下规定：</w:t>
      </w:r>
    </w:p>
    <w:p>
      <w:pPr>
        <w:spacing w:line="360" w:lineRule="auto"/>
        <w:jc w:val="left"/>
        <w:rPr>
          <w:sz w:val="24"/>
          <w:highlight w:val="none"/>
        </w:rPr>
      </w:pPr>
      <w:r>
        <w:rPr>
          <w:rFonts w:hint="eastAsia"/>
          <w:sz w:val="24"/>
          <w:highlight w:val="none"/>
        </w:rPr>
        <w:t>　　（一）不准以任何理由向甲方、相关单位及其工作人员索要、接受或赠送礼金、有价证券、贵重物品和回扣、好处费、感谢费等。</w:t>
      </w:r>
    </w:p>
    <w:p>
      <w:pPr>
        <w:autoSpaceDE w:val="0"/>
        <w:autoSpaceDN w:val="0"/>
        <w:spacing w:line="360" w:lineRule="auto"/>
        <w:rPr>
          <w:sz w:val="24"/>
          <w:highlight w:val="none"/>
        </w:rPr>
      </w:pPr>
      <w:r>
        <w:rPr>
          <w:rFonts w:hint="eastAsia"/>
          <w:sz w:val="24"/>
          <w:highlight w:val="none"/>
        </w:rPr>
        <w:t>　　（二）不准以任何理由为甲方和相关单位报销应由对方或个人支付的费用。</w:t>
      </w:r>
    </w:p>
    <w:p>
      <w:pPr>
        <w:spacing w:line="360" w:lineRule="auto"/>
        <w:jc w:val="left"/>
        <w:rPr>
          <w:sz w:val="24"/>
          <w:highlight w:val="none"/>
        </w:rPr>
      </w:pPr>
      <w:r>
        <w:rPr>
          <w:rFonts w:hint="eastAsia"/>
          <w:sz w:val="24"/>
          <w:highlight w:val="none"/>
        </w:rPr>
        <w:t>　　（三）不准接受或暗示为甲方、相关单位或个人装修住房、婚丧嫁娶、配偶子女的工作安排以及出国（境）、旅游等提供方便。</w:t>
      </w:r>
    </w:p>
    <w:p>
      <w:pPr>
        <w:spacing w:line="360" w:lineRule="auto"/>
        <w:jc w:val="left"/>
        <w:rPr>
          <w:sz w:val="24"/>
          <w:highlight w:val="none"/>
        </w:rPr>
      </w:pPr>
      <w:r>
        <w:rPr>
          <w:rFonts w:hint="eastAsia"/>
          <w:sz w:val="24"/>
          <w:highlight w:val="none"/>
        </w:rPr>
        <w:t>　　（四）不准以任何理由为甲方、相关单位或个人组织有可能影响公正执行公务的宴请、健身、娱乐等活动。</w:t>
      </w:r>
    </w:p>
    <w:p>
      <w:pPr>
        <w:autoSpaceDE w:val="0"/>
        <w:autoSpaceDN w:val="0"/>
        <w:spacing w:line="360" w:lineRule="auto"/>
        <w:rPr>
          <w:sz w:val="24"/>
          <w:highlight w:val="none"/>
        </w:rPr>
      </w:pPr>
      <w:r>
        <w:rPr>
          <w:rFonts w:hint="eastAsia"/>
          <w:sz w:val="24"/>
          <w:highlight w:val="none"/>
        </w:rPr>
        <w:t>　　第四条 违约责任</w:t>
      </w:r>
    </w:p>
    <w:p>
      <w:pPr>
        <w:spacing w:line="360" w:lineRule="auto"/>
        <w:jc w:val="left"/>
        <w:rPr>
          <w:sz w:val="24"/>
          <w:highlight w:val="none"/>
        </w:rPr>
      </w:pPr>
      <w:r>
        <w:rPr>
          <w:rFonts w:hint="eastAsia"/>
          <w:sz w:val="24"/>
          <w:highlight w:val="none"/>
        </w:rPr>
        <w:t>　　（一）甲方工作人员有违反本责任书第一、二条责任行为的，按照管理权限，依据有关法律法规和规定给予党纪、政纪处分或组织处理；涉嫌犯罪的，移交司法机关追究刑事责任；给乙方单位造成经济损失的，应予以赔偿。</w:t>
      </w:r>
    </w:p>
    <w:p>
      <w:pPr>
        <w:spacing w:line="360" w:lineRule="auto"/>
        <w:jc w:val="left"/>
        <w:rPr>
          <w:sz w:val="24"/>
          <w:highlight w:val="none"/>
        </w:rPr>
      </w:pPr>
      <w:r>
        <w:rPr>
          <w:rFonts w:hint="eastAsia"/>
          <w:sz w:val="24"/>
          <w:highlight w:val="none"/>
        </w:rPr>
        <w:t>　　（二）乙方工作人员有违反本责任书第一、三条责任行为的，按照管理权限，依据有关法律法规和规定给予党纪、政纪处分或组织处理；涉嫌犯罪的，移交司法机关追究刑事责任；给甲方单位造成经济损失的，应予以赔偿。</w:t>
      </w:r>
    </w:p>
    <w:p>
      <w:pPr>
        <w:autoSpaceDE w:val="0"/>
        <w:autoSpaceDN w:val="0"/>
        <w:spacing w:line="360" w:lineRule="auto"/>
        <w:rPr>
          <w:sz w:val="24"/>
          <w:highlight w:val="none"/>
        </w:rPr>
      </w:pPr>
      <w:r>
        <w:rPr>
          <w:rFonts w:hint="eastAsia"/>
          <w:sz w:val="24"/>
          <w:highlight w:val="none"/>
        </w:rPr>
        <w:t>　　第五条 本责任书作为项目合同的附件，与项目合同具有同等法律效力。经双方签署后立即生效。</w:t>
      </w:r>
    </w:p>
    <w:p>
      <w:pPr>
        <w:autoSpaceDE w:val="0"/>
        <w:autoSpaceDN w:val="0"/>
        <w:spacing w:line="360" w:lineRule="auto"/>
        <w:rPr>
          <w:sz w:val="24"/>
          <w:highlight w:val="none"/>
        </w:rPr>
      </w:pPr>
      <w:r>
        <w:rPr>
          <w:rFonts w:hint="eastAsia"/>
          <w:sz w:val="24"/>
          <w:highlight w:val="none"/>
        </w:rPr>
        <w:t>　　第六条 本责任书的有效期为双方签署之日起至该项目完工验收合格时止。</w:t>
      </w:r>
    </w:p>
    <w:p>
      <w:pPr>
        <w:autoSpaceDE w:val="0"/>
        <w:autoSpaceDN w:val="0"/>
        <w:spacing w:line="360" w:lineRule="auto"/>
        <w:rPr>
          <w:sz w:val="24"/>
          <w:highlight w:val="none"/>
        </w:rPr>
      </w:pPr>
      <w:r>
        <w:rPr>
          <w:rFonts w:hint="eastAsia"/>
          <w:sz w:val="24"/>
          <w:highlight w:val="none"/>
        </w:rPr>
        <w:t>　　第七条 本责任书一式</w:t>
      </w:r>
      <w:r>
        <w:rPr>
          <w:rFonts w:hint="eastAsia"/>
          <w:sz w:val="24"/>
          <w:highlight w:val="none"/>
          <w:lang w:val="en-US" w:eastAsia="zh-CN"/>
        </w:rPr>
        <w:t>肆</w:t>
      </w:r>
      <w:r>
        <w:rPr>
          <w:rFonts w:hint="eastAsia"/>
          <w:sz w:val="24"/>
          <w:highlight w:val="none"/>
        </w:rPr>
        <w:t>份，</w:t>
      </w:r>
      <w:r>
        <w:rPr>
          <w:sz w:val="24"/>
          <w:highlight w:val="none"/>
        </w:rPr>
        <w:t>甲</w:t>
      </w:r>
      <w:r>
        <w:rPr>
          <w:rFonts w:hint="eastAsia"/>
          <w:sz w:val="24"/>
          <w:highlight w:val="none"/>
        </w:rPr>
        <w:t>方</w:t>
      </w:r>
      <w:r>
        <w:rPr>
          <w:rFonts w:hint="eastAsia"/>
          <w:sz w:val="24"/>
          <w:highlight w:val="none"/>
          <w:lang w:val="en-US" w:eastAsia="zh-CN"/>
        </w:rPr>
        <w:t>贰</w:t>
      </w:r>
      <w:r>
        <w:rPr>
          <w:sz w:val="24"/>
          <w:highlight w:val="none"/>
        </w:rPr>
        <w:t>份</w:t>
      </w:r>
      <w:r>
        <w:rPr>
          <w:rFonts w:hint="eastAsia"/>
          <w:sz w:val="24"/>
          <w:highlight w:val="none"/>
        </w:rPr>
        <w:t>，乙方贰份。</w:t>
      </w:r>
    </w:p>
    <w:p>
      <w:pPr>
        <w:autoSpaceDE w:val="0"/>
        <w:autoSpaceDN w:val="0"/>
        <w:spacing w:line="360" w:lineRule="auto"/>
        <w:ind w:firstLine="482"/>
        <w:rPr>
          <w:sz w:val="24"/>
          <w:highlight w:val="none"/>
        </w:rPr>
      </w:pPr>
    </w:p>
    <w:p>
      <w:pPr>
        <w:autoSpaceDE w:val="0"/>
        <w:autoSpaceDN w:val="0"/>
        <w:spacing w:line="360" w:lineRule="auto"/>
        <w:ind w:firstLine="482"/>
        <w:rPr>
          <w:sz w:val="24"/>
          <w:highlight w:val="none"/>
        </w:rPr>
      </w:pPr>
    </w:p>
    <w:p>
      <w:pPr>
        <w:autoSpaceDE w:val="0"/>
        <w:autoSpaceDN w:val="0"/>
        <w:spacing w:line="360" w:lineRule="auto"/>
        <w:ind w:firstLine="482"/>
        <w:rPr>
          <w:sz w:val="24"/>
          <w:highlight w:val="none"/>
        </w:rPr>
      </w:pPr>
      <w:r>
        <w:rPr>
          <w:rFonts w:hint="eastAsia"/>
          <w:sz w:val="24"/>
          <w:highlight w:val="none"/>
        </w:rPr>
        <w:t>甲方单位：（盖章）　　　　　　　　                　　　乙方单位：（盖章）</w:t>
      </w:r>
    </w:p>
    <w:p>
      <w:pPr>
        <w:autoSpaceDE w:val="0"/>
        <w:autoSpaceDN w:val="0"/>
        <w:spacing w:line="360" w:lineRule="auto"/>
        <w:ind w:firstLine="482"/>
        <w:rPr>
          <w:sz w:val="24"/>
          <w:highlight w:val="none"/>
        </w:rPr>
      </w:pPr>
      <w:r>
        <w:rPr>
          <w:rFonts w:hint="eastAsia"/>
          <w:sz w:val="24"/>
          <w:highlight w:val="none"/>
        </w:rPr>
        <w:t>法定代表人：　　　　　　　　　               　　　　　法定代表人</w:t>
      </w:r>
      <w:r>
        <w:rPr>
          <w:rFonts w:hint="eastAsia" w:ascii="宋体"/>
          <w:sz w:val="24"/>
          <w:highlight w:val="none"/>
          <w:lang w:val="en-US" w:eastAsia="zh-CN"/>
        </w:rPr>
        <w:t>/经营者</w:t>
      </w:r>
      <w:r>
        <w:rPr>
          <w:rFonts w:hint="eastAsia"/>
          <w:sz w:val="24"/>
          <w:highlight w:val="none"/>
        </w:rPr>
        <w:t>：</w:t>
      </w:r>
    </w:p>
    <w:p>
      <w:pPr>
        <w:autoSpaceDE w:val="0"/>
        <w:autoSpaceDN w:val="0"/>
        <w:spacing w:line="360" w:lineRule="auto"/>
        <w:ind w:firstLine="482"/>
        <w:rPr>
          <w:sz w:val="24"/>
          <w:highlight w:val="none"/>
        </w:rPr>
      </w:pPr>
      <w:r>
        <w:rPr>
          <w:rFonts w:hint="eastAsia"/>
          <w:sz w:val="24"/>
          <w:highlight w:val="none"/>
        </w:rPr>
        <w:t>地址：　　　　　　　　　　　　　               　　　　地址：</w:t>
      </w:r>
    </w:p>
    <w:p>
      <w:pPr>
        <w:autoSpaceDE w:val="0"/>
        <w:autoSpaceDN w:val="0"/>
        <w:spacing w:line="360" w:lineRule="auto"/>
        <w:ind w:firstLine="482"/>
        <w:rPr>
          <w:sz w:val="24"/>
          <w:highlight w:val="none"/>
        </w:rPr>
      </w:pPr>
      <w:r>
        <w:rPr>
          <w:rFonts w:hint="eastAsia"/>
          <w:sz w:val="24"/>
          <w:highlight w:val="none"/>
        </w:rPr>
        <w:t>电话：　　　　　　　　　　　　　　　               　　电话：</w:t>
      </w:r>
    </w:p>
    <w:p>
      <w:pPr>
        <w:autoSpaceDE w:val="0"/>
        <w:autoSpaceDN w:val="0"/>
        <w:spacing w:line="360" w:lineRule="auto"/>
        <w:ind w:firstLine="482"/>
        <w:rPr>
          <w:sz w:val="24"/>
          <w:highlight w:val="none"/>
        </w:rPr>
      </w:pPr>
      <w:r>
        <w:rPr>
          <w:rFonts w:hint="eastAsia"/>
          <w:sz w:val="24"/>
          <w:highlight w:val="none"/>
        </w:rPr>
        <w:t>年　月　日　　　　　　　　　　　　　               　　年　月　日</w:t>
      </w:r>
    </w:p>
    <w:p>
      <w:pPr>
        <w:spacing w:line="300" w:lineRule="auto"/>
        <w:ind w:left="-282" w:leftChars="-407" w:hanging="858" w:hangingChars="407"/>
        <w:jc w:val="center"/>
        <w:rPr>
          <w:rFonts w:hint="eastAsia" w:ascii="宋体" w:hAnsi="宋体"/>
          <w:b/>
          <w:bCs/>
          <w:color w:val="0D0D0D"/>
          <w:sz w:val="21"/>
          <w:szCs w:val="21"/>
          <w:highlight w:val="none"/>
        </w:rPr>
        <w:sectPr>
          <w:footnotePr>
            <w:numRestart w:val="eachPage"/>
          </w:footnotePr>
          <w:endnotePr>
            <w:numRestart w:val="eachSect"/>
          </w:endnotePr>
          <w:pgSz w:w="11907" w:h="16840"/>
          <w:pgMar w:top="1247" w:right="1361" w:bottom="1247" w:left="1361" w:header="851" w:footer="824" w:gutter="0"/>
          <w:cols w:space="720" w:num="1"/>
          <w:docGrid w:linePitch="435" w:charSpace="-6554"/>
        </w:sectPr>
      </w:pPr>
    </w:p>
    <w:p>
      <w:pPr>
        <w:pStyle w:val="28"/>
        <w:tabs>
          <w:tab w:val="left" w:pos="2472"/>
        </w:tabs>
        <w:snapToGrid w:val="0"/>
        <w:spacing w:line="240" w:lineRule="auto"/>
        <w:ind w:left="357" w:firstLine="826" w:firstLineChars="257"/>
        <w:jc w:val="center"/>
        <w:rPr>
          <w:rFonts w:hAnsi="宋体"/>
          <w:b/>
          <w:color w:val="0D0D0D"/>
          <w:sz w:val="32"/>
          <w:szCs w:val="32"/>
          <w:highlight w:val="none"/>
        </w:rPr>
      </w:pPr>
      <w:r>
        <w:rPr>
          <w:b/>
          <w:color w:val="0D0D0D"/>
          <w:sz w:val="32"/>
          <w:szCs w:val="32"/>
          <w:highlight w:val="none"/>
        </w:rPr>
        <w:t>第六章　报价文件格式</w:t>
      </w:r>
    </w:p>
    <w:p>
      <w:pPr>
        <w:snapToGrid w:val="0"/>
        <w:spacing w:before="50" w:after="156" w:afterLines="50"/>
        <w:jc w:val="left"/>
        <w:rPr>
          <w:rFonts w:ascii="宋体" w:hAnsi="宋体" w:eastAsia="仿宋_GB2312"/>
          <w:color w:val="0D0D0D"/>
          <w:sz w:val="24"/>
          <w:szCs w:val="20"/>
          <w:highlight w:val="none"/>
        </w:rPr>
      </w:pPr>
      <w:r>
        <w:rPr>
          <w:rFonts w:hint="eastAsia" w:ascii="宋体" w:hAnsi="宋体"/>
          <w:color w:val="0D0D0D"/>
          <w:sz w:val="24"/>
          <w:highlight w:val="none"/>
        </w:rPr>
        <w:t>1、授权</w:t>
      </w:r>
      <w:r>
        <w:rPr>
          <w:rFonts w:hint="eastAsia" w:ascii="宋体" w:hAnsi="宋体"/>
          <w:color w:val="0D0D0D"/>
          <w:sz w:val="24"/>
          <w:highlight w:val="none"/>
          <w:lang w:val="en-US" w:eastAsia="zh-CN"/>
        </w:rPr>
        <w:t>委托</w:t>
      </w:r>
      <w:r>
        <w:rPr>
          <w:rFonts w:hint="eastAsia" w:ascii="宋体" w:hAnsi="宋体"/>
          <w:color w:val="0D0D0D"/>
          <w:sz w:val="24"/>
          <w:highlight w:val="none"/>
        </w:rPr>
        <w:t>书：</w:t>
      </w:r>
    </w:p>
    <w:p>
      <w:pPr>
        <w:spacing w:line="360" w:lineRule="auto"/>
        <w:ind w:firstLine="321" w:firstLineChars="100"/>
        <w:jc w:val="center"/>
        <w:rPr>
          <w:rFonts w:hAnsi="宋体"/>
          <w:b/>
          <w:sz w:val="32"/>
          <w:szCs w:val="32"/>
          <w:highlight w:val="none"/>
          <w:u w:val="none"/>
        </w:rPr>
      </w:pPr>
      <w:r>
        <w:rPr>
          <w:rFonts w:hint="eastAsia" w:hAnsi="宋体"/>
          <w:b/>
          <w:sz w:val="32"/>
          <w:szCs w:val="32"/>
          <w:highlight w:val="none"/>
          <w:u w:val="none"/>
        </w:rPr>
        <w:t>授权</w:t>
      </w:r>
      <w:r>
        <w:rPr>
          <w:rFonts w:hint="eastAsia" w:hAnsi="宋体"/>
          <w:b/>
          <w:sz w:val="32"/>
          <w:szCs w:val="32"/>
          <w:highlight w:val="none"/>
          <w:u w:val="none"/>
          <w:lang w:val="en-US" w:eastAsia="zh-CN"/>
        </w:rPr>
        <w:t>委托</w:t>
      </w:r>
      <w:r>
        <w:rPr>
          <w:rFonts w:hint="eastAsia" w:hAnsi="宋体"/>
          <w:b/>
          <w:sz w:val="32"/>
          <w:szCs w:val="32"/>
          <w:highlight w:val="none"/>
          <w:u w:val="none"/>
        </w:rPr>
        <w:t>书</w:t>
      </w:r>
    </w:p>
    <w:p>
      <w:pPr>
        <w:snapToGrid w:val="0"/>
        <w:spacing w:before="120" w:beforeLines="50" w:after="50" w:line="360" w:lineRule="auto"/>
        <w:rPr>
          <w:rFonts w:ascii="宋体" w:hAnsi="宋体" w:cs="宋体"/>
          <w:kern w:val="0"/>
          <w:sz w:val="24"/>
          <w:highlight w:val="none"/>
        </w:rPr>
      </w:pPr>
      <w:r>
        <w:rPr>
          <w:rFonts w:hint="eastAsia" w:ascii="宋体" w:hAnsi="宋体"/>
          <w:sz w:val="24"/>
          <w:highlight w:val="none"/>
          <w:u w:val="single"/>
        </w:rPr>
        <w:t xml:space="preserve"> </w:t>
      </w:r>
      <w:r>
        <w:rPr>
          <w:rFonts w:ascii="宋体" w:hAnsi="宋体"/>
          <w:sz w:val="24"/>
          <w:highlight w:val="none"/>
          <w:u w:val="single"/>
        </w:rPr>
        <w:t xml:space="preserve">                         </w:t>
      </w:r>
      <w:r>
        <w:rPr>
          <w:rFonts w:hint="eastAsia" w:ascii="宋体" w:hAnsi="宋体" w:cs="宋体"/>
          <w:kern w:val="0"/>
          <w:sz w:val="24"/>
          <w:highlight w:val="none"/>
        </w:rPr>
        <w:t>（</w:t>
      </w:r>
      <w:r>
        <w:rPr>
          <w:rFonts w:hint="eastAsia" w:ascii="宋体" w:hAnsi="宋体" w:cs="宋体"/>
          <w:kern w:val="0"/>
          <w:sz w:val="24"/>
          <w:highlight w:val="none"/>
          <w:lang w:val="en-US" w:eastAsia="zh-CN"/>
        </w:rPr>
        <w:t>招标人名称或</w:t>
      </w:r>
      <w:r>
        <w:rPr>
          <w:rFonts w:hint="eastAsia" w:ascii="宋体" w:hAnsi="宋体" w:cs="宋体"/>
          <w:kern w:val="0"/>
          <w:sz w:val="24"/>
          <w:highlight w:val="none"/>
        </w:rPr>
        <w:t>采购代理机构名称）：</w:t>
      </w:r>
    </w:p>
    <w:p>
      <w:pPr>
        <w:pStyle w:val="28"/>
        <w:spacing w:line="360" w:lineRule="auto"/>
        <w:ind w:firstLine="480" w:firstLineChars="200"/>
        <w:rPr>
          <w:rFonts w:hAnsi="宋体"/>
          <w:sz w:val="24"/>
          <w:highlight w:val="none"/>
        </w:rPr>
      </w:pPr>
      <w:r>
        <w:rPr>
          <w:rFonts w:hAnsi="宋体"/>
          <w:sz w:val="24"/>
          <w:highlight w:val="none"/>
          <w:u w:val="single"/>
        </w:rPr>
        <w:t xml:space="preserve">  （投标人全称）  </w:t>
      </w:r>
      <w:r>
        <w:rPr>
          <w:rFonts w:hAnsi="宋体"/>
          <w:sz w:val="24"/>
          <w:highlight w:val="none"/>
        </w:rPr>
        <w:t>法定代表人</w:t>
      </w:r>
      <w:r>
        <w:rPr>
          <w:rFonts w:hint="eastAsia" w:hAnsi="宋体"/>
          <w:sz w:val="24"/>
          <w:highlight w:val="none"/>
          <w:lang w:val="en-US" w:eastAsia="zh-CN"/>
        </w:rPr>
        <w:t>/经营者</w:t>
      </w:r>
      <w:r>
        <w:rPr>
          <w:rFonts w:hint="eastAsia" w:ascii="Arial" w:hAnsi="Arial" w:cs="Arial"/>
          <w:sz w:val="24"/>
          <w:highlight w:val="none"/>
        </w:rPr>
        <w:t>（或营业执照中单位负责人）</w:t>
      </w:r>
      <w:r>
        <w:rPr>
          <w:rFonts w:hAnsi="宋体"/>
          <w:sz w:val="24"/>
          <w:highlight w:val="none"/>
          <w:u w:val="single"/>
        </w:rPr>
        <w:tab/>
      </w:r>
      <w:r>
        <w:rPr>
          <w:rFonts w:hAnsi="宋体"/>
          <w:sz w:val="24"/>
          <w:highlight w:val="none"/>
          <w:u w:val="single"/>
        </w:rPr>
        <w:t>（法定代表</w:t>
      </w:r>
      <w:r>
        <w:rPr>
          <w:rFonts w:hint="eastAsia" w:hAnsi="宋体"/>
          <w:sz w:val="24"/>
          <w:highlight w:val="none"/>
          <w:u w:val="single"/>
        </w:rPr>
        <w:t>人</w:t>
      </w:r>
      <w:r>
        <w:rPr>
          <w:rFonts w:hint="eastAsia" w:ascii="Arial" w:hAnsi="Arial" w:cs="Arial"/>
          <w:sz w:val="24"/>
          <w:highlight w:val="none"/>
          <w:u w:val="single"/>
        </w:rPr>
        <w:t>或营业执照中单位负责人或经营者</w:t>
      </w:r>
      <w:r>
        <w:rPr>
          <w:rFonts w:hAnsi="宋体"/>
          <w:sz w:val="24"/>
          <w:highlight w:val="none"/>
          <w:u w:val="single"/>
        </w:rPr>
        <w:t xml:space="preserve">姓名） </w:t>
      </w:r>
      <w:r>
        <w:rPr>
          <w:rFonts w:hAnsi="宋体"/>
          <w:sz w:val="24"/>
          <w:highlight w:val="none"/>
        </w:rPr>
        <w:t>授权</w:t>
      </w:r>
      <w:r>
        <w:rPr>
          <w:rFonts w:hint="eastAsia" w:hAnsi="宋体"/>
          <w:sz w:val="24"/>
          <w:highlight w:val="none"/>
          <w:u w:val="single"/>
        </w:rPr>
        <w:t xml:space="preserve"> （全权代表</w:t>
      </w:r>
      <w:r>
        <w:rPr>
          <w:rFonts w:hAnsi="宋体"/>
          <w:sz w:val="24"/>
          <w:highlight w:val="none"/>
          <w:u w:val="single"/>
        </w:rPr>
        <w:t>姓名</w:t>
      </w:r>
      <w:r>
        <w:rPr>
          <w:rFonts w:hint="eastAsia" w:hAnsi="宋体"/>
          <w:sz w:val="24"/>
          <w:highlight w:val="none"/>
          <w:u w:val="single"/>
        </w:rPr>
        <w:t xml:space="preserve">） </w:t>
      </w:r>
      <w:r>
        <w:rPr>
          <w:rFonts w:hAnsi="宋体"/>
          <w:sz w:val="24"/>
          <w:highlight w:val="none"/>
        </w:rPr>
        <w:t>为</w:t>
      </w:r>
      <w:r>
        <w:rPr>
          <w:rFonts w:hint="eastAsia" w:hAnsi="宋体"/>
          <w:sz w:val="24"/>
          <w:highlight w:val="none"/>
        </w:rPr>
        <w:t>全权代表</w:t>
      </w:r>
      <w:r>
        <w:rPr>
          <w:rFonts w:hAnsi="宋体"/>
          <w:sz w:val="24"/>
          <w:highlight w:val="none"/>
        </w:rPr>
        <w:t>，参加贵单位组织的</w:t>
      </w:r>
      <w:r>
        <w:rPr>
          <w:rFonts w:hint="eastAsia" w:hAnsi="宋体"/>
          <w:sz w:val="24"/>
          <w:highlight w:val="none"/>
          <w:u w:val="single"/>
        </w:rPr>
        <w:t xml:space="preserve"> </w:t>
      </w:r>
      <w:r>
        <w:rPr>
          <w:rFonts w:hAnsi="宋体"/>
          <w:sz w:val="24"/>
          <w:highlight w:val="none"/>
          <w:u w:val="single"/>
        </w:rPr>
        <w:t xml:space="preserve">        </w:t>
      </w:r>
      <w:r>
        <w:rPr>
          <w:rFonts w:hint="eastAsia" w:hAnsi="宋体"/>
          <w:sz w:val="24"/>
          <w:highlight w:val="none"/>
          <w:u w:val="single"/>
        </w:rPr>
        <w:t>（项目名称）</w:t>
      </w:r>
      <w:r>
        <w:rPr>
          <w:rFonts w:hAnsi="宋体"/>
          <w:sz w:val="24"/>
          <w:highlight w:val="none"/>
        </w:rPr>
        <w:t>的采购活动，并代表我方全权办理针对上述项目的投标、开标、评标、签约等具体事务和签署相关文件。</w:t>
      </w:r>
      <w:r>
        <w:rPr>
          <w:rFonts w:hint="eastAsia" w:hAnsi="宋体"/>
          <w:sz w:val="24"/>
          <w:highlight w:val="none"/>
        </w:rPr>
        <w:t>我方对全权代表的签字事项负全部责任。</w:t>
      </w:r>
    </w:p>
    <w:p>
      <w:pPr>
        <w:pStyle w:val="28"/>
        <w:spacing w:line="360" w:lineRule="auto"/>
        <w:ind w:firstLine="480" w:firstLineChars="200"/>
        <w:rPr>
          <w:rFonts w:hAnsi="宋体"/>
          <w:sz w:val="24"/>
          <w:highlight w:val="none"/>
        </w:rPr>
      </w:pPr>
      <w:r>
        <w:rPr>
          <w:rFonts w:hint="eastAsia" w:hAnsi="宋体"/>
          <w:sz w:val="24"/>
          <w:highlight w:val="none"/>
        </w:rPr>
        <w:t>在撤销授权的书面通知以前，本授权书一直有效。全权代表在授权委托书有效期内签署的所有文件不因授权的撤销而失效。</w:t>
      </w:r>
    </w:p>
    <w:p>
      <w:pPr>
        <w:pStyle w:val="28"/>
        <w:spacing w:line="360" w:lineRule="auto"/>
        <w:ind w:firstLine="480" w:firstLineChars="200"/>
        <w:rPr>
          <w:rFonts w:hAnsi="宋体"/>
          <w:sz w:val="24"/>
          <w:highlight w:val="none"/>
        </w:rPr>
      </w:pPr>
      <w:r>
        <w:rPr>
          <w:rFonts w:hint="eastAsia" w:hAnsi="宋体"/>
          <w:sz w:val="24"/>
          <w:highlight w:val="none"/>
        </w:rPr>
        <w:t>全权代表无转委托权，特此委托。</w:t>
      </w:r>
    </w:p>
    <w:p>
      <w:pPr>
        <w:spacing w:line="360" w:lineRule="auto"/>
        <w:rPr>
          <w:sz w:val="24"/>
          <w:highlight w:val="none"/>
        </w:rPr>
      </w:pPr>
    </w:p>
    <w:p>
      <w:pPr>
        <w:spacing w:line="360" w:lineRule="auto"/>
        <w:rPr>
          <w:sz w:val="24"/>
          <w:highlight w:val="none"/>
        </w:rPr>
      </w:pPr>
      <w:r>
        <w:rPr>
          <w:rFonts w:hint="eastAsia" w:ascii="宋体"/>
          <w:sz w:val="24"/>
          <w:highlight w:val="none"/>
        </w:rPr>
        <w:t>法定代表人</w:t>
      </w:r>
      <w:r>
        <w:rPr>
          <w:rFonts w:hint="eastAsia" w:ascii="宋体"/>
          <w:sz w:val="24"/>
          <w:highlight w:val="none"/>
          <w:lang w:val="en-US" w:eastAsia="zh-CN"/>
        </w:rPr>
        <w:t>/经营者</w:t>
      </w:r>
      <w:r>
        <w:rPr>
          <w:rFonts w:hint="eastAsia" w:ascii="宋体"/>
          <w:sz w:val="24"/>
          <w:highlight w:val="none"/>
        </w:rPr>
        <w:t>签字或盖章：</w:t>
      </w:r>
    </w:p>
    <w:p>
      <w:pPr>
        <w:spacing w:line="360" w:lineRule="auto"/>
        <w:rPr>
          <w:sz w:val="24"/>
          <w:highlight w:val="none"/>
        </w:rPr>
      </w:pPr>
      <w:r>
        <w:rPr>
          <w:rFonts w:hint="eastAsia" w:ascii="宋体"/>
          <w:sz w:val="24"/>
          <w:highlight w:val="none"/>
          <w:lang w:val="en-US" w:eastAsia="zh-CN"/>
        </w:rPr>
        <w:t>投标人</w:t>
      </w:r>
      <w:r>
        <w:rPr>
          <w:rFonts w:hint="eastAsia" w:ascii="宋体"/>
          <w:sz w:val="24"/>
          <w:highlight w:val="none"/>
        </w:rPr>
        <w:t>全称（签字或盖章）：                              日期：</w:t>
      </w:r>
    </w:p>
    <w:p>
      <w:pPr>
        <w:spacing w:line="360" w:lineRule="auto"/>
        <w:rPr>
          <w:b/>
          <w:sz w:val="24"/>
          <w:highlight w:val="none"/>
        </w:rPr>
      </w:pPr>
      <w:r>
        <w:rPr>
          <w:rFonts w:hint="eastAsia" w:ascii="宋体"/>
          <w:b/>
          <w:sz w:val="24"/>
          <w:highlight w:val="none"/>
        </w:rPr>
        <w:t>附：</w:t>
      </w:r>
    </w:p>
    <w:tbl>
      <w:tblPr>
        <w:tblStyle w:val="46"/>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noWrap w:val="0"/>
            <w:vAlign w:val="top"/>
          </w:tcPr>
          <w:p>
            <w:pPr>
              <w:spacing w:line="360" w:lineRule="auto"/>
              <w:rPr>
                <w:rFonts w:ascii="宋体"/>
                <w:b/>
                <w:sz w:val="24"/>
                <w:highlight w:val="none"/>
              </w:rPr>
            </w:pPr>
          </w:p>
          <w:p>
            <w:pPr>
              <w:spacing w:line="360" w:lineRule="auto"/>
              <w:ind w:firstLine="361" w:firstLineChars="150"/>
              <w:rPr>
                <w:rFonts w:hint="eastAsia" w:ascii="宋体" w:eastAsia="宋体"/>
                <w:b/>
                <w:sz w:val="24"/>
                <w:highlight w:val="none"/>
                <w:lang w:eastAsia="zh-CN"/>
              </w:rPr>
            </w:pPr>
            <w:r>
              <w:rPr>
                <w:rFonts w:hint="eastAsia" w:ascii="宋体"/>
                <w:b/>
                <w:sz w:val="24"/>
                <w:highlight w:val="none"/>
              </w:rPr>
              <w:t>法定代表</w:t>
            </w:r>
            <w:r>
              <w:rPr>
                <w:rFonts w:hint="eastAsia" w:ascii="宋体"/>
                <w:b/>
                <w:sz w:val="24"/>
                <w:highlight w:val="none"/>
                <w:lang w:val="en-US" w:eastAsia="zh-CN"/>
              </w:rPr>
              <w:t>人/经营者</w:t>
            </w:r>
            <w:r>
              <w:rPr>
                <w:rFonts w:hint="eastAsia" w:ascii="宋体"/>
                <w:b/>
                <w:sz w:val="24"/>
                <w:highlight w:val="none"/>
              </w:rPr>
              <w:t>身份证</w:t>
            </w:r>
            <w:r>
              <w:rPr>
                <w:rFonts w:hint="eastAsia" w:ascii="宋体"/>
                <w:b/>
                <w:sz w:val="24"/>
                <w:highlight w:val="none"/>
                <w:lang w:eastAsia="zh-CN"/>
              </w:rPr>
              <w:t>（</w:t>
            </w:r>
            <w:r>
              <w:rPr>
                <w:rFonts w:hint="eastAsia" w:ascii="宋体"/>
                <w:b/>
                <w:sz w:val="24"/>
                <w:highlight w:val="none"/>
                <w:lang w:val="en-US" w:eastAsia="zh-CN"/>
              </w:rPr>
              <w:t>身份证正反面</w:t>
            </w:r>
            <w:r>
              <w:rPr>
                <w:rFonts w:hint="eastAsia" w:ascii="宋体"/>
                <w:b/>
                <w:sz w:val="24"/>
                <w:highlight w:val="none"/>
                <w:lang w:eastAsia="zh-CN"/>
              </w:rPr>
              <w:t>）</w:t>
            </w:r>
          </w:p>
        </w:tc>
      </w:tr>
    </w:tbl>
    <w:p>
      <w:pPr>
        <w:spacing w:line="360" w:lineRule="auto"/>
        <w:rPr>
          <w:sz w:val="24"/>
          <w:highlight w:val="none"/>
        </w:rPr>
      </w:pPr>
      <w:r>
        <w:rPr>
          <w:rFonts w:hint="eastAsia" w:ascii="宋体"/>
          <w:sz w:val="24"/>
          <w:highlight w:val="none"/>
        </w:rPr>
        <w:t>法定代表人</w:t>
      </w:r>
      <w:r>
        <w:rPr>
          <w:rFonts w:hint="eastAsia" w:ascii="宋体"/>
          <w:sz w:val="24"/>
          <w:highlight w:val="none"/>
          <w:lang w:val="en-US" w:eastAsia="zh-CN"/>
        </w:rPr>
        <w:t>/经营者</w:t>
      </w:r>
      <w:r>
        <w:rPr>
          <w:rFonts w:hint="eastAsia" w:ascii="宋体"/>
          <w:sz w:val="24"/>
          <w:highlight w:val="none"/>
        </w:rPr>
        <w:t xml:space="preserve">姓名：                                 </w:t>
      </w:r>
    </w:p>
    <w:p>
      <w:pPr>
        <w:spacing w:line="360" w:lineRule="auto"/>
        <w:rPr>
          <w:sz w:val="24"/>
          <w:highlight w:val="none"/>
        </w:rPr>
      </w:pPr>
      <w:r>
        <w:rPr>
          <w:rFonts w:hint="eastAsia" w:ascii="宋体"/>
          <w:sz w:val="24"/>
          <w:highlight w:val="none"/>
        </w:rPr>
        <w:t>传真：</w:t>
      </w:r>
    </w:p>
    <w:p>
      <w:pPr>
        <w:spacing w:line="360" w:lineRule="auto"/>
        <w:rPr>
          <w:rFonts w:ascii="宋体"/>
          <w:sz w:val="24"/>
          <w:highlight w:val="none"/>
        </w:rPr>
      </w:pPr>
      <w:r>
        <w:rPr>
          <w:rFonts w:hint="eastAsia" w:ascii="宋体"/>
          <w:sz w:val="24"/>
          <w:highlight w:val="none"/>
        </w:rPr>
        <w:t>电话：</w:t>
      </w:r>
    </w:p>
    <w:p>
      <w:pPr>
        <w:spacing w:line="360" w:lineRule="auto"/>
        <w:rPr>
          <w:sz w:val="24"/>
          <w:highlight w:val="none"/>
        </w:rPr>
      </w:pPr>
      <w:r>
        <w:rPr>
          <w:rFonts w:hint="eastAsia" w:ascii="宋体"/>
          <w:sz w:val="24"/>
          <w:highlight w:val="none"/>
        </w:rPr>
        <w:t>详细通讯地址：</w:t>
      </w:r>
    </w:p>
    <w:p>
      <w:pPr>
        <w:spacing w:line="360" w:lineRule="auto"/>
        <w:rPr>
          <w:rFonts w:ascii="宋体"/>
          <w:sz w:val="24"/>
          <w:highlight w:val="none"/>
        </w:rPr>
      </w:pPr>
      <w:r>
        <w:rPr>
          <w:rFonts w:hint="eastAsia" w:ascii="宋体"/>
          <w:sz w:val="24"/>
          <w:highlight w:val="none"/>
        </w:rPr>
        <w:t>邮政编码：</w:t>
      </w:r>
    </w:p>
    <w:p>
      <w:pPr>
        <w:spacing w:line="360" w:lineRule="auto"/>
        <w:rPr>
          <w:b/>
          <w:sz w:val="24"/>
          <w:highlight w:val="none"/>
        </w:rPr>
      </w:pPr>
    </w:p>
    <w:tbl>
      <w:tblPr>
        <w:tblStyle w:val="46"/>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noWrap w:val="0"/>
            <w:vAlign w:val="top"/>
          </w:tcPr>
          <w:p>
            <w:pPr>
              <w:spacing w:line="360" w:lineRule="auto"/>
              <w:rPr>
                <w:rFonts w:ascii="宋体"/>
                <w:b/>
                <w:sz w:val="24"/>
                <w:highlight w:val="none"/>
              </w:rPr>
            </w:pPr>
          </w:p>
          <w:p>
            <w:pPr>
              <w:spacing w:line="360" w:lineRule="auto"/>
              <w:ind w:firstLine="361" w:firstLineChars="150"/>
              <w:rPr>
                <w:rFonts w:ascii="宋体"/>
                <w:b/>
                <w:sz w:val="24"/>
                <w:highlight w:val="none"/>
              </w:rPr>
            </w:pPr>
            <w:r>
              <w:rPr>
                <w:rFonts w:hint="eastAsia" w:ascii="宋体"/>
                <w:b/>
                <w:sz w:val="24"/>
                <w:highlight w:val="none"/>
              </w:rPr>
              <w:t>全权代表身份证</w:t>
            </w:r>
            <w:r>
              <w:rPr>
                <w:rFonts w:hint="eastAsia" w:ascii="宋体"/>
                <w:b/>
                <w:sz w:val="24"/>
                <w:highlight w:val="none"/>
                <w:lang w:eastAsia="zh-CN"/>
              </w:rPr>
              <w:t>（</w:t>
            </w:r>
            <w:r>
              <w:rPr>
                <w:rFonts w:hint="eastAsia" w:ascii="宋体"/>
                <w:b/>
                <w:sz w:val="24"/>
                <w:highlight w:val="none"/>
                <w:lang w:val="en-US" w:eastAsia="zh-CN"/>
              </w:rPr>
              <w:t>身份证正反面</w:t>
            </w:r>
            <w:r>
              <w:rPr>
                <w:rFonts w:hint="eastAsia" w:ascii="宋体"/>
                <w:b/>
                <w:sz w:val="24"/>
                <w:highlight w:val="none"/>
                <w:lang w:eastAsia="zh-CN"/>
              </w:rPr>
              <w:t>）</w:t>
            </w:r>
          </w:p>
        </w:tc>
      </w:tr>
    </w:tbl>
    <w:p>
      <w:pPr>
        <w:spacing w:line="360" w:lineRule="auto"/>
        <w:rPr>
          <w:rFonts w:ascii="宋体"/>
          <w:sz w:val="24"/>
          <w:highlight w:val="none"/>
        </w:rPr>
      </w:pPr>
      <w:r>
        <w:rPr>
          <w:rFonts w:hint="eastAsia" w:ascii="宋体"/>
          <w:sz w:val="24"/>
          <w:highlight w:val="none"/>
        </w:rPr>
        <w:t xml:space="preserve">全权代表姓名：       </w:t>
      </w:r>
    </w:p>
    <w:p>
      <w:pPr>
        <w:spacing w:line="360" w:lineRule="auto"/>
        <w:rPr>
          <w:sz w:val="24"/>
          <w:highlight w:val="none"/>
        </w:rPr>
      </w:pPr>
      <w:r>
        <w:rPr>
          <w:rFonts w:hint="eastAsia" w:ascii="宋体"/>
          <w:sz w:val="24"/>
          <w:highlight w:val="none"/>
        </w:rPr>
        <w:t xml:space="preserve">职务：                           </w:t>
      </w:r>
    </w:p>
    <w:p>
      <w:pPr>
        <w:spacing w:line="360" w:lineRule="auto"/>
        <w:rPr>
          <w:sz w:val="24"/>
          <w:highlight w:val="none"/>
        </w:rPr>
      </w:pPr>
      <w:r>
        <w:rPr>
          <w:rFonts w:hint="eastAsia" w:ascii="宋体"/>
          <w:sz w:val="24"/>
          <w:highlight w:val="none"/>
        </w:rPr>
        <w:t>传真：</w:t>
      </w:r>
    </w:p>
    <w:p>
      <w:pPr>
        <w:spacing w:line="360" w:lineRule="auto"/>
        <w:rPr>
          <w:rFonts w:ascii="宋体"/>
          <w:sz w:val="24"/>
          <w:highlight w:val="none"/>
        </w:rPr>
      </w:pPr>
      <w:r>
        <w:rPr>
          <w:rFonts w:hint="eastAsia" w:ascii="宋体"/>
          <w:sz w:val="24"/>
          <w:highlight w:val="none"/>
        </w:rPr>
        <w:t>电话：</w:t>
      </w:r>
    </w:p>
    <w:p>
      <w:pPr>
        <w:spacing w:line="360" w:lineRule="auto"/>
        <w:rPr>
          <w:sz w:val="24"/>
          <w:highlight w:val="none"/>
        </w:rPr>
      </w:pPr>
      <w:r>
        <w:rPr>
          <w:rFonts w:hint="eastAsia" w:ascii="宋体"/>
          <w:sz w:val="24"/>
          <w:highlight w:val="none"/>
        </w:rPr>
        <w:t>详细通讯地址：</w:t>
      </w:r>
    </w:p>
    <w:p>
      <w:pPr>
        <w:spacing w:line="360" w:lineRule="auto"/>
        <w:rPr>
          <w:rFonts w:ascii="宋体" w:hAnsi="宋体"/>
          <w:b/>
          <w:sz w:val="28"/>
          <w:highlight w:val="none"/>
        </w:rPr>
      </w:pPr>
      <w:r>
        <w:rPr>
          <w:rFonts w:hint="eastAsia" w:ascii="宋体"/>
          <w:sz w:val="24"/>
          <w:highlight w:val="none"/>
        </w:rPr>
        <w:t>邮政编码：</w:t>
      </w:r>
    </w:p>
    <w:p>
      <w:pPr>
        <w:pStyle w:val="28"/>
        <w:snapToGrid w:val="0"/>
        <w:spacing w:before="295" w:beforeLines="0" w:after="295" w:afterLines="0" w:line="240" w:lineRule="auto"/>
        <w:rPr>
          <w:rFonts w:hAnsi="宋体"/>
          <w:color w:val="auto"/>
          <w:highlight w:val="none"/>
        </w:rPr>
        <w:sectPr>
          <w:footerReference r:id="rId12" w:type="first"/>
          <w:footerReference r:id="rId11" w:type="default"/>
          <w:pgSz w:w="11906" w:h="16838"/>
          <w:pgMar w:top="1247" w:right="1361" w:bottom="1247" w:left="1361" w:header="851" w:footer="851" w:gutter="0"/>
          <w:pgNumType w:fmt="numberInDash"/>
          <w:cols w:space="720" w:num="1"/>
          <w:docGrid w:type="lines" w:linePitch="312" w:charSpace="0"/>
        </w:sectPr>
      </w:pPr>
    </w:p>
    <w:p>
      <w:pPr>
        <w:snapToGrid w:val="0"/>
        <w:spacing w:before="50" w:after="156" w:afterLines="50"/>
        <w:jc w:val="left"/>
        <w:rPr>
          <w:rFonts w:hint="eastAsia" w:ascii="宋体" w:hAnsi="宋体" w:eastAsia="宋体" w:cs="Times New Roman"/>
          <w:color w:val="0D0D0D"/>
          <w:sz w:val="24"/>
          <w:highlight w:val="none"/>
          <w:lang w:eastAsia="zh-CN"/>
        </w:rPr>
      </w:pPr>
      <w:r>
        <w:rPr>
          <w:rFonts w:hint="eastAsia" w:ascii="宋体" w:hAnsi="宋体" w:eastAsia="宋体" w:cs="Times New Roman"/>
          <w:color w:val="0D0D0D"/>
          <w:sz w:val="24"/>
          <w:highlight w:val="none"/>
          <w:lang w:val="en-US" w:eastAsia="zh-CN"/>
        </w:rPr>
        <w:t>2</w:t>
      </w:r>
      <w:r>
        <w:rPr>
          <w:rFonts w:hint="eastAsia" w:ascii="宋体" w:hAnsi="宋体" w:eastAsia="宋体" w:cs="Times New Roman"/>
          <w:color w:val="0D0D0D"/>
          <w:sz w:val="24"/>
          <w:highlight w:val="none"/>
        </w:rPr>
        <w:t>、开标一览表</w:t>
      </w:r>
      <w:r>
        <w:rPr>
          <w:rFonts w:hint="eastAsia" w:ascii="宋体" w:hAnsi="宋体" w:eastAsia="宋体" w:cs="Times New Roman"/>
          <w:color w:val="0D0D0D"/>
          <w:sz w:val="24"/>
          <w:highlight w:val="none"/>
          <w:lang w:eastAsia="zh-CN"/>
        </w:rPr>
        <w:t>：</w:t>
      </w:r>
    </w:p>
    <w:p>
      <w:pPr>
        <w:spacing w:line="360" w:lineRule="atLeast"/>
        <w:ind w:left="641" w:leftChars="229" w:firstLine="2870" w:firstLineChars="953"/>
        <w:rPr>
          <w:rFonts w:hint="eastAsia" w:ascii="宋体" w:hAnsi="宋体"/>
          <w:b/>
          <w:color w:val="0C0C0C"/>
          <w:sz w:val="24"/>
          <w:highlight w:val="none"/>
        </w:rPr>
      </w:pPr>
      <w:r>
        <w:rPr>
          <w:rFonts w:hint="eastAsia" w:ascii="宋体" w:hAnsi="宋体"/>
          <w:b/>
          <w:color w:val="0C0C0C"/>
          <w:sz w:val="30"/>
          <w:highlight w:val="none"/>
        </w:rPr>
        <w:t>开标一览表</w:t>
      </w:r>
      <w:r>
        <w:rPr>
          <w:rFonts w:hint="eastAsia" w:ascii="宋体" w:hAnsi="宋体"/>
          <w:color w:val="0C0C0C"/>
          <w:sz w:val="24"/>
          <w:highlight w:val="none"/>
        </w:rPr>
        <w:t xml:space="preserve">   </w:t>
      </w:r>
    </w:p>
    <w:p>
      <w:pPr>
        <w:numPr>
          <w:ilvl w:val="0"/>
          <w:numId w:val="0"/>
        </w:numPr>
        <w:spacing w:line="360" w:lineRule="auto"/>
        <w:ind w:leftChars="0"/>
        <w:jc w:val="both"/>
        <w:rPr>
          <w:rFonts w:hint="eastAsia" w:ascii="Arial" w:hAnsi="Arial" w:cs="Arial"/>
          <w:color w:val="0C0C0C"/>
          <w:sz w:val="24"/>
          <w:highlight w:val="none"/>
        </w:rPr>
      </w:pPr>
      <w:r>
        <w:rPr>
          <w:rFonts w:hint="eastAsia" w:ascii="Arial" w:hAnsi="Arial" w:cs="Arial"/>
          <w:color w:val="0C0C0C"/>
          <w:sz w:val="24"/>
          <w:highlight w:val="none"/>
        </w:rPr>
        <w:t>致：</w:t>
      </w:r>
      <w:r>
        <w:rPr>
          <w:rFonts w:hint="eastAsia" w:ascii="宋体" w:hAnsi="宋体" w:cs="宋体"/>
          <w:color w:val="0C0C0C"/>
          <w:sz w:val="24"/>
          <w:highlight w:val="none"/>
          <w:lang w:eastAsia="zh-CN"/>
        </w:rPr>
        <w:t>台州东发建设集团有限公司</w:t>
      </w:r>
      <w:r>
        <w:rPr>
          <w:rFonts w:hint="eastAsia" w:ascii="Arial" w:hAnsi="Arial" w:cs="Arial"/>
          <w:color w:val="0C0C0C"/>
          <w:sz w:val="24"/>
          <w:highlight w:val="none"/>
        </w:rPr>
        <w:t>（</w:t>
      </w:r>
      <w:r>
        <w:rPr>
          <w:rFonts w:hint="eastAsia" w:ascii="Arial" w:hAnsi="Arial" w:cs="Arial"/>
          <w:color w:val="0C0C0C"/>
          <w:sz w:val="24"/>
          <w:highlight w:val="none"/>
          <w:lang w:val="en-US" w:eastAsia="zh-CN"/>
        </w:rPr>
        <w:t>招标人</w:t>
      </w:r>
      <w:r>
        <w:rPr>
          <w:rFonts w:hint="eastAsia" w:ascii="Arial" w:hAnsi="Arial" w:cs="Arial"/>
          <w:color w:val="0C0C0C"/>
          <w:sz w:val="24"/>
          <w:highlight w:val="none"/>
        </w:rPr>
        <w:t>名称）</w:t>
      </w:r>
    </w:p>
    <w:p>
      <w:pPr>
        <w:spacing w:line="360" w:lineRule="auto"/>
        <w:ind w:firstLine="480" w:firstLineChars="200"/>
        <w:jc w:val="left"/>
        <w:outlineLvl w:val="0"/>
        <w:rPr>
          <w:rFonts w:ascii="新宋体" w:hAnsi="新宋体" w:eastAsia="新宋体"/>
          <w:color w:val="0C0C0C"/>
          <w:sz w:val="22"/>
          <w:szCs w:val="22"/>
          <w:highlight w:val="none"/>
        </w:rPr>
      </w:pPr>
      <w:r>
        <w:rPr>
          <w:rFonts w:ascii="Arial" w:hAnsi="Arial" w:cs="Arial"/>
          <w:color w:val="0C0C0C"/>
          <w:sz w:val="24"/>
          <w:highlight w:val="none"/>
        </w:rPr>
        <w:t>经研究，我们决定</w:t>
      </w:r>
      <w:r>
        <w:rPr>
          <w:rFonts w:ascii="Arial" w:hAnsi="Arial" w:eastAsia="宋体" w:cs="Arial"/>
          <w:color w:val="0C0C0C"/>
          <w:sz w:val="24"/>
          <w:szCs w:val="28"/>
          <w:highlight w:val="none"/>
        </w:rPr>
        <w:t>参加</w:t>
      </w:r>
      <w:r>
        <w:rPr>
          <w:rFonts w:hint="eastAsia" w:ascii="Arial" w:hAnsi="Arial" w:eastAsia="宋体" w:cs="Arial"/>
          <w:color w:val="0C0C0C"/>
          <w:sz w:val="24"/>
          <w:szCs w:val="28"/>
          <w:highlight w:val="none"/>
        </w:rPr>
        <w:t>你单位的</w:t>
      </w:r>
      <w:r>
        <w:rPr>
          <w:rFonts w:hint="eastAsia" w:ascii="Arial" w:hAnsi="Arial" w:cs="Arial"/>
          <w:color w:val="0C0C0C"/>
          <w:sz w:val="24"/>
          <w:szCs w:val="28"/>
          <w:highlight w:val="none"/>
          <w:u w:val="single"/>
          <w:lang w:eastAsia="zh-CN"/>
        </w:rPr>
        <w:t>台州湾新区规划支路二道路工程(星空教育地块内)（石粉采购）</w:t>
      </w:r>
      <w:r>
        <w:rPr>
          <w:rFonts w:ascii="Arial" w:hAnsi="Arial" w:cs="Arial"/>
          <w:color w:val="0C0C0C"/>
          <w:sz w:val="24"/>
          <w:highlight w:val="none"/>
        </w:rPr>
        <w:t>的</w:t>
      </w:r>
      <w:r>
        <w:rPr>
          <w:rFonts w:hint="eastAsia" w:ascii="Arial" w:hAnsi="Arial" w:cs="Arial"/>
          <w:color w:val="0C0C0C"/>
          <w:sz w:val="24"/>
          <w:szCs w:val="28"/>
          <w:highlight w:val="none"/>
        </w:rPr>
        <w:t>招标</w:t>
      </w:r>
      <w:r>
        <w:rPr>
          <w:rFonts w:ascii="Arial" w:hAnsi="Arial" w:cs="Arial"/>
          <w:color w:val="0C0C0C"/>
          <w:sz w:val="24"/>
          <w:szCs w:val="28"/>
          <w:highlight w:val="none"/>
        </w:rPr>
        <w:t>采购活动并提交</w:t>
      </w:r>
      <w:r>
        <w:rPr>
          <w:rFonts w:hint="eastAsia" w:ascii="Arial" w:hAnsi="Arial" w:cs="Arial"/>
          <w:color w:val="0C0C0C"/>
          <w:sz w:val="24"/>
          <w:szCs w:val="28"/>
          <w:highlight w:val="none"/>
        </w:rPr>
        <w:t>投标</w:t>
      </w:r>
      <w:r>
        <w:rPr>
          <w:rFonts w:ascii="Arial" w:hAnsi="Arial" w:cs="Arial"/>
          <w:color w:val="0C0C0C"/>
          <w:sz w:val="24"/>
          <w:szCs w:val="28"/>
          <w:highlight w:val="none"/>
        </w:rPr>
        <w:t>文件。为此，我方郑重声明以下诸点，并负法律责任。</w:t>
      </w:r>
    </w:p>
    <w:p>
      <w:pPr>
        <w:pStyle w:val="21"/>
        <w:adjustRightInd w:val="0"/>
        <w:snapToGrid w:val="0"/>
        <w:spacing w:line="360" w:lineRule="auto"/>
        <w:rPr>
          <w:rFonts w:ascii="Arial" w:hAnsi="Arial" w:cs="Arial"/>
          <w:color w:val="0C0C0C"/>
          <w:spacing w:val="0"/>
          <w:sz w:val="24"/>
          <w:szCs w:val="24"/>
          <w:highlight w:val="none"/>
        </w:rPr>
      </w:pPr>
      <w:r>
        <w:rPr>
          <w:rFonts w:ascii="Arial" w:hAnsi="Arial" w:cs="Arial"/>
          <w:color w:val="0C0C0C"/>
          <w:spacing w:val="0"/>
          <w:sz w:val="24"/>
          <w:szCs w:val="24"/>
          <w:highlight w:val="none"/>
        </w:rPr>
        <w:t>1、如果我们的招标文件被接受，我们将履行招标文件中规定的每一项要求，并按我们投标文件中的承诺按期、按质、按量提供服务。</w:t>
      </w:r>
    </w:p>
    <w:p>
      <w:pPr>
        <w:pStyle w:val="21"/>
        <w:adjustRightInd w:val="0"/>
        <w:snapToGrid w:val="0"/>
        <w:spacing w:line="360" w:lineRule="auto"/>
        <w:ind w:firstLine="309" w:firstLineChars="129"/>
        <w:rPr>
          <w:rFonts w:ascii="Arial" w:hAnsi="Arial" w:cs="Arial"/>
          <w:color w:val="0C0C0C"/>
          <w:spacing w:val="0"/>
          <w:sz w:val="24"/>
          <w:szCs w:val="24"/>
          <w:highlight w:val="none"/>
        </w:rPr>
      </w:pPr>
      <w:r>
        <w:rPr>
          <w:rFonts w:ascii="Arial" w:hAnsi="Arial" w:cs="Arial"/>
          <w:color w:val="0C0C0C"/>
          <w:spacing w:val="0"/>
          <w:sz w:val="24"/>
          <w:szCs w:val="24"/>
          <w:highlight w:val="none"/>
        </w:rPr>
        <w:t>2、我们同意按采购文件规定遵守</w:t>
      </w:r>
      <w:r>
        <w:rPr>
          <w:rFonts w:hint="eastAsia" w:ascii="Arial" w:hAnsi="Arial" w:cs="Arial"/>
          <w:color w:val="0C0C0C"/>
          <w:spacing w:val="0"/>
          <w:sz w:val="24"/>
          <w:szCs w:val="24"/>
          <w:highlight w:val="none"/>
          <w:lang w:val="en-US" w:eastAsia="zh-CN"/>
        </w:rPr>
        <w:t>招标人</w:t>
      </w:r>
      <w:r>
        <w:rPr>
          <w:rFonts w:ascii="Arial" w:hAnsi="Arial" w:cs="Arial"/>
          <w:color w:val="0C0C0C"/>
          <w:spacing w:val="0"/>
          <w:sz w:val="24"/>
          <w:szCs w:val="24"/>
          <w:highlight w:val="none"/>
        </w:rPr>
        <w:t>有关采购的各项规定。</w:t>
      </w:r>
    </w:p>
    <w:p>
      <w:pPr>
        <w:pStyle w:val="21"/>
        <w:adjustRightInd w:val="0"/>
        <w:snapToGrid w:val="0"/>
        <w:spacing w:line="360" w:lineRule="auto"/>
        <w:ind w:firstLine="300" w:firstLineChars="125"/>
        <w:rPr>
          <w:rFonts w:ascii="Arial" w:hAnsi="Arial" w:cs="Arial"/>
          <w:color w:val="0C0C0C"/>
          <w:sz w:val="24"/>
          <w:szCs w:val="24"/>
          <w:highlight w:val="none"/>
        </w:rPr>
      </w:pPr>
      <w:r>
        <w:rPr>
          <w:rFonts w:ascii="Arial" w:hAnsi="Arial" w:cs="Arial"/>
          <w:color w:val="0C0C0C"/>
          <w:spacing w:val="0"/>
          <w:sz w:val="24"/>
          <w:szCs w:val="24"/>
          <w:highlight w:val="none"/>
        </w:rPr>
        <w:t>3、</w:t>
      </w:r>
      <w:r>
        <w:rPr>
          <w:rFonts w:ascii="Arial" w:hAnsi="Arial" w:cs="Arial"/>
          <w:color w:val="0C0C0C"/>
          <w:sz w:val="24"/>
          <w:szCs w:val="24"/>
          <w:highlight w:val="none"/>
        </w:rPr>
        <w:t>我方同意提供按照贵方可能要求的与投标有关的一切数据或资料，</w:t>
      </w:r>
      <w:r>
        <w:rPr>
          <w:rFonts w:ascii="Arial" w:hAnsi="Arial" w:cs="Arial"/>
          <w:color w:val="0C0C0C"/>
          <w:spacing w:val="0"/>
          <w:sz w:val="24"/>
          <w:szCs w:val="24"/>
          <w:highlight w:val="none"/>
        </w:rPr>
        <w:t>我方若未成为成交投标人，</w:t>
      </w:r>
      <w:r>
        <w:rPr>
          <w:rFonts w:hint="eastAsia" w:ascii="Arial" w:hAnsi="Arial" w:cs="Arial"/>
          <w:color w:val="0C0C0C"/>
          <w:spacing w:val="0"/>
          <w:sz w:val="24"/>
          <w:szCs w:val="24"/>
          <w:highlight w:val="none"/>
          <w:lang w:val="en-US" w:eastAsia="zh-CN"/>
        </w:rPr>
        <w:t>招标人</w:t>
      </w:r>
      <w:r>
        <w:rPr>
          <w:rFonts w:ascii="Arial" w:hAnsi="Arial" w:cs="Arial"/>
          <w:color w:val="0C0C0C"/>
          <w:spacing w:val="0"/>
          <w:sz w:val="24"/>
          <w:szCs w:val="24"/>
          <w:highlight w:val="none"/>
        </w:rPr>
        <w:t>有权不做任何解释。</w:t>
      </w:r>
    </w:p>
    <w:p>
      <w:pPr>
        <w:spacing w:line="360" w:lineRule="auto"/>
        <w:ind w:firstLine="360" w:firstLineChars="150"/>
        <w:rPr>
          <w:rFonts w:hint="eastAsia" w:ascii="宋体" w:hAnsi="宋体"/>
          <w:color w:val="0C0C0C"/>
          <w:sz w:val="24"/>
          <w:highlight w:val="none"/>
        </w:rPr>
      </w:pPr>
      <w:r>
        <w:rPr>
          <w:rFonts w:hint="eastAsia" w:ascii="Arial" w:hAnsi="Arial" w:cs="Arial"/>
          <w:color w:val="0C0C0C"/>
          <w:sz w:val="24"/>
          <w:highlight w:val="none"/>
        </w:rPr>
        <w:t>4、我方如果中标，将保证履行招标文件以及招标文件修改书（如有）中的全部责任和义务，按质、按量、按期完成《合同书》中的全部任务。</w:t>
      </w:r>
    </w:p>
    <w:tbl>
      <w:tblPr>
        <w:tblStyle w:val="46"/>
        <w:tblW w:w="96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75"/>
        <w:gridCol w:w="63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3275" w:type="dxa"/>
            <w:noWrap w:val="0"/>
            <w:vAlign w:val="center"/>
          </w:tcPr>
          <w:p>
            <w:pPr>
              <w:spacing w:line="360" w:lineRule="auto"/>
              <w:outlineLvl w:val="0"/>
              <w:rPr>
                <w:rFonts w:hint="eastAsia" w:ascii="宋体" w:hAnsi="宋体"/>
                <w:color w:val="0C0C0C"/>
                <w:sz w:val="24"/>
                <w:szCs w:val="21"/>
                <w:highlight w:val="none"/>
              </w:rPr>
            </w:pPr>
            <w:r>
              <w:rPr>
                <w:rFonts w:hint="eastAsia" w:ascii="宋体" w:hAnsi="宋体"/>
                <w:color w:val="0C0C0C"/>
                <w:sz w:val="24"/>
                <w:szCs w:val="21"/>
                <w:highlight w:val="none"/>
              </w:rPr>
              <w:t>1、投标总报价</w:t>
            </w:r>
          </w:p>
        </w:tc>
        <w:tc>
          <w:tcPr>
            <w:tcW w:w="6338" w:type="dxa"/>
            <w:noWrap w:val="0"/>
            <w:vAlign w:val="center"/>
          </w:tcPr>
          <w:p>
            <w:pPr>
              <w:wordWrap w:val="0"/>
              <w:spacing w:line="360" w:lineRule="auto"/>
              <w:ind w:right="420" w:firstLine="420" w:firstLineChars="200"/>
              <w:outlineLvl w:val="0"/>
              <w:rPr>
                <w:rFonts w:hint="eastAsia" w:ascii="宋体" w:hAnsi="宋体"/>
                <w:bCs/>
                <w:color w:val="0C0C0C"/>
                <w:sz w:val="21"/>
                <w:szCs w:val="21"/>
                <w:highlight w:val="none"/>
              </w:rPr>
            </w:pPr>
            <w:r>
              <w:rPr>
                <w:rFonts w:hint="eastAsia" w:ascii="宋体" w:hAnsi="宋体"/>
                <w:bCs/>
                <w:color w:val="0C0C0C"/>
                <w:sz w:val="21"/>
                <w:szCs w:val="21"/>
                <w:highlight w:val="none"/>
              </w:rPr>
              <w:t>大写：</w:t>
            </w:r>
            <w:r>
              <w:rPr>
                <w:rFonts w:hint="eastAsia" w:ascii="宋体" w:hAnsi="宋体"/>
                <w:bCs/>
                <w:color w:val="0C0C0C"/>
                <w:sz w:val="21"/>
                <w:szCs w:val="21"/>
                <w:highlight w:val="none"/>
                <w:u w:val="single"/>
              </w:rPr>
              <w:t xml:space="preserve">                      </w:t>
            </w:r>
            <w:r>
              <w:rPr>
                <w:rFonts w:hint="eastAsia" w:ascii="宋体" w:hAnsi="宋体"/>
                <w:bCs/>
                <w:color w:val="0C0C0C"/>
                <w:sz w:val="21"/>
                <w:szCs w:val="21"/>
                <w:highlight w:val="none"/>
              </w:rPr>
              <w:t xml:space="preserve"> 元；小写：</w:t>
            </w:r>
            <w:r>
              <w:rPr>
                <w:rFonts w:hint="eastAsia" w:ascii="宋体" w:hAnsi="宋体"/>
                <w:bCs/>
                <w:color w:val="0C0C0C"/>
                <w:sz w:val="21"/>
                <w:szCs w:val="21"/>
                <w:highlight w:val="none"/>
                <w:u w:val="single"/>
              </w:rPr>
              <w:t xml:space="preserve">         </w:t>
            </w:r>
            <w:r>
              <w:rPr>
                <w:rFonts w:hint="eastAsia" w:ascii="宋体" w:hAnsi="宋体"/>
                <w:bCs/>
                <w:color w:val="0C0C0C"/>
                <w:sz w:val="21"/>
                <w:szCs w:val="21"/>
                <w:highlight w:val="none"/>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3275" w:type="dxa"/>
            <w:noWrap w:val="0"/>
            <w:vAlign w:val="center"/>
          </w:tcPr>
          <w:p>
            <w:pPr>
              <w:snapToGrid w:val="0"/>
              <w:spacing w:before="50" w:after="50"/>
              <w:rPr>
                <w:rFonts w:hint="eastAsia" w:ascii="宋体" w:hAnsi="宋体"/>
                <w:color w:val="0C0C0C"/>
                <w:sz w:val="24"/>
                <w:szCs w:val="21"/>
                <w:highlight w:val="none"/>
              </w:rPr>
            </w:pPr>
            <w:r>
              <w:rPr>
                <w:rFonts w:hint="eastAsia" w:ascii="宋体" w:hAnsi="宋体"/>
                <w:color w:val="0C0C0C"/>
                <w:sz w:val="24"/>
                <w:szCs w:val="21"/>
                <w:highlight w:val="none"/>
              </w:rPr>
              <w:t>2、交货期</w:t>
            </w:r>
          </w:p>
        </w:tc>
        <w:tc>
          <w:tcPr>
            <w:tcW w:w="6338" w:type="dxa"/>
            <w:noWrap w:val="0"/>
            <w:vAlign w:val="center"/>
          </w:tcPr>
          <w:p>
            <w:pPr>
              <w:spacing w:line="360" w:lineRule="auto"/>
              <w:jc w:val="center"/>
              <w:outlineLvl w:val="0"/>
              <w:rPr>
                <w:rFonts w:ascii="宋体" w:hAnsi="宋体"/>
                <w:color w:val="0C0C0C"/>
                <w:sz w:val="24"/>
                <w:szCs w:val="21"/>
                <w:highlight w:val="none"/>
              </w:rPr>
            </w:pPr>
            <w:r>
              <w:rPr>
                <w:rFonts w:hint="eastAsia" w:ascii="宋体" w:hAnsi="宋体"/>
                <w:color w:val="0C0C0C"/>
                <w:sz w:val="24"/>
                <w:szCs w:val="21"/>
                <w:highlight w:val="none"/>
              </w:rPr>
              <w:t>自收到中标通知书后</w:t>
            </w:r>
            <w:r>
              <w:rPr>
                <w:rFonts w:hint="eastAsia" w:ascii="宋体" w:hAnsi="宋体"/>
                <w:color w:val="0C0C0C"/>
                <w:sz w:val="24"/>
                <w:szCs w:val="21"/>
                <w:highlight w:val="none"/>
                <w:lang w:val="en-US" w:eastAsia="zh-CN"/>
              </w:rPr>
              <w:t>15</w:t>
            </w:r>
            <w:r>
              <w:rPr>
                <w:rFonts w:hint="eastAsia" w:ascii="宋体" w:hAnsi="宋体"/>
                <w:color w:val="0C0C0C"/>
                <w:sz w:val="24"/>
                <w:szCs w:val="21"/>
                <w:highlight w:val="none"/>
              </w:rPr>
              <w:t>个工作日内完成供货；如因项目需要分批次供货的，则每批次货物自接到买方通知后3个工作日内完成供货。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3275" w:type="dxa"/>
            <w:noWrap w:val="0"/>
            <w:vAlign w:val="center"/>
          </w:tcPr>
          <w:p>
            <w:pPr>
              <w:snapToGrid w:val="0"/>
              <w:spacing w:before="50" w:after="50"/>
              <w:rPr>
                <w:rFonts w:hint="eastAsia" w:ascii="宋体" w:hAnsi="宋体"/>
                <w:color w:val="0C0C0C"/>
                <w:sz w:val="24"/>
                <w:szCs w:val="21"/>
                <w:highlight w:val="none"/>
              </w:rPr>
            </w:pPr>
            <w:r>
              <w:rPr>
                <w:rFonts w:hint="eastAsia" w:ascii="宋体" w:hAnsi="宋体"/>
                <w:color w:val="0C0C0C"/>
                <w:sz w:val="24"/>
                <w:szCs w:val="21"/>
                <w:highlight w:val="none"/>
              </w:rPr>
              <w:t>3、质量等级</w:t>
            </w:r>
          </w:p>
        </w:tc>
        <w:tc>
          <w:tcPr>
            <w:tcW w:w="6338" w:type="dxa"/>
            <w:noWrap w:val="0"/>
            <w:vAlign w:val="center"/>
          </w:tcPr>
          <w:p>
            <w:pPr>
              <w:spacing w:line="360" w:lineRule="auto"/>
              <w:jc w:val="center"/>
              <w:outlineLvl w:val="0"/>
              <w:rPr>
                <w:rFonts w:hint="eastAsia" w:ascii="宋体" w:hAnsi="宋体"/>
                <w:color w:val="0C0C0C"/>
                <w:sz w:val="24"/>
                <w:szCs w:val="21"/>
                <w:highlight w:val="none"/>
              </w:rPr>
            </w:pPr>
            <w:r>
              <w:rPr>
                <w:rFonts w:hint="eastAsia" w:ascii="宋体" w:hAnsi="宋体"/>
                <w:color w:val="0C0C0C"/>
                <w:sz w:val="24"/>
                <w:szCs w:val="21"/>
                <w:highlight w:val="none"/>
              </w:rPr>
              <w:t>符合要求</w:t>
            </w:r>
          </w:p>
        </w:tc>
      </w:tr>
    </w:tbl>
    <w:p>
      <w:pPr>
        <w:spacing w:line="320" w:lineRule="exact"/>
        <w:rPr>
          <w:rFonts w:hint="eastAsia" w:ascii="宋体" w:hAnsi="宋体"/>
          <w:color w:val="0C0C0C"/>
          <w:sz w:val="24"/>
          <w:highlight w:val="none"/>
        </w:rPr>
      </w:pPr>
    </w:p>
    <w:p>
      <w:pPr>
        <w:spacing w:line="360" w:lineRule="auto"/>
        <w:rPr>
          <w:rFonts w:hint="eastAsia" w:ascii="宋体" w:hAnsi="宋体"/>
          <w:color w:val="0C0C0C"/>
          <w:sz w:val="24"/>
          <w:highlight w:val="none"/>
        </w:rPr>
      </w:pPr>
    </w:p>
    <w:p>
      <w:pPr>
        <w:spacing w:line="360" w:lineRule="auto"/>
        <w:rPr>
          <w:rFonts w:hint="eastAsia" w:ascii="宋体" w:hAnsi="宋体"/>
          <w:color w:val="0C0C0C"/>
          <w:sz w:val="24"/>
          <w:highlight w:val="none"/>
        </w:rPr>
      </w:pPr>
      <w:r>
        <w:rPr>
          <w:rFonts w:hint="eastAsia" w:ascii="宋体" w:hAnsi="宋体"/>
          <w:color w:val="0C0C0C"/>
          <w:sz w:val="24"/>
          <w:highlight w:val="none"/>
        </w:rPr>
        <w:t xml:space="preserve">投标人（盖章）：     </w:t>
      </w:r>
    </w:p>
    <w:p>
      <w:pPr>
        <w:numPr>
          <w:ilvl w:val="0"/>
          <w:numId w:val="0"/>
        </w:numPr>
        <w:spacing w:line="360" w:lineRule="auto"/>
        <w:ind w:leftChars="0"/>
        <w:rPr>
          <w:rFonts w:hint="eastAsia" w:ascii="宋体" w:hAnsi="宋体"/>
          <w:color w:val="0C0C0C"/>
          <w:sz w:val="24"/>
          <w:highlight w:val="none"/>
        </w:rPr>
      </w:pPr>
      <w:r>
        <w:rPr>
          <w:rFonts w:hint="eastAsia" w:ascii="宋体" w:hAnsi="宋体"/>
          <w:color w:val="0C0C0C"/>
          <w:sz w:val="24"/>
          <w:highlight w:val="none"/>
        </w:rPr>
        <w:t>法定代表人</w:t>
      </w:r>
      <w:r>
        <w:rPr>
          <w:rFonts w:hint="eastAsia" w:ascii="宋体" w:hAnsi="宋体"/>
          <w:color w:val="0C0C0C"/>
          <w:sz w:val="24"/>
          <w:highlight w:val="none"/>
          <w:lang w:val="en-US" w:eastAsia="zh-CN"/>
        </w:rPr>
        <w:t>/经营者</w:t>
      </w:r>
      <w:r>
        <w:rPr>
          <w:rFonts w:hint="eastAsia" w:ascii="宋体" w:hAnsi="宋体"/>
          <w:color w:val="0C0C0C"/>
          <w:sz w:val="24"/>
          <w:highlight w:val="none"/>
        </w:rPr>
        <w:t xml:space="preserve">（签字或盖章）：                         </w:t>
      </w:r>
    </w:p>
    <w:p>
      <w:pPr>
        <w:numPr>
          <w:ilvl w:val="0"/>
          <w:numId w:val="0"/>
        </w:numPr>
        <w:spacing w:line="360" w:lineRule="auto"/>
        <w:ind w:leftChars="0"/>
        <w:rPr>
          <w:rFonts w:hint="eastAsia" w:ascii="宋体" w:hAnsi="宋体" w:cs="宋体"/>
          <w:color w:val="0D0D0D"/>
          <w:sz w:val="24"/>
          <w:highlight w:val="none"/>
        </w:rPr>
      </w:pPr>
      <w:r>
        <w:rPr>
          <w:rFonts w:hint="eastAsia" w:ascii="宋体" w:hAnsi="宋体"/>
          <w:color w:val="0C0C0C"/>
          <w:sz w:val="24"/>
          <w:highlight w:val="none"/>
        </w:rPr>
        <w:t xml:space="preserve">日期： </w:t>
      </w:r>
      <w:r>
        <w:rPr>
          <w:rFonts w:hint="eastAsia" w:ascii="宋体" w:hAnsi="宋体"/>
          <w:color w:val="auto"/>
          <w:sz w:val="24"/>
          <w:szCs w:val="24"/>
          <w:highlight w:val="none"/>
        </w:rPr>
        <w:t xml:space="preserve">     年   月   日</w:t>
      </w:r>
    </w:p>
    <w:p>
      <w:pPr>
        <w:snapToGrid w:val="0"/>
        <w:ind w:right="140"/>
        <w:rPr>
          <w:rFonts w:hint="eastAsia" w:ascii="宋体" w:hAnsi="宋体" w:cs="宋体"/>
          <w:color w:val="0D0D0D"/>
          <w:sz w:val="24"/>
          <w:highlight w:val="none"/>
          <w:lang w:val="en-US" w:eastAsia="zh-CN"/>
        </w:rPr>
      </w:pPr>
    </w:p>
    <w:p>
      <w:pPr>
        <w:snapToGrid w:val="0"/>
        <w:ind w:right="140"/>
        <w:rPr>
          <w:rFonts w:hint="eastAsia" w:ascii="宋体" w:hAnsi="宋体" w:cs="宋体"/>
          <w:color w:val="0D0D0D"/>
          <w:sz w:val="24"/>
          <w:highlight w:val="none"/>
          <w:lang w:val="en-US" w:eastAsia="zh-CN"/>
        </w:rPr>
      </w:pPr>
    </w:p>
    <w:p>
      <w:pPr>
        <w:snapToGrid w:val="0"/>
        <w:ind w:right="140"/>
        <w:rPr>
          <w:rFonts w:hint="eastAsia" w:ascii="宋体" w:hAnsi="宋体" w:cs="宋体"/>
          <w:color w:val="0D0D0D"/>
          <w:sz w:val="24"/>
          <w:highlight w:val="none"/>
          <w:lang w:val="en-US" w:eastAsia="zh-CN"/>
        </w:rPr>
      </w:pPr>
    </w:p>
    <w:p>
      <w:pPr>
        <w:snapToGrid w:val="0"/>
        <w:ind w:right="140"/>
        <w:rPr>
          <w:rFonts w:hint="eastAsia" w:ascii="宋体" w:hAnsi="宋体" w:cs="宋体"/>
          <w:color w:val="0D0D0D"/>
          <w:sz w:val="24"/>
          <w:highlight w:val="none"/>
          <w:lang w:val="en-US" w:eastAsia="zh-CN"/>
        </w:rPr>
        <w:sectPr>
          <w:footerReference r:id="rId13" w:type="default"/>
          <w:pgSz w:w="11906" w:h="16838"/>
          <w:pgMar w:top="1440" w:right="1188" w:bottom="1440" w:left="1797" w:header="851" w:footer="992" w:gutter="0"/>
          <w:pgNumType w:fmt="numberInDash"/>
          <w:cols w:space="720" w:num="1"/>
          <w:docGrid w:type="lines" w:linePitch="312" w:charSpace="0"/>
        </w:sectPr>
      </w:pPr>
    </w:p>
    <w:p>
      <w:pPr>
        <w:snapToGrid w:val="0"/>
        <w:spacing w:before="50" w:after="156" w:afterLines="50"/>
        <w:jc w:val="left"/>
        <w:rPr>
          <w:rFonts w:hint="eastAsia" w:ascii="宋体" w:hAnsi="宋体" w:eastAsia="宋体" w:cs="Times New Roman"/>
          <w:color w:val="0D0D0D"/>
          <w:sz w:val="24"/>
          <w:highlight w:val="none"/>
          <w:lang w:val="en-US" w:eastAsia="zh-CN"/>
        </w:rPr>
      </w:pPr>
      <w:r>
        <w:rPr>
          <w:rFonts w:hint="eastAsia" w:ascii="宋体" w:hAnsi="宋体" w:eastAsia="宋体" w:cs="Times New Roman"/>
          <w:color w:val="0D0D0D"/>
          <w:sz w:val="24"/>
          <w:highlight w:val="none"/>
          <w:lang w:val="en-US" w:eastAsia="zh-CN"/>
        </w:rPr>
        <w:t>3、投标报价清单：</w:t>
      </w:r>
    </w:p>
    <w:p>
      <w:pPr>
        <w:pStyle w:val="39"/>
        <w:ind w:left="0" w:leftChars="0"/>
        <w:jc w:val="center"/>
        <w:rPr>
          <w:rFonts w:hint="eastAsia" w:ascii="宋体" w:hAnsi="宋体" w:cs="宋体"/>
          <w:b/>
          <w:color w:val="0D0D0D"/>
          <w:sz w:val="28"/>
          <w:szCs w:val="28"/>
          <w:highlight w:val="none"/>
          <w:lang w:eastAsia="zh-CN"/>
        </w:rPr>
      </w:pPr>
      <w:r>
        <w:rPr>
          <w:rFonts w:hint="eastAsia" w:ascii="宋体" w:hAnsi="宋体" w:cs="宋体"/>
          <w:b/>
          <w:color w:val="0D0D0D"/>
          <w:sz w:val="28"/>
          <w:szCs w:val="28"/>
          <w:highlight w:val="none"/>
          <w:lang w:eastAsia="zh-CN"/>
        </w:rPr>
        <w:t>台州湾新区规划支路二道路工程(星空教育地块内)（石粉采购）</w:t>
      </w:r>
    </w:p>
    <w:p>
      <w:pPr>
        <w:pStyle w:val="39"/>
        <w:ind w:left="0" w:leftChars="0"/>
        <w:jc w:val="center"/>
        <w:rPr>
          <w:rFonts w:hint="eastAsia" w:ascii="宋体" w:hAnsi="宋体" w:eastAsia="宋体" w:cs="宋体"/>
          <w:b/>
          <w:color w:val="0D0D0D"/>
          <w:kern w:val="2"/>
          <w:sz w:val="28"/>
          <w:szCs w:val="28"/>
          <w:highlight w:val="none"/>
          <w:lang w:val="en-US" w:eastAsia="zh-CN" w:bidi="ar-SA"/>
        </w:rPr>
      </w:pPr>
      <w:r>
        <w:rPr>
          <w:rFonts w:hint="eastAsia" w:ascii="宋体" w:hAnsi="宋体" w:eastAsia="宋体" w:cs="宋体"/>
          <w:b/>
          <w:color w:val="0D0D0D"/>
          <w:kern w:val="2"/>
          <w:sz w:val="28"/>
          <w:szCs w:val="28"/>
          <w:highlight w:val="none"/>
          <w:lang w:val="en-US" w:eastAsia="zh-CN" w:bidi="ar-SA"/>
        </w:rPr>
        <w:t>投标报价清单</w:t>
      </w:r>
    </w:p>
    <w:p>
      <w:pPr>
        <w:pStyle w:val="39"/>
        <w:ind w:left="0" w:leftChars="0"/>
        <w:rPr>
          <w:rFonts w:hint="eastAsia" w:ascii="宋体" w:hAnsi="宋体" w:cs="宋体"/>
          <w:color w:val="0D0D0D"/>
          <w:sz w:val="24"/>
          <w:szCs w:val="24"/>
          <w:highlight w:val="none"/>
        </w:rPr>
      </w:pPr>
      <w:r>
        <w:rPr>
          <w:rFonts w:hint="eastAsia" w:ascii="宋体" w:hAnsi="宋体" w:cs="宋体"/>
          <w:color w:val="0D0D0D"/>
          <w:sz w:val="24"/>
          <w:szCs w:val="24"/>
          <w:highlight w:val="none"/>
          <w:lang w:eastAsia="zh-CN"/>
        </w:rPr>
        <w:t>台州东发建设集团有限公司</w:t>
      </w:r>
      <w:r>
        <w:rPr>
          <w:rFonts w:hint="eastAsia" w:ascii="宋体" w:hAnsi="宋体" w:cs="宋体"/>
          <w:color w:val="0D0D0D"/>
          <w:sz w:val="24"/>
          <w:szCs w:val="24"/>
          <w:highlight w:val="none"/>
        </w:rPr>
        <w:t>：</w:t>
      </w:r>
    </w:p>
    <w:p>
      <w:pPr>
        <w:spacing w:line="360" w:lineRule="auto"/>
        <w:rPr>
          <w:rFonts w:hint="eastAsia" w:ascii="宋体" w:hAnsi="宋体" w:cs="宋体"/>
          <w:bCs/>
          <w:color w:val="0D0D0D"/>
          <w:sz w:val="24"/>
          <w:szCs w:val="24"/>
          <w:highlight w:val="none"/>
        </w:rPr>
      </w:pPr>
      <w:r>
        <w:rPr>
          <w:rFonts w:hint="eastAsia" w:ascii="宋体" w:hAnsi="宋体" w:cs="宋体"/>
          <w:color w:val="0D0D0D"/>
          <w:sz w:val="24"/>
          <w:szCs w:val="24"/>
          <w:highlight w:val="none"/>
        </w:rPr>
        <w:t xml:space="preserve">    根据己收到的招标文件，我单位经考察现场和研究上述项目的招标文件后，在全部同意招标文件内容前提下，我方保证，按如下投标报价承包上述项目。</w:t>
      </w:r>
    </w:p>
    <w:tbl>
      <w:tblPr>
        <w:tblStyle w:val="46"/>
        <w:tblW w:w="9381" w:type="dxa"/>
        <w:tblInd w:w="-239" w:type="dxa"/>
        <w:tblLayout w:type="fixed"/>
        <w:tblCellMar>
          <w:top w:w="0" w:type="dxa"/>
          <w:left w:w="0" w:type="dxa"/>
          <w:bottom w:w="0" w:type="dxa"/>
          <w:right w:w="0" w:type="dxa"/>
        </w:tblCellMar>
      </w:tblPr>
      <w:tblGrid>
        <w:gridCol w:w="600"/>
        <w:gridCol w:w="2760"/>
        <w:gridCol w:w="1365"/>
        <w:gridCol w:w="915"/>
        <w:gridCol w:w="1140"/>
        <w:gridCol w:w="1136"/>
        <w:gridCol w:w="1465"/>
      </w:tblGrid>
      <w:tr>
        <w:tblPrEx>
          <w:tblCellMar>
            <w:top w:w="0" w:type="dxa"/>
            <w:left w:w="0" w:type="dxa"/>
            <w:bottom w:w="0" w:type="dxa"/>
            <w:right w:w="0" w:type="dxa"/>
          </w:tblCellMar>
        </w:tblPrEx>
        <w:trPr>
          <w:trHeight w:val="534" w:hRule="atLeast"/>
        </w:trPr>
        <w:tc>
          <w:tcPr>
            <w:tcW w:w="6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hAnsi="宋体"/>
                <w:color w:val="0D0D0D"/>
                <w:sz w:val="24"/>
                <w:szCs w:val="24"/>
                <w:highlight w:val="none"/>
              </w:rPr>
            </w:pPr>
            <w:r>
              <w:rPr>
                <w:rFonts w:hint="eastAsia" w:ascii="宋体" w:hAnsi="宋体" w:eastAsia="宋体" w:cs="宋体"/>
                <w:i w:val="0"/>
                <w:color w:val="000000"/>
                <w:kern w:val="0"/>
                <w:sz w:val="24"/>
                <w:szCs w:val="24"/>
                <w:highlight w:val="none"/>
                <w:u w:val="none"/>
                <w:lang w:val="en-US" w:eastAsia="zh-CN" w:bidi="ar"/>
              </w:rPr>
              <w:t>序号</w:t>
            </w:r>
          </w:p>
        </w:tc>
        <w:tc>
          <w:tcPr>
            <w:tcW w:w="27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hAnsi="宋体"/>
                <w:color w:val="0D0D0D"/>
                <w:sz w:val="24"/>
                <w:szCs w:val="24"/>
                <w:highlight w:val="none"/>
              </w:rPr>
            </w:pPr>
            <w:r>
              <w:rPr>
                <w:rFonts w:hint="eastAsia" w:ascii="宋体" w:hAnsi="宋体" w:eastAsia="宋体" w:cs="宋体"/>
                <w:i w:val="0"/>
                <w:color w:val="000000"/>
                <w:kern w:val="0"/>
                <w:sz w:val="24"/>
                <w:szCs w:val="24"/>
                <w:highlight w:val="none"/>
                <w:u w:val="none"/>
                <w:lang w:val="en-US" w:eastAsia="zh-CN" w:bidi="ar"/>
              </w:rPr>
              <w:t>材料名称</w:t>
            </w:r>
          </w:p>
        </w:tc>
        <w:tc>
          <w:tcPr>
            <w:tcW w:w="13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hAnsi="宋体"/>
                <w:color w:val="0D0D0D"/>
                <w:sz w:val="24"/>
                <w:szCs w:val="24"/>
                <w:highlight w:val="none"/>
              </w:rPr>
            </w:pPr>
            <w:r>
              <w:rPr>
                <w:rFonts w:hint="eastAsia" w:ascii="宋体" w:hAnsi="宋体" w:eastAsia="宋体" w:cs="宋体"/>
                <w:i w:val="0"/>
                <w:color w:val="000000"/>
                <w:kern w:val="0"/>
                <w:sz w:val="24"/>
                <w:szCs w:val="24"/>
                <w:highlight w:val="none"/>
                <w:u w:val="none"/>
                <w:lang w:val="en-US" w:eastAsia="zh-CN" w:bidi="ar"/>
              </w:rPr>
              <w:t>规格</w:t>
            </w:r>
          </w:p>
        </w:tc>
        <w:tc>
          <w:tcPr>
            <w:tcW w:w="915" w:type="dxa"/>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Ansi="宋体"/>
                <w:color w:val="0D0D0D"/>
                <w:sz w:val="24"/>
                <w:szCs w:val="24"/>
                <w:highlight w:val="none"/>
              </w:rPr>
            </w:pPr>
            <w:r>
              <w:rPr>
                <w:rFonts w:hint="eastAsia" w:ascii="宋体" w:hAnsi="宋体" w:eastAsia="宋体" w:cs="宋体"/>
                <w:i w:val="0"/>
                <w:color w:val="000000"/>
                <w:kern w:val="0"/>
                <w:sz w:val="24"/>
                <w:szCs w:val="24"/>
                <w:highlight w:val="none"/>
                <w:u w:val="none"/>
                <w:lang w:val="en-US" w:eastAsia="zh-CN" w:bidi="ar"/>
              </w:rPr>
              <w:t>工程量</w:t>
            </w:r>
          </w:p>
        </w:tc>
        <w:tc>
          <w:tcPr>
            <w:tcW w:w="1140" w:type="dxa"/>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pStyle w:val="28"/>
              <w:snapToGrid w:val="0"/>
              <w:spacing w:before="120" w:beforeLines="0" w:after="120" w:afterLines="0" w:line="240" w:lineRule="auto"/>
              <w:jc w:val="center"/>
              <w:outlineLvl w:val="0"/>
              <w:rPr>
                <w:rFonts w:hint="eastAsia" w:hAnsi="宋体"/>
                <w:color w:val="0D0D0D"/>
                <w:sz w:val="24"/>
                <w:szCs w:val="24"/>
                <w:highlight w:val="none"/>
              </w:rPr>
            </w:pPr>
            <w:r>
              <w:rPr>
                <w:rFonts w:hint="eastAsia" w:hAnsi="宋体"/>
                <w:color w:val="0D0D0D"/>
                <w:sz w:val="24"/>
                <w:szCs w:val="24"/>
                <w:highlight w:val="none"/>
              </w:rPr>
              <w:t>单价上限价</w:t>
            </w:r>
          </w:p>
        </w:tc>
        <w:tc>
          <w:tcPr>
            <w:tcW w:w="1136" w:type="dxa"/>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pStyle w:val="28"/>
              <w:snapToGrid w:val="0"/>
              <w:spacing w:before="120" w:beforeLines="0" w:after="120" w:afterLines="0" w:line="240" w:lineRule="auto"/>
              <w:jc w:val="center"/>
              <w:outlineLvl w:val="0"/>
              <w:rPr>
                <w:rFonts w:hint="eastAsia" w:hAnsi="宋体"/>
                <w:color w:val="0D0D0D"/>
                <w:sz w:val="24"/>
                <w:szCs w:val="24"/>
                <w:highlight w:val="none"/>
              </w:rPr>
            </w:pPr>
            <w:r>
              <w:rPr>
                <w:rFonts w:hint="eastAsia" w:hAnsi="宋体"/>
                <w:color w:val="0D0D0D"/>
                <w:sz w:val="24"/>
                <w:szCs w:val="24"/>
                <w:highlight w:val="none"/>
              </w:rPr>
              <w:t>单价（元）</w:t>
            </w:r>
          </w:p>
        </w:tc>
        <w:tc>
          <w:tcPr>
            <w:tcW w:w="1465" w:type="dxa"/>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pStyle w:val="28"/>
              <w:snapToGrid w:val="0"/>
              <w:spacing w:before="120" w:beforeLines="0" w:after="120" w:afterLines="0" w:line="240" w:lineRule="auto"/>
              <w:jc w:val="center"/>
              <w:outlineLvl w:val="0"/>
              <w:rPr>
                <w:rFonts w:hint="eastAsia" w:hAnsi="宋体"/>
                <w:color w:val="0D0D0D"/>
                <w:sz w:val="24"/>
                <w:szCs w:val="24"/>
                <w:highlight w:val="none"/>
              </w:rPr>
            </w:pPr>
            <w:r>
              <w:rPr>
                <w:rFonts w:hint="eastAsia" w:hAnsi="宋体"/>
                <w:color w:val="0D0D0D"/>
                <w:sz w:val="24"/>
                <w:szCs w:val="24"/>
                <w:highlight w:val="none"/>
              </w:rPr>
              <w:t>合价（元）</w:t>
            </w:r>
          </w:p>
        </w:tc>
      </w:tr>
      <w:tr>
        <w:tblPrEx>
          <w:tblCellMar>
            <w:top w:w="0" w:type="dxa"/>
            <w:left w:w="0" w:type="dxa"/>
            <w:bottom w:w="0" w:type="dxa"/>
            <w:right w:w="0" w:type="dxa"/>
          </w:tblCellMar>
        </w:tblPrEx>
        <w:trPr>
          <w:trHeight w:val="524" w:hRule="atLeast"/>
        </w:trPr>
        <w:tc>
          <w:tcPr>
            <w:tcW w:w="600" w:type="dxa"/>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000000"/>
                <w:kern w:val="0"/>
                <w:sz w:val="24"/>
                <w:szCs w:val="24"/>
                <w:highlight w:val="none"/>
                <w:lang w:bidi="ar"/>
              </w:rPr>
            </w:pPr>
            <w:r>
              <w:rPr>
                <w:rFonts w:hint="eastAsia" w:ascii="宋体" w:hAnsi="宋体" w:eastAsia="宋体" w:cs="宋体"/>
                <w:i w:val="0"/>
                <w:color w:val="000000"/>
                <w:kern w:val="0"/>
                <w:sz w:val="24"/>
                <w:szCs w:val="24"/>
                <w:highlight w:val="none"/>
                <w:u w:val="none"/>
                <w:lang w:val="en-US" w:eastAsia="zh-CN" w:bidi="ar"/>
              </w:rPr>
              <w:t>1</w:t>
            </w:r>
          </w:p>
        </w:tc>
        <w:tc>
          <w:tcPr>
            <w:tcW w:w="276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000000"/>
                <w:kern w:val="0"/>
                <w:sz w:val="24"/>
                <w:szCs w:val="24"/>
                <w:highlight w:val="none"/>
                <w:lang w:bidi="ar"/>
              </w:rPr>
            </w:pPr>
            <w:r>
              <w:rPr>
                <w:rFonts w:hint="eastAsia" w:ascii="宋体" w:hAnsi="宋体" w:eastAsia="宋体" w:cs="宋体"/>
                <w:i w:val="0"/>
                <w:color w:val="000000"/>
                <w:kern w:val="0"/>
                <w:sz w:val="24"/>
                <w:szCs w:val="24"/>
                <w:highlight w:val="none"/>
                <w:u w:val="none"/>
                <w:lang w:val="en-US" w:eastAsia="zh-CN" w:bidi="ar"/>
              </w:rPr>
              <w:t>石粉（水泥稳定层用料）</w:t>
            </w:r>
          </w:p>
        </w:tc>
        <w:tc>
          <w:tcPr>
            <w:tcW w:w="136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000000"/>
                <w:kern w:val="0"/>
                <w:sz w:val="24"/>
                <w:szCs w:val="24"/>
                <w:highlight w:val="none"/>
                <w:lang w:bidi="ar"/>
              </w:rPr>
            </w:pPr>
            <w:r>
              <w:rPr>
                <w:rFonts w:hint="eastAsia" w:ascii="宋体" w:hAnsi="宋体" w:eastAsia="宋体" w:cs="宋体"/>
                <w:i w:val="0"/>
                <w:color w:val="000000"/>
                <w:kern w:val="0"/>
                <w:sz w:val="24"/>
                <w:szCs w:val="24"/>
                <w:highlight w:val="none"/>
                <w:u w:val="none"/>
                <w:lang w:val="en-US" w:eastAsia="zh-CN" w:bidi="ar"/>
              </w:rPr>
              <w:t>含泥量≤3％</w:t>
            </w:r>
          </w:p>
        </w:tc>
        <w:tc>
          <w:tcPr>
            <w:tcW w:w="915" w:type="dxa"/>
            <w:tcBorders>
              <w:top w:val="single" w:color="auto" w:sz="4" w:space="0"/>
              <w:left w:val="single" w:color="000000" w:sz="4" w:space="0"/>
              <w:bottom w:val="single" w:color="auto"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kern w:val="0"/>
                <w:sz w:val="24"/>
                <w:szCs w:val="24"/>
                <w:highlight w:val="none"/>
                <w:lang w:bidi="ar"/>
              </w:rPr>
            </w:pPr>
            <w:r>
              <w:rPr>
                <w:rFonts w:hint="eastAsia" w:ascii="宋体" w:hAnsi="宋体" w:cs="宋体"/>
                <w:i w:val="0"/>
                <w:color w:val="000000"/>
                <w:kern w:val="0"/>
                <w:sz w:val="24"/>
                <w:szCs w:val="24"/>
                <w:highlight w:val="none"/>
                <w:u w:val="none"/>
                <w:lang w:val="en-US" w:eastAsia="zh-CN" w:bidi="ar"/>
              </w:rPr>
              <w:t>1500</w:t>
            </w:r>
            <w:r>
              <w:rPr>
                <w:rFonts w:hint="eastAsia" w:ascii="宋体" w:hAnsi="宋体" w:eastAsia="宋体" w:cs="宋体"/>
                <w:i w:val="0"/>
                <w:color w:val="000000"/>
                <w:kern w:val="0"/>
                <w:sz w:val="24"/>
                <w:szCs w:val="24"/>
                <w:highlight w:val="none"/>
                <w:u w:val="none"/>
                <w:lang w:val="en-US" w:eastAsia="zh-CN" w:bidi="ar"/>
              </w:rPr>
              <w:t>t</w:t>
            </w:r>
          </w:p>
        </w:tc>
        <w:tc>
          <w:tcPr>
            <w:tcW w:w="1140" w:type="dxa"/>
            <w:tcBorders>
              <w:top w:val="single" w:color="auto" w:sz="4" w:space="0"/>
              <w:left w:val="single" w:color="000000" w:sz="4" w:space="0"/>
              <w:bottom w:val="single" w:color="auto"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color w:val="000000"/>
                <w:kern w:val="0"/>
                <w:sz w:val="24"/>
                <w:szCs w:val="24"/>
                <w:highlight w:val="none"/>
                <w:lang w:val="en-US" w:bidi="ar"/>
              </w:rPr>
            </w:pPr>
            <w:r>
              <w:rPr>
                <w:rFonts w:hint="eastAsia" w:ascii="宋体" w:hAnsi="宋体" w:eastAsia="宋体" w:cs="宋体"/>
                <w:i w:val="0"/>
                <w:color w:val="000000"/>
                <w:kern w:val="0"/>
                <w:sz w:val="24"/>
                <w:szCs w:val="24"/>
                <w:highlight w:val="none"/>
                <w:u w:val="none"/>
                <w:lang w:val="en-US" w:eastAsia="zh-CN" w:bidi="ar"/>
              </w:rPr>
              <w:t>83</w:t>
            </w:r>
          </w:p>
        </w:tc>
        <w:tc>
          <w:tcPr>
            <w:tcW w:w="1136" w:type="dxa"/>
            <w:tcBorders>
              <w:top w:val="single" w:color="auto" w:sz="4" w:space="0"/>
              <w:left w:val="single" w:color="000000" w:sz="4" w:space="0"/>
              <w:bottom w:val="single" w:color="auto" w:sz="4" w:space="0"/>
              <w:right w:val="single" w:color="000000" w:sz="4" w:space="0"/>
            </w:tcBorders>
            <w:shd w:val="clear" w:color="auto" w:fill="FFFFFF"/>
            <w:noWrap w:val="0"/>
            <w:tcMar>
              <w:top w:w="15" w:type="dxa"/>
              <w:left w:w="15" w:type="dxa"/>
              <w:right w:w="15" w:type="dxa"/>
            </w:tcMar>
            <w:vAlign w:val="center"/>
          </w:tcPr>
          <w:p>
            <w:pPr>
              <w:pStyle w:val="28"/>
              <w:snapToGrid w:val="0"/>
              <w:spacing w:before="120" w:beforeLines="0" w:after="120" w:afterLines="0" w:line="240" w:lineRule="auto"/>
              <w:jc w:val="center"/>
              <w:outlineLvl w:val="0"/>
              <w:rPr>
                <w:rFonts w:hint="eastAsia" w:hAnsi="宋体"/>
                <w:color w:val="0D0D0D"/>
                <w:sz w:val="24"/>
                <w:szCs w:val="24"/>
                <w:highlight w:val="none"/>
              </w:rPr>
            </w:pPr>
          </w:p>
        </w:tc>
        <w:tc>
          <w:tcPr>
            <w:tcW w:w="1465" w:type="dxa"/>
            <w:tcBorders>
              <w:top w:val="single" w:color="auto" w:sz="4" w:space="0"/>
              <w:left w:val="single" w:color="000000" w:sz="4" w:space="0"/>
              <w:bottom w:val="single" w:color="auto" w:sz="4" w:space="0"/>
              <w:right w:val="single" w:color="000000" w:sz="4" w:space="0"/>
            </w:tcBorders>
            <w:shd w:val="clear" w:color="auto" w:fill="FFFFFF"/>
            <w:noWrap w:val="0"/>
            <w:tcMar>
              <w:top w:w="15" w:type="dxa"/>
              <w:left w:w="15" w:type="dxa"/>
              <w:right w:w="15" w:type="dxa"/>
            </w:tcMar>
            <w:vAlign w:val="center"/>
          </w:tcPr>
          <w:p>
            <w:pPr>
              <w:pStyle w:val="28"/>
              <w:snapToGrid w:val="0"/>
              <w:spacing w:before="120" w:beforeLines="0" w:after="120" w:afterLines="0" w:line="240" w:lineRule="auto"/>
              <w:jc w:val="center"/>
              <w:outlineLvl w:val="0"/>
              <w:rPr>
                <w:rFonts w:hint="eastAsia" w:hAnsi="宋体"/>
                <w:color w:val="0D0D0D"/>
                <w:sz w:val="24"/>
                <w:szCs w:val="24"/>
                <w:highlight w:val="none"/>
              </w:rPr>
            </w:pPr>
          </w:p>
        </w:tc>
      </w:tr>
      <w:tr>
        <w:tblPrEx>
          <w:tblCellMar>
            <w:top w:w="0" w:type="dxa"/>
            <w:left w:w="0" w:type="dxa"/>
            <w:bottom w:w="0" w:type="dxa"/>
            <w:right w:w="0" w:type="dxa"/>
          </w:tblCellMar>
        </w:tblPrEx>
        <w:trPr>
          <w:trHeight w:val="559" w:hRule="atLeast"/>
        </w:trPr>
        <w:tc>
          <w:tcPr>
            <w:tcW w:w="9381" w:type="dxa"/>
            <w:gridSpan w:val="7"/>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Style w:val="28"/>
              <w:snapToGrid w:val="0"/>
              <w:spacing w:before="120" w:beforeLines="0" w:after="120" w:afterLines="0" w:line="240" w:lineRule="auto"/>
              <w:outlineLvl w:val="0"/>
              <w:rPr>
                <w:rFonts w:hint="eastAsia" w:hAnsi="宋体"/>
                <w:color w:val="0D0D0D"/>
                <w:sz w:val="24"/>
                <w:szCs w:val="24"/>
                <w:highlight w:val="none"/>
              </w:rPr>
            </w:pPr>
            <w:r>
              <w:rPr>
                <w:rFonts w:hint="eastAsia" w:hAnsi="宋体"/>
                <w:color w:val="0D0D0D"/>
                <w:sz w:val="24"/>
                <w:szCs w:val="24"/>
                <w:highlight w:val="none"/>
              </w:rPr>
              <w:t>合计=</w:t>
            </w:r>
            <w:r>
              <w:rPr>
                <w:rFonts w:hint="eastAsia" w:hAnsi="宋体"/>
                <w:color w:val="0D0D0D"/>
                <w:sz w:val="24"/>
                <w:szCs w:val="24"/>
                <w:highlight w:val="none"/>
                <w:u w:val="single"/>
              </w:rPr>
              <w:t xml:space="preserve">         </w:t>
            </w:r>
            <w:r>
              <w:rPr>
                <w:rFonts w:hint="eastAsia" w:hAnsi="宋体"/>
                <w:color w:val="0D0D0D"/>
                <w:sz w:val="24"/>
                <w:szCs w:val="24"/>
                <w:highlight w:val="none"/>
              </w:rPr>
              <w:t>元（转结至附件2开标一览表）</w:t>
            </w:r>
          </w:p>
        </w:tc>
      </w:tr>
    </w:tbl>
    <w:p>
      <w:pPr>
        <w:pStyle w:val="39"/>
        <w:numPr>
          <w:ilvl w:val="0"/>
          <w:numId w:val="0"/>
        </w:numPr>
        <w:spacing w:line="360" w:lineRule="auto"/>
        <w:ind w:firstLine="482" w:firstLineChars="200"/>
        <w:jc w:val="left"/>
        <w:rPr>
          <w:rFonts w:hint="eastAsia" w:ascii="宋体" w:hAnsi="宋体" w:cs="宋体"/>
          <w:bCs/>
          <w:color w:val="0C0C0C"/>
          <w:sz w:val="24"/>
          <w:szCs w:val="24"/>
          <w:highlight w:val="none"/>
          <w:lang w:eastAsia="zh-CN"/>
        </w:rPr>
      </w:pPr>
      <w:r>
        <w:rPr>
          <w:rFonts w:hint="eastAsia" w:ascii="宋体" w:hAnsi="宋体" w:eastAsia="宋体" w:cs="Times New Roman"/>
          <w:b/>
          <w:bCs/>
          <w:color w:val="0C0C0C"/>
          <w:sz w:val="24"/>
          <w:szCs w:val="24"/>
          <w:highlight w:val="none"/>
        </w:rPr>
        <w:t>注：</w:t>
      </w:r>
      <w:r>
        <w:rPr>
          <w:rFonts w:hint="eastAsia" w:ascii="宋体" w:hAnsi="宋体" w:cs="宋体"/>
          <w:b/>
          <w:color w:val="0C0C0C"/>
          <w:sz w:val="24"/>
          <w:szCs w:val="24"/>
          <w:highlight w:val="none"/>
          <w:lang w:val="en-US" w:eastAsia="zh-CN"/>
        </w:rPr>
        <w:t>1、</w:t>
      </w:r>
      <w:r>
        <w:rPr>
          <w:rFonts w:hint="eastAsia" w:ascii="宋体" w:hAnsi="宋体" w:cs="宋体"/>
          <w:b/>
          <w:color w:val="0C0C0C"/>
          <w:sz w:val="24"/>
          <w:szCs w:val="24"/>
          <w:highlight w:val="none"/>
        </w:rPr>
        <w:t>投标人须按上表格式统一填报的投标报价（</w:t>
      </w:r>
      <w:r>
        <w:rPr>
          <w:rFonts w:hint="eastAsia" w:ascii="宋体" w:hAnsi="宋体" w:cs="宋体"/>
          <w:b/>
          <w:color w:val="0C0C0C"/>
          <w:sz w:val="24"/>
          <w:szCs w:val="24"/>
          <w:highlight w:val="none"/>
          <w:lang w:val="en-US" w:eastAsia="zh-CN"/>
        </w:rPr>
        <w:t>建议</w:t>
      </w:r>
      <w:r>
        <w:rPr>
          <w:rFonts w:hint="eastAsia" w:ascii="宋体" w:hAnsi="宋体" w:cs="宋体"/>
          <w:b/>
          <w:color w:val="0C0C0C"/>
          <w:sz w:val="24"/>
          <w:szCs w:val="24"/>
          <w:highlight w:val="none"/>
        </w:rPr>
        <w:t>投标总报价保留整数）</w:t>
      </w:r>
      <w:r>
        <w:rPr>
          <w:rFonts w:hint="eastAsia" w:ascii="宋体" w:hAnsi="宋体" w:cs="宋体"/>
          <w:b/>
          <w:color w:val="0C0C0C"/>
          <w:sz w:val="24"/>
          <w:szCs w:val="24"/>
          <w:highlight w:val="none"/>
          <w:lang w:eastAsia="zh-CN"/>
        </w:rPr>
        <w:t>。</w:t>
      </w:r>
      <w:r>
        <w:rPr>
          <w:rFonts w:hint="eastAsia" w:ascii="宋体" w:hAnsi="宋体" w:cs="宋体"/>
          <w:b/>
          <w:bCs/>
          <w:color w:val="0C0C0C"/>
          <w:sz w:val="24"/>
          <w:szCs w:val="24"/>
          <w:highlight w:val="none"/>
        </w:rPr>
        <w:t>投标人应充分考虑项目实际材料运输工作量的不确定因素，投标报价时结合实际情况及自身的综合实力填报投标报价。货物的供货、税金、包装、运输（货物运到</w:t>
      </w:r>
      <w:r>
        <w:rPr>
          <w:rFonts w:hint="eastAsia" w:ascii="宋体" w:hAnsi="宋体" w:cs="宋体"/>
          <w:b/>
          <w:bCs/>
          <w:color w:val="0C0C0C"/>
          <w:sz w:val="24"/>
          <w:szCs w:val="24"/>
          <w:highlight w:val="none"/>
          <w:lang w:val="en-US" w:eastAsia="zh-CN"/>
        </w:rPr>
        <w:t>招标人</w:t>
      </w:r>
      <w:r>
        <w:rPr>
          <w:rFonts w:hint="eastAsia" w:ascii="宋体" w:hAnsi="宋体" w:cs="宋体"/>
          <w:b/>
          <w:bCs/>
          <w:color w:val="0C0C0C"/>
          <w:sz w:val="24"/>
          <w:szCs w:val="24"/>
          <w:highlight w:val="none"/>
        </w:rPr>
        <w:t>指定的施工现场，如因项目需要发生分批次采购的，相关运费由投标人承担）、保险、装车、损耗、验收、技术服务、售后服务、材料、风险、利润等费用，</w:t>
      </w:r>
      <w:r>
        <w:rPr>
          <w:rFonts w:hint="eastAsia" w:ascii="宋体" w:hAnsi="宋体" w:cs="宋体"/>
          <w:bCs/>
          <w:color w:val="0C0C0C"/>
          <w:sz w:val="24"/>
          <w:szCs w:val="24"/>
          <w:highlight w:val="none"/>
        </w:rPr>
        <w:t>如有漏项，视同已包含在其总项目中。</w:t>
      </w:r>
      <w:r>
        <w:rPr>
          <w:rFonts w:hint="eastAsia" w:ascii="宋体" w:hAnsi="宋体" w:cs="宋体"/>
          <w:bCs/>
          <w:color w:val="0C0C0C"/>
          <w:sz w:val="24"/>
          <w:szCs w:val="24"/>
          <w:highlight w:val="none"/>
          <w:lang w:val="en-US" w:eastAsia="zh-CN"/>
        </w:rPr>
        <w:t>招标人</w:t>
      </w:r>
      <w:r>
        <w:rPr>
          <w:rFonts w:hint="eastAsia" w:ascii="宋体" w:hAnsi="宋体" w:cs="宋体"/>
          <w:bCs/>
          <w:color w:val="0C0C0C"/>
          <w:sz w:val="24"/>
          <w:szCs w:val="24"/>
          <w:highlight w:val="none"/>
          <w:lang w:eastAsia="zh-CN"/>
        </w:rPr>
        <w:t>可根据实际情况调整采购数量，各投标人应根据本项目实际情况和自身的综合实力，竞报投标报价。</w:t>
      </w:r>
    </w:p>
    <w:p>
      <w:pPr>
        <w:pStyle w:val="39"/>
        <w:numPr>
          <w:ilvl w:val="0"/>
          <w:numId w:val="0"/>
        </w:numPr>
        <w:spacing w:line="360" w:lineRule="auto"/>
        <w:ind w:firstLine="480" w:firstLineChars="200"/>
        <w:jc w:val="left"/>
        <w:rPr>
          <w:rFonts w:hint="eastAsia" w:ascii="宋体" w:hAnsi="宋体" w:cs="宋体"/>
          <w:color w:val="000000"/>
          <w:sz w:val="24"/>
          <w:szCs w:val="24"/>
          <w:highlight w:val="none"/>
        </w:rPr>
      </w:pPr>
      <w:r>
        <w:rPr>
          <w:rFonts w:hint="eastAsia" w:ascii="宋体" w:hAnsi="宋体" w:cs="宋体"/>
          <w:color w:val="000000"/>
          <w:sz w:val="24"/>
          <w:szCs w:val="24"/>
          <w:highlight w:val="none"/>
          <w:lang w:val="en-US" w:eastAsia="zh-CN"/>
        </w:rPr>
        <w:t>2、</w:t>
      </w:r>
      <w:r>
        <w:rPr>
          <w:rFonts w:hint="eastAsia" w:ascii="宋体" w:hAnsi="宋体" w:cs="宋体"/>
          <w:color w:val="000000"/>
          <w:sz w:val="24"/>
          <w:szCs w:val="24"/>
          <w:highlight w:val="none"/>
        </w:rPr>
        <w:t>交货工期：自收到中标通知书后</w:t>
      </w:r>
      <w:r>
        <w:rPr>
          <w:rFonts w:hint="eastAsia" w:ascii="宋体" w:hAnsi="宋体" w:cs="宋体"/>
          <w:color w:val="000000"/>
          <w:sz w:val="24"/>
          <w:szCs w:val="24"/>
          <w:highlight w:val="none"/>
          <w:lang w:val="en-US" w:eastAsia="zh-CN"/>
        </w:rPr>
        <w:t>1</w:t>
      </w:r>
      <w:r>
        <w:rPr>
          <w:rFonts w:hint="eastAsia" w:ascii="宋体" w:hAnsi="宋体" w:cs="宋体"/>
          <w:color w:val="000000"/>
          <w:sz w:val="24"/>
          <w:szCs w:val="24"/>
          <w:highlight w:val="none"/>
        </w:rPr>
        <w:t>5个工作日内完成供货；如因项目需要分批次供货的，则每批次货物自接到买方通知后3个工作日内完成供货。</w:t>
      </w:r>
    </w:p>
    <w:p>
      <w:pPr>
        <w:pStyle w:val="39"/>
        <w:numPr>
          <w:ilvl w:val="0"/>
          <w:numId w:val="0"/>
        </w:numPr>
        <w:spacing w:line="360" w:lineRule="auto"/>
        <w:ind w:firstLine="480" w:firstLineChars="200"/>
        <w:jc w:val="left"/>
        <w:rPr>
          <w:rFonts w:hint="eastAsia" w:ascii="宋体" w:hAnsi="宋体" w:cs="宋体"/>
          <w:color w:val="000000"/>
          <w:sz w:val="24"/>
          <w:szCs w:val="24"/>
          <w:highlight w:val="none"/>
        </w:rPr>
      </w:pPr>
      <w:r>
        <w:rPr>
          <w:rFonts w:hint="eastAsia" w:ascii="宋体" w:hAnsi="宋体" w:cs="宋体"/>
          <w:color w:val="000000"/>
          <w:sz w:val="24"/>
          <w:szCs w:val="24"/>
          <w:highlight w:val="none"/>
        </w:rPr>
        <w:t>3、同意第二章《招标需求》所有条款内容，本项目工程量暂估，结算时按实际结算。</w:t>
      </w:r>
    </w:p>
    <w:p>
      <w:pPr>
        <w:pStyle w:val="39"/>
        <w:numPr>
          <w:ilvl w:val="0"/>
          <w:numId w:val="0"/>
        </w:numPr>
        <w:spacing w:line="360" w:lineRule="auto"/>
        <w:ind w:firstLine="480" w:firstLineChars="200"/>
        <w:jc w:val="left"/>
        <w:rPr>
          <w:rFonts w:hint="eastAsia" w:ascii="宋体" w:hAnsi="宋体" w:cs="宋体"/>
          <w:color w:val="000000"/>
          <w:sz w:val="24"/>
          <w:szCs w:val="24"/>
          <w:highlight w:val="none"/>
        </w:rPr>
      </w:pPr>
      <w:r>
        <w:rPr>
          <w:rFonts w:hint="eastAsia" w:ascii="宋体" w:hAnsi="宋体" w:cs="宋体"/>
          <w:color w:val="000000"/>
          <w:sz w:val="24"/>
          <w:szCs w:val="24"/>
          <w:highlight w:val="none"/>
        </w:rPr>
        <w:t>4、如果我方中标，我方将按照招标文件规定提交履约担保，共同地和分别地承担责任。</w:t>
      </w:r>
    </w:p>
    <w:p>
      <w:pPr>
        <w:pStyle w:val="39"/>
        <w:numPr>
          <w:ilvl w:val="0"/>
          <w:numId w:val="0"/>
        </w:numPr>
        <w:spacing w:line="360" w:lineRule="auto"/>
        <w:ind w:firstLine="480" w:firstLineChars="200"/>
        <w:jc w:val="left"/>
        <w:rPr>
          <w:rFonts w:hint="eastAsia" w:ascii="宋体" w:hAnsi="宋体" w:cs="宋体"/>
          <w:color w:val="000000"/>
          <w:sz w:val="24"/>
          <w:szCs w:val="24"/>
          <w:highlight w:val="none"/>
        </w:rPr>
      </w:pPr>
      <w:r>
        <w:rPr>
          <w:rFonts w:hint="eastAsia" w:ascii="宋体" w:hAnsi="宋体" w:cs="宋体"/>
          <w:color w:val="000000"/>
          <w:sz w:val="24"/>
          <w:szCs w:val="24"/>
          <w:highlight w:val="none"/>
        </w:rPr>
        <w:t>5、除非另外达成协议并生效，你方的中标通知书和本投标文件将构成约束我们双方的合同。</w:t>
      </w:r>
    </w:p>
    <w:p>
      <w:pPr>
        <w:pStyle w:val="39"/>
        <w:numPr>
          <w:ilvl w:val="0"/>
          <w:numId w:val="0"/>
        </w:numPr>
        <w:spacing w:line="360" w:lineRule="auto"/>
        <w:ind w:firstLine="480" w:firstLineChars="200"/>
        <w:jc w:val="left"/>
        <w:rPr>
          <w:rFonts w:hint="eastAsia" w:ascii="宋体" w:hAnsi="宋体"/>
          <w:color w:val="auto"/>
          <w:sz w:val="24"/>
          <w:szCs w:val="24"/>
          <w:highlight w:val="none"/>
        </w:rPr>
      </w:pPr>
      <w:r>
        <w:rPr>
          <w:rFonts w:hint="eastAsia" w:ascii="宋体" w:hAnsi="宋体" w:cs="宋体"/>
          <w:color w:val="000000"/>
          <w:sz w:val="24"/>
          <w:szCs w:val="24"/>
          <w:highlight w:val="none"/>
        </w:rPr>
        <w:t>6、我方的投标担保已按招标文件的要求递交。</w:t>
      </w:r>
    </w:p>
    <w:p>
      <w:pPr>
        <w:pStyle w:val="39"/>
        <w:numPr>
          <w:ilvl w:val="0"/>
          <w:numId w:val="0"/>
        </w:numPr>
        <w:spacing w:line="360" w:lineRule="auto"/>
        <w:ind w:firstLine="480" w:firstLineChars="200"/>
        <w:jc w:val="left"/>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7、合同期内，如石粉市场价格有波动调整合同结算综合单价，采用以下造价信息对合同结算综合单价进行调整：</w:t>
      </w:r>
    </w:p>
    <w:p>
      <w:pPr>
        <w:pStyle w:val="39"/>
        <w:numPr>
          <w:ilvl w:val="0"/>
          <w:numId w:val="0"/>
        </w:numPr>
        <w:spacing w:line="360" w:lineRule="auto"/>
        <w:ind w:firstLine="480" w:firstLineChars="200"/>
        <w:jc w:val="left"/>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（1）关于基准价格的约定：A1=2024年11月《台州造价》（正刊）（工程所在地）对应材料信息价（含税）</w:t>
      </w:r>
    </w:p>
    <w:p>
      <w:pPr>
        <w:pStyle w:val="39"/>
        <w:numPr>
          <w:ilvl w:val="0"/>
          <w:numId w:val="0"/>
        </w:numPr>
        <w:spacing w:line="360" w:lineRule="auto"/>
        <w:ind w:firstLine="480" w:firstLineChars="200"/>
        <w:jc w:val="left"/>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（2）市场价格约定：A2=每批次材料供应时，《台州造价》（正刊）（工程所在地）对应材料信息价（含税）；（具体时间以每批次材料供应清单时间为准）</w:t>
      </w:r>
    </w:p>
    <w:p>
      <w:pPr>
        <w:pStyle w:val="39"/>
        <w:numPr>
          <w:ilvl w:val="0"/>
          <w:numId w:val="0"/>
        </w:numPr>
        <w:spacing w:line="360" w:lineRule="auto"/>
        <w:ind w:firstLine="480" w:firstLineChars="200"/>
        <w:jc w:val="left"/>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（3）调整方法</w:t>
      </w:r>
    </w:p>
    <w:p>
      <w:pPr>
        <w:pStyle w:val="39"/>
        <w:numPr>
          <w:ilvl w:val="0"/>
          <w:numId w:val="0"/>
        </w:numPr>
        <w:spacing w:line="360" w:lineRule="auto"/>
        <w:ind w:firstLine="480" w:firstLineChars="200"/>
        <w:jc w:val="left"/>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a、当A2＞A1时，结算综合单价按超出的金额调增，即该材料结算综合单价=中标综合单价+（A2-A1)；</w:t>
      </w:r>
    </w:p>
    <w:p>
      <w:pPr>
        <w:pStyle w:val="39"/>
        <w:numPr>
          <w:ilvl w:val="0"/>
          <w:numId w:val="0"/>
        </w:numPr>
        <w:spacing w:line="360" w:lineRule="auto"/>
        <w:ind w:firstLine="480" w:firstLineChars="200"/>
        <w:jc w:val="left"/>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b、当A2＜A1时，结算综合单价按低于的金额调减，即该材料结算综合单价=中标综合单价-（A1-A2)；</w:t>
      </w:r>
    </w:p>
    <w:p>
      <w:pPr>
        <w:pStyle w:val="39"/>
        <w:numPr>
          <w:ilvl w:val="0"/>
          <w:numId w:val="0"/>
        </w:numPr>
        <w:spacing w:line="360" w:lineRule="auto"/>
        <w:ind w:firstLine="480" w:firstLineChars="200"/>
        <w:jc w:val="left"/>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c、当A2=A1时，结算单价不作调整；</w:t>
      </w:r>
    </w:p>
    <w:p>
      <w:pPr>
        <w:pStyle w:val="39"/>
        <w:numPr>
          <w:ilvl w:val="0"/>
          <w:numId w:val="0"/>
        </w:numPr>
        <w:spacing w:line="360" w:lineRule="auto"/>
        <w:ind w:firstLine="480" w:firstLineChars="200"/>
        <w:jc w:val="left"/>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（4）如因中标人原因引起的供货延期，延期期间的材料价格上涨时（与合同工期价格比较），价格不予调整；下跌时，按下跌后的价格调整。</w:t>
      </w:r>
    </w:p>
    <w:p>
      <w:pPr>
        <w:pStyle w:val="39"/>
        <w:numPr>
          <w:ilvl w:val="0"/>
          <w:numId w:val="0"/>
        </w:numPr>
        <w:spacing w:line="360" w:lineRule="auto"/>
        <w:ind w:firstLine="480" w:firstLineChars="20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8、招标人可随机对石粉质量进行抽检，经第三方检测后，如检验不合格，招标人有权扣除全部履约保证金并且</w:t>
      </w:r>
      <w:r>
        <w:rPr>
          <w:rFonts w:ascii="宋体" w:hAnsi="宋体"/>
          <w:color w:val="0D0D0D"/>
          <w:sz w:val="24"/>
          <w:highlight w:val="none"/>
        </w:rPr>
        <w:t>投标人</w:t>
      </w:r>
      <w:r>
        <w:rPr>
          <w:rFonts w:hint="eastAsia" w:ascii="宋体" w:hAnsi="宋体" w:eastAsia="宋体" w:cs="宋体"/>
          <w:color w:val="000000"/>
          <w:sz w:val="24"/>
          <w:szCs w:val="24"/>
          <w:highlight w:val="none"/>
          <w:lang w:val="en-US" w:eastAsia="zh-CN"/>
        </w:rPr>
        <w:t>须24小时内配合招标人更换石粉，直至招标人满意。</w:t>
      </w:r>
    </w:p>
    <w:p>
      <w:pPr>
        <w:spacing w:line="360" w:lineRule="auto"/>
        <w:rPr>
          <w:rFonts w:hint="eastAsia" w:ascii="宋体" w:hAnsi="宋体"/>
          <w:color w:val="auto"/>
          <w:sz w:val="24"/>
          <w:szCs w:val="24"/>
          <w:highlight w:val="none"/>
        </w:rPr>
      </w:pPr>
      <w:r>
        <w:rPr>
          <w:rFonts w:hint="eastAsia" w:ascii="宋体" w:hAnsi="宋体"/>
          <w:color w:val="auto"/>
          <w:sz w:val="24"/>
          <w:szCs w:val="24"/>
          <w:highlight w:val="none"/>
        </w:rPr>
        <w:t>法定代表人</w:t>
      </w:r>
      <w:r>
        <w:rPr>
          <w:rFonts w:hint="eastAsia" w:ascii="宋体" w:hAnsi="宋体"/>
          <w:color w:val="auto"/>
          <w:sz w:val="24"/>
          <w:szCs w:val="24"/>
          <w:highlight w:val="none"/>
          <w:lang w:val="en-US" w:eastAsia="zh-CN"/>
        </w:rPr>
        <w:t>/</w:t>
      </w:r>
      <w:r>
        <w:rPr>
          <w:rFonts w:hint="eastAsia" w:ascii="宋体" w:hAnsi="宋体"/>
          <w:color w:val="0C0C0C"/>
          <w:sz w:val="24"/>
          <w:highlight w:val="none"/>
          <w:lang w:val="en-US" w:eastAsia="zh-CN"/>
        </w:rPr>
        <w:t>经营者</w:t>
      </w:r>
      <w:r>
        <w:rPr>
          <w:rFonts w:hint="eastAsia" w:ascii="宋体" w:hAnsi="宋体"/>
          <w:color w:val="auto"/>
          <w:sz w:val="24"/>
          <w:szCs w:val="24"/>
          <w:highlight w:val="none"/>
        </w:rPr>
        <w:t xml:space="preserve">（签字或盖章）：                    </w:t>
      </w:r>
    </w:p>
    <w:p>
      <w:pPr>
        <w:spacing w:line="360" w:lineRule="auto"/>
        <w:rPr>
          <w:rFonts w:hint="eastAsia" w:ascii="宋体" w:hAnsi="宋体"/>
          <w:color w:val="auto"/>
          <w:sz w:val="24"/>
          <w:szCs w:val="24"/>
          <w:highlight w:val="none"/>
        </w:rPr>
      </w:pPr>
      <w:r>
        <w:rPr>
          <w:rFonts w:hint="eastAsia" w:ascii="宋体" w:hAnsi="宋体"/>
          <w:color w:val="auto"/>
          <w:sz w:val="24"/>
          <w:szCs w:val="24"/>
          <w:highlight w:val="none"/>
        </w:rPr>
        <w:t xml:space="preserve">投标人（盖章）：                          </w:t>
      </w:r>
    </w:p>
    <w:p>
      <w:pPr>
        <w:spacing w:line="360" w:lineRule="auto"/>
        <w:rPr>
          <w:rFonts w:hint="eastAsia" w:ascii="宋体" w:hAnsi="宋体"/>
          <w:color w:val="auto"/>
          <w:sz w:val="21"/>
          <w:szCs w:val="21"/>
          <w:highlight w:val="none"/>
        </w:rPr>
      </w:pPr>
      <w:r>
        <w:rPr>
          <w:rFonts w:hint="eastAsia" w:ascii="宋体" w:hAnsi="宋体"/>
          <w:color w:val="auto"/>
          <w:sz w:val="24"/>
          <w:szCs w:val="24"/>
          <w:highlight w:val="none"/>
        </w:rPr>
        <w:t>日期：     年   月   日</w:t>
      </w:r>
    </w:p>
    <w:p>
      <w:pPr>
        <w:spacing w:line="320" w:lineRule="exact"/>
        <w:jc w:val="left"/>
        <w:rPr>
          <w:rFonts w:hint="eastAsia"/>
          <w:b/>
          <w:color w:val="0C0C0C"/>
          <w:highlight w:val="none"/>
          <w:lang w:val="en-US" w:eastAsia="zh-CN"/>
        </w:rPr>
      </w:pPr>
    </w:p>
    <w:p>
      <w:pPr>
        <w:spacing w:line="320" w:lineRule="exact"/>
        <w:jc w:val="left"/>
        <w:rPr>
          <w:rFonts w:hint="eastAsia"/>
          <w:b/>
          <w:color w:val="0C0C0C"/>
          <w:highlight w:val="none"/>
          <w:lang w:val="en-US" w:eastAsia="zh-CN"/>
        </w:rPr>
      </w:pPr>
    </w:p>
    <w:p>
      <w:pPr>
        <w:spacing w:line="320" w:lineRule="exact"/>
        <w:jc w:val="left"/>
        <w:rPr>
          <w:rFonts w:hint="eastAsia"/>
          <w:b/>
          <w:color w:val="0C0C0C"/>
          <w:highlight w:val="none"/>
          <w:lang w:val="en-US" w:eastAsia="zh-CN"/>
        </w:rPr>
        <w:sectPr>
          <w:pgSz w:w="11906" w:h="16838"/>
          <w:pgMar w:top="1440" w:right="1188" w:bottom="1440" w:left="1797" w:header="851" w:footer="992" w:gutter="0"/>
          <w:pgNumType w:fmt="numberInDash"/>
          <w:cols w:space="720" w:num="1"/>
          <w:docGrid w:type="lines" w:linePitch="312" w:charSpace="0"/>
        </w:sectPr>
      </w:pPr>
    </w:p>
    <w:p>
      <w:pPr>
        <w:snapToGrid w:val="0"/>
        <w:spacing w:before="50" w:after="156" w:afterLines="50"/>
        <w:jc w:val="left"/>
        <w:rPr>
          <w:rFonts w:hint="eastAsia" w:ascii="宋体" w:hAnsi="宋体" w:eastAsia="宋体" w:cs="Times New Roman"/>
          <w:color w:val="0D0D0D"/>
          <w:sz w:val="24"/>
          <w:highlight w:val="none"/>
          <w:lang w:val="en-US" w:eastAsia="zh-CN"/>
        </w:rPr>
      </w:pPr>
      <w:r>
        <w:rPr>
          <w:rFonts w:hint="eastAsia" w:ascii="宋体" w:hAnsi="宋体" w:eastAsia="宋体" w:cs="Times New Roman"/>
          <w:color w:val="0D0D0D"/>
          <w:sz w:val="24"/>
          <w:highlight w:val="none"/>
          <w:lang w:val="en-US" w:eastAsia="zh-CN"/>
        </w:rPr>
        <w:t>4、诚信投标承诺书：</w:t>
      </w:r>
    </w:p>
    <w:p>
      <w:pPr>
        <w:jc w:val="center"/>
        <w:outlineLvl w:val="0"/>
        <w:rPr>
          <w:rFonts w:hint="eastAsia" w:ascii="宋体" w:hAnsi="宋体" w:eastAsia="宋体" w:cs="宋体"/>
          <w:b/>
          <w:color w:val="0C0C0C"/>
          <w:highlight w:val="none"/>
          <w:lang w:eastAsia="zh-CN"/>
        </w:rPr>
      </w:pPr>
      <w:r>
        <w:rPr>
          <w:rFonts w:hint="eastAsia" w:ascii="宋体" w:hAnsi="宋体"/>
          <w:b/>
          <w:bCs/>
          <w:color w:val="0C0C0C"/>
          <w:sz w:val="28"/>
          <w:szCs w:val="22"/>
          <w:highlight w:val="none"/>
          <w:lang w:eastAsia="zh-CN"/>
        </w:rPr>
        <w:t xml:space="preserve"> </w:t>
      </w:r>
      <w:r>
        <w:rPr>
          <w:rFonts w:hint="eastAsia" w:ascii="宋体" w:hAnsi="宋体" w:cs="宋体"/>
          <w:b/>
          <w:color w:val="0C0C0C"/>
          <w:highlight w:val="none"/>
          <w:lang w:eastAsia="zh-CN"/>
        </w:rPr>
        <w:t>台州湾新区规划支路二道路工程(星空教育地块内)（石粉采购）</w:t>
      </w:r>
    </w:p>
    <w:p>
      <w:pPr>
        <w:tabs>
          <w:tab w:val="left" w:pos="570"/>
        </w:tabs>
        <w:spacing w:line="360" w:lineRule="auto"/>
        <w:ind w:firstLine="562" w:firstLineChars="200"/>
        <w:jc w:val="center"/>
        <w:rPr>
          <w:rFonts w:hint="eastAsia" w:ascii="宋体" w:hAnsi="宋体" w:cs="宋体"/>
          <w:color w:val="0C0C0C"/>
          <w:highlight w:val="none"/>
        </w:rPr>
      </w:pPr>
      <w:r>
        <w:rPr>
          <w:rFonts w:hint="eastAsia" w:ascii="宋体" w:hAnsi="宋体" w:cs="宋体"/>
          <w:b/>
          <w:color w:val="0C0C0C"/>
          <w:highlight w:val="none"/>
        </w:rPr>
        <w:t>诚信投标承诺书</w:t>
      </w:r>
    </w:p>
    <w:p>
      <w:pPr>
        <w:tabs>
          <w:tab w:val="left" w:pos="570"/>
        </w:tabs>
        <w:spacing w:line="360" w:lineRule="auto"/>
        <w:ind w:firstLine="480" w:firstLineChars="200"/>
        <w:jc w:val="left"/>
        <w:rPr>
          <w:rFonts w:hint="eastAsia" w:ascii="宋体" w:hAnsi="宋体" w:cs="宋体"/>
          <w:color w:val="0C0C0C"/>
          <w:sz w:val="24"/>
          <w:szCs w:val="22"/>
          <w:highlight w:val="none"/>
        </w:rPr>
      </w:pPr>
      <w:r>
        <w:rPr>
          <w:rFonts w:hint="eastAsia" w:ascii="宋体" w:hAnsi="宋体" w:cs="宋体"/>
          <w:color w:val="0C0C0C"/>
          <w:sz w:val="24"/>
          <w:szCs w:val="22"/>
          <w:highlight w:val="none"/>
        </w:rPr>
        <w:t>针对本次招标项目，我公司郑重承诺：本单位自愿参加</w:t>
      </w:r>
      <w:r>
        <w:rPr>
          <w:rFonts w:hint="eastAsia" w:ascii="宋体" w:hAnsi="宋体" w:cs="宋体"/>
          <w:color w:val="0C0C0C"/>
          <w:sz w:val="24"/>
          <w:szCs w:val="22"/>
          <w:highlight w:val="none"/>
          <w:u w:val="single"/>
        </w:rPr>
        <w:t xml:space="preserve"> </w:t>
      </w:r>
      <w:r>
        <w:rPr>
          <w:rFonts w:hint="eastAsia" w:ascii="宋体" w:hAnsi="宋体" w:cs="宋体"/>
          <w:color w:val="0C0C0C"/>
          <w:sz w:val="24"/>
          <w:szCs w:val="22"/>
          <w:highlight w:val="none"/>
          <w:u w:val="single"/>
          <w:lang w:eastAsia="zh-CN"/>
        </w:rPr>
        <w:t>台州湾新区规划支路二道路工程(星空教育地块内)（石粉采购）</w:t>
      </w:r>
      <w:r>
        <w:rPr>
          <w:rFonts w:hint="eastAsia" w:ascii="宋体" w:hAnsi="宋体" w:cs="宋体"/>
          <w:color w:val="0C0C0C"/>
          <w:sz w:val="24"/>
          <w:szCs w:val="22"/>
          <w:highlight w:val="none"/>
        </w:rPr>
        <w:t xml:space="preserve"> 的</w:t>
      </w:r>
      <w:r>
        <w:rPr>
          <w:rFonts w:hint="eastAsia" w:ascii="宋体" w:hAnsi="宋体" w:cs="宋体"/>
          <w:color w:val="0C0C0C"/>
          <w:sz w:val="24"/>
          <w:szCs w:val="22"/>
          <w:highlight w:val="none"/>
          <w:lang w:val="en-US" w:eastAsia="zh-CN"/>
        </w:rPr>
        <w:t>投标</w:t>
      </w:r>
      <w:r>
        <w:rPr>
          <w:rFonts w:hint="eastAsia" w:ascii="宋体" w:hAnsi="宋体" w:cs="宋体"/>
          <w:color w:val="0C0C0C"/>
          <w:sz w:val="24"/>
          <w:szCs w:val="22"/>
          <w:highlight w:val="none"/>
        </w:rPr>
        <w:t>。</w:t>
      </w:r>
    </w:p>
    <w:p>
      <w:pPr>
        <w:tabs>
          <w:tab w:val="left" w:pos="570"/>
        </w:tabs>
        <w:spacing w:line="360" w:lineRule="auto"/>
        <w:ind w:firstLine="480" w:firstLineChars="200"/>
        <w:jc w:val="left"/>
        <w:rPr>
          <w:rFonts w:hint="eastAsia" w:ascii="宋体" w:hAnsi="宋体" w:cs="宋体"/>
          <w:color w:val="auto"/>
          <w:sz w:val="24"/>
          <w:szCs w:val="22"/>
          <w:highlight w:val="none"/>
        </w:rPr>
      </w:pPr>
      <w:r>
        <w:rPr>
          <w:rFonts w:hint="eastAsia" w:ascii="宋体" w:hAnsi="宋体" w:cs="宋体"/>
          <w:color w:val="auto"/>
          <w:sz w:val="24"/>
          <w:szCs w:val="22"/>
          <w:highlight w:val="none"/>
        </w:rPr>
        <w:t>1、本公司所填列的技术要求、服务、数量等相关内容都是真实、准确的；</w:t>
      </w:r>
    </w:p>
    <w:p>
      <w:pPr>
        <w:tabs>
          <w:tab w:val="left" w:pos="570"/>
        </w:tabs>
        <w:spacing w:line="360" w:lineRule="auto"/>
        <w:ind w:firstLine="480" w:firstLineChars="200"/>
        <w:jc w:val="left"/>
        <w:rPr>
          <w:rFonts w:hint="eastAsia" w:ascii="宋体" w:hAnsi="宋体" w:cs="宋体"/>
          <w:color w:val="auto"/>
          <w:sz w:val="24"/>
          <w:szCs w:val="22"/>
          <w:highlight w:val="none"/>
        </w:rPr>
      </w:pPr>
      <w:r>
        <w:rPr>
          <w:rFonts w:hint="eastAsia" w:ascii="宋体" w:hAnsi="宋体" w:cs="宋体"/>
          <w:color w:val="auto"/>
          <w:sz w:val="24"/>
          <w:szCs w:val="22"/>
          <w:highlight w:val="none"/>
        </w:rPr>
        <w:t>2、本公司保证在本次招标项目中所提供的资料全部真实和合法；</w:t>
      </w:r>
    </w:p>
    <w:p>
      <w:pPr>
        <w:tabs>
          <w:tab w:val="left" w:pos="570"/>
        </w:tabs>
        <w:spacing w:line="360" w:lineRule="auto"/>
        <w:ind w:firstLine="480" w:firstLineChars="200"/>
        <w:jc w:val="left"/>
        <w:rPr>
          <w:rFonts w:hint="eastAsia" w:ascii="宋体" w:hAnsi="宋体" w:cs="宋体"/>
          <w:color w:val="auto"/>
          <w:sz w:val="24"/>
          <w:szCs w:val="22"/>
          <w:highlight w:val="none"/>
        </w:rPr>
      </w:pPr>
      <w:r>
        <w:rPr>
          <w:rFonts w:hint="eastAsia" w:ascii="宋体" w:hAnsi="宋体" w:cs="宋体"/>
          <w:color w:val="auto"/>
          <w:sz w:val="24"/>
          <w:szCs w:val="22"/>
          <w:highlight w:val="none"/>
        </w:rPr>
        <w:t>3、本公司保证绝不采取不正当手段诋毁排挤其他投标人；</w:t>
      </w:r>
    </w:p>
    <w:p>
      <w:pPr>
        <w:tabs>
          <w:tab w:val="left" w:pos="570"/>
        </w:tabs>
        <w:spacing w:line="360" w:lineRule="auto"/>
        <w:ind w:firstLine="480" w:firstLineChars="200"/>
        <w:jc w:val="left"/>
        <w:rPr>
          <w:rFonts w:hint="eastAsia" w:ascii="宋体" w:hAnsi="宋体" w:cs="宋体"/>
          <w:color w:val="auto"/>
          <w:sz w:val="24"/>
          <w:szCs w:val="22"/>
          <w:highlight w:val="none"/>
        </w:rPr>
      </w:pPr>
      <w:r>
        <w:rPr>
          <w:rFonts w:hint="eastAsia" w:ascii="宋体" w:hAnsi="宋体" w:cs="宋体"/>
          <w:color w:val="auto"/>
          <w:sz w:val="24"/>
          <w:szCs w:val="22"/>
          <w:highlight w:val="none"/>
        </w:rPr>
        <w:t>4、本公司保证绝不向</w:t>
      </w:r>
      <w:r>
        <w:rPr>
          <w:rFonts w:hint="eastAsia" w:ascii="宋体" w:hAnsi="宋体" w:cs="宋体"/>
          <w:color w:val="auto"/>
          <w:sz w:val="24"/>
          <w:szCs w:val="22"/>
          <w:highlight w:val="none"/>
          <w:lang w:val="en-US" w:eastAsia="zh-CN"/>
        </w:rPr>
        <w:t>招标人</w:t>
      </w:r>
      <w:r>
        <w:rPr>
          <w:rFonts w:hint="eastAsia" w:ascii="宋体" w:hAnsi="宋体" w:cs="宋体"/>
          <w:color w:val="auto"/>
          <w:sz w:val="24"/>
          <w:szCs w:val="22"/>
          <w:highlight w:val="none"/>
        </w:rPr>
        <w:t>、采购单位有关工作人员提供不正当利益，以影响采购结果的公正性。</w:t>
      </w:r>
    </w:p>
    <w:p>
      <w:pPr>
        <w:tabs>
          <w:tab w:val="left" w:pos="570"/>
        </w:tabs>
        <w:spacing w:line="360" w:lineRule="auto"/>
        <w:ind w:firstLine="480" w:firstLineChars="200"/>
        <w:jc w:val="left"/>
        <w:rPr>
          <w:rFonts w:hint="eastAsia" w:ascii="宋体" w:hAnsi="宋体" w:cs="宋体"/>
          <w:color w:val="auto"/>
          <w:sz w:val="24"/>
          <w:szCs w:val="22"/>
          <w:highlight w:val="none"/>
        </w:rPr>
      </w:pPr>
      <w:r>
        <w:rPr>
          <w:rFonts w:hint="eastAsia" w:ascii="宋体" w:hAnsi="宋体" w:cs="宋体"/>
          <w:color w:val="auto"/>
          <w:sz w:val="24"/>
          <w:szCs w:val="22"/>
          <w:highlight w:val="none"/>
        </w:rPr>
        <w:t>5、同意此次招标文件中的各项内容。</w:t>
      </w:r>
    </w:p>
    <w:p>
      <w:pPr>
        <w:tabs>
          <w:tab w:val="left" w:pos="570"/>
        </w:tabs>
        <w:spacing w:line="360" w:lineRule="auto"/>
        <w:ind w:firstLine="480" w:firstLineChars="200"/>
        <w:jc w:val="left"/>
        <w:rPr>
          <w:rFonts w:hint="eastAsia" w:ascii="宋体" w:hAnsi="宋体" w:cs="宋体"/>
          <w:color w:val="auto"/>
          <w:sz w:val="24"/>
          <w:szCs w:val="22"/>
          <w:highlight w:val="none"/>
        </w:rPr>
      </w:pPr>
      <w:r>
        <w:rPr>
          <w:rFonts w:hint="eastAsia" w:ascii="宋体" w:hAnsi="宋体" w:cs="宋体"/>
          <w:color w:val="auto"/>
          <w:sz w:val="24"/>
          <w:szCs w:val="22"/>
          <w:highlight w:val="none"/>
        </w:rPr>
        <w:t>6、同意提供按照贵方可能要求的与招标有关的一切数据或资料等。</w:t>
      </w:r>
    </w:p>
    <w:p>
      <w:pPr>
        <w:spacing w:line="300" w:lineRule="auto"/>
        <w:ind w:firstLine="480" w:firstLineChars="200"/>
        <w:rPr>
          <w:rFonts w:hint="eastAsia" w:ascii="宋体" w:hAnsi="宋体" w:cs="宋体"/>
          <w:color w:val="auto"/>
          <w:sz w:val="24"/>
          <w:szCs w:val="22"/>
          <w:highlight w:val="none"/>
        </w:rPr>
      </w:pPr>
      <w:r>
        <w:rPr>
          <w:rFonts w:hint="eastAsia" w:ascii="宋体" w:hAnsi="宋体" w:cs="宋体"/>
          <w:color w:val="auto"/>
          <w:sz w:val="24"/>
          <w:szCs w:val="22"/>
          <w:highlight w:val="none"/>
        </w:rPr>
        <w:t>7、本单位如中标，保证按照投标文件的承诺与贵方签订合同，保证履行合同条款</w:t>
      </w:r>
    </w:p>
    <w:p>
      <w:pPr>
        <w:spacing w:line="300" w:lineRule="auto"/>
        <w:ind w:firstLine="482" w:firstLineChars="200"/>
        <w:rPr>
          <w:rFonts w:hint="eastAsia" w:ascii="宋体" w:hAnsi="宋体" w:cs="宋体"/>
          <w:color w:val="auto"/>
          <w:sz w:val="24"/>
          <w:szCs w:val="22"/>
          <w:highlight w:val="none"/>
        </w:rPr>
      </w:pPr>
      <w:r>
        <w:rPr>
          <w:rFonts w:hint="eastAsia" w:ascii="宋体" w:hAnsi="宋体" w:eastAsia="宋体" w:cs="宋体"/>
          <w:b/>
          <w:bCs/>
          <w:color w:val="auto"/>
          <w:sz w:val="24"/>
          <w:szCs w:val="22"/>
          <w:highlight w:val="none"/>
          <w:lang w:val="en-US" w:eastAsia="zh-CN"/>
        </w:rPr>
        <w:t>8、本公司承诺如出现招标文件第三章三、（五）5情形的（如IP地址相同等），将自愿没收投标保证金。</w:t>
      </w:r>
    </w:p>
    <w:p>
      <w:pPr>
        <w:pageBreakBefore w:val="0"/>
        <w:widowControl w:val="0"/>
        <w:tabs>
          <w:tab w:val="left" w:pos="570"/>
        </w:tabs>
        <w:kinsoku/>
        <w:wordWrap/>
        <w:overflowPunct/>
        <w:topLinePunct w:val="0"/>
        <w:autoSpaceDE/>
        <w:autoSpaceDN/>
        <w:bidi w:val="0"/>
        <w:adjustRightInd/>
        <w:snapToGrid/>
        <w:spacing w:line="500" w:lineRule="exact"/>
        <w:ind w:firstLine="482" w:firstLineChars="200"/>
        <w:jc w:val="left"/>
        <w:textAlignment w:val="auto"/>
        <w:rPr>
          <w:rFonts w:hint="eastAsia" w:ascii="宋体" w:hAnsi="宋体" w:cs="宋体"/>
          <w:b/>
          <w:bCs/>
          <w:color w:val="auto"/>
          <w:sz w:val="24"/>
          <w:szCs w:val="22"/>
          <w:highlight w:val="none"/>
          <w:lang w:val="en-US" w:eastAsia="zh-CN"/>
        </w:rPr>
      </w:pPr>
      <w:r>
        <w:rPr>
          <w:rFonts w:hint="eastAsia" w:ascii="宋体" w:hAnsi="宋体" w:cs="宋体"/>
          <w:b/>
          <w:bCs/>
          <w:color w:val="auto"/>
          <w:sz w:val="24"/>
          <w:szCs w:val="22"/>
          <w:highlight w:val="none"/>
          <w:lang w:val="en-US" w:eastAsia="zh-CN"/>
        </w:rPr>
        <w:t>9、本单位承诺石粉含泥量≤3％，经第三方检测后，如检验不合格，招标人有权扣除全部履约保证金并且投标人须24小时内配合招标人更换石粉，直至招标人满意。</w:t>
      </w:r>
    </w:p>
    <w:p>
      <w:pPr>
        <w:tabs>
          <w:tab w:val="left" w:pos="570"/>
        </w:tabs>
        <w:spacing w:line="360" w:lineRule="auto"/>
        <w:ind w:firstLine="480" w:firstLineChars="200"/>
        <w:jc w:val="left"/>
        <w:rPr>
          <w:rFonts w:hint="eastAsia" w:ascii="宋体" w:hAnsi="宋体" w:cs="宋体"/>
          <w:color w:val="auto"/>
          <w:sz w:val="24"/>
          <w:szCs w:val="22"/>
          <w:highlight w:val="none"/>
          <w:u w:val="single"/>
        </w:rPr>
      </w:pPr>
      <w:r>
        <w:rPr>
          <w:rFonts w:hint="eastAsia" w:ascii="宋体" w:hAnsi="宋体" w:cs="宋体"/>
          <w:color w:val="auto"/>
          <w:sz w:val="24"/>
          <w:szCs w:val="22"/>
          <w:highlight w:val="none"/>
        </w:rPr>
        <w:t>本公司若有违反本承诺内容的行为，愿意承担法律责任，并愿意</w:t>
      </w:r>
      <w:r>
        <w:rPr>
          <w:rFonts w:hint="eastAsia" w:ascii="宋体" w:hAnsi="宋体" w:cs="宋体"/>
          <w:color w:val="auto"/>
          <w:sz w:val="24"/>
          <w:szCs w:val="22"/>
          <w:highlight w:val="none"/>
          <w:lang w:val="en-US" w:eastAsia="zh-CN"/>
        </w:rPr>
        <w:t>赔偿为招标人造成的损失</w:t>
      </w:r>
      <w:r>
        <w:rPr>
          <w:rFonts w:hint="eastAsia" w:ascii="宋体" w:hAnsi="宋体" w:cs="宋体"/>
          <w:color w:val="auto"/>
          <w:sz w:val="24"/>
          <w:szCs w:val="22"/>
          <w:highlight w:val="none"/>
        </w:rPr>
        <w:t>。如已中标的，自动放弃中标资格；给</w:t>
      </w:r>
      <w:r>
        <w:rPr>
          <w:rFonts w:hint="eastAsia" w:ascii="宋体" w:hAnsi="宋体" w:cs="宋体"/>
          <w:color w:val="auto"/>
          <w:sz w:val="24"/>
          <w:szCs w:val="22"/>
          <w:highlight w:val="none"/>
          <w:lang w:val="en-US" w:eastAsia="zh-CN"/>
        </w:rPr>
        <w:t>招标人</w:t>
      </w:r>
      <w:r>
        <w:rPr>
          <w:rFonts w:hint="eastAsia" w:ascii="宋体" w:hAnsi="宋体" w:cs="宋体"/>
          <w:color w:val="auto"/>
          <w:sz w:val="24"/>
          <w:szCs w:val="22"/>
          <w:highlight w:val="none"/>
        </w:rPr>
        <w:t>造成损失的，依法承担赔偿责任。</w:t>
      </w:r>
    </w:p>
    <w:p>
      <w:pPr>
        <w:tabs>
          <w:tab w:val="left" w:pos="570"/>
        </w:tabs>
        <w:spacing w:line="440" w:lineRule="exact"/>
        <w:jc w:val="left"/>
        <w:rPr>
          <w:rFonts w:hint="eastAsia" w:ascii="宋体" w:hAnsi="宋体" w:cs="宋体"/>
          <w:color w:val="auto"/>
          <w:sz w:val="24"/>
          <w:szCs w:val="22"/>
          <w:highlight w:val="none"/>
          <w:u w:val="single"/>
        </w:rPr>
      </w:pPr>
    </w:p>
    <w:p>
      <w:pPr>
        <w:spacing w:line="360" w:lineRule="auto"/>
        <w:rPr>
          <w:rFonts w:hint="eastAsia" w:ascii="宋体" w:hAnsi="宋体"/>
          <w:color w:val="auto"/>
          <w:sz w:val="24"/>
          <w:highlight w:val="none"/>
        </w:rPr>
      </w:pPr>
      <w:r>
        <w:rPr>
          <w:rFonts w:hint="eastAsia" w:ascii="宋体" w:hAnsi="宋体"/>
          <w:color w:val="auto"/>
          <w:sz w:val="24"/>
          <w:highlight w:val="none"/>
        </w:rPr>
        <w:t xml:space="preserve">投标人（盖章）：     </w:t>
      </w:r>
    </w:p>
    <w:p>
      <w:pPr>
        <w:snapToGrid w:val="0"/>
        <w:spacing w:before="50" w:after="50" w:line="360" w:lineRule="auto"/>
        <w:jc w:val="both"/>
        <w:rPr>
          <w:rFonts w:hint="eastAsia" w:ascii="宋体" w:hAnsi="宋体"/>
          <w:color w:val="auto"/>
          <w:sz w:val="24"/>
          <w:highlight w:val="none"/>
        </w:rPr>
      </w:pPr>
      <w:r>
        <w:rPr>
          <w:rFonts w:hint="eastAsia" w:ascii="宋体" w:hAnsi="宋体"/>
          <w:color w:val="auto"/>
          <w:sz w:val="24"/>
          <w:highlight w:val="none"/>
        </w:rPr>
        <w:t>法定代表人</w:t>
      </w:r>
      <w:r>
        <w:rPr>
          <w:rFonts w:hint="eastAsia" w:ascii="宋体" w:hAnsi="宋体"/>
          <w:color w:val="auto"/>
          <w:sz w:val="24"/>
          <w:highlight w:val="none"/>
          <w:lang w:val="en-US" w:eastAsia="zh-CN"/>
        </w:rPr>
        <w:t>/经营者</w:t>
      </w:r>
      <w:r>
        <w:rPr>
          <w:rFonts w:hint="eastAsia" w:ascii="宋体" w:hAnsi="宋体"/>
          <w:color w:val="auto"/>
          <w:sz w:val="24"/>
          <w:highlight w:val="none"/>
        </w:rPr>
        <w:t xml:space="preserve">（签字或盖章）：                          </w:t>
      </w:r>
    </w:p>
    <w:p>
      <w:pPr>
        <w:snapToGrid w:val="0"/>
        <w:spacing w:before="50" w:after="50" w:line="360" w:lineRule="auto"/>
        <w:jc w:val="both"/>
        <w:rPr>
          <w:rFonts w:hint="eastAsia" w:ascii="宋体" w:hAnsi="宋体" w:cs="宋体"/>
          <w:szCs w:val="20"/>
          <w:highlight w:val="none"/>
          <w:u w:val="single"/>
        </w:rPr>
      </w:pPr>
      <w:r>
        <w:rPr>
          <w:rFonts w:hint="eastAsia" w:ascii="宋体" w:hAnsi="宋体"/>
          <w:color w:val="auto"/>
          <w:sz w:val="24"/>
          <w:highlight w:val="none"/>
        </w:rPr>
        <w:t>日期：</w:t>
      </w:r>
      <w:r>
        <w:rPr>
          <w:rFonts w:hint="eastAsia" w:ascii="宋体" w:hAnsi="宋体"/>
          <w:color w:val="auto"/>
          <w:sz w:val="24"/>
          <w:szCs w:val="24"/>
          <w:highlight w:val="none"/>
        </w:rPr>
        <w:t xml:space="preserve">     年   月   日</w:t>
      </w:r>
    </w:p>
    <w:sectPr>
      <w:pgSz w:w="11906" w:h="16838"/>
      <w:pgMar w:top="1440" w:right="1188" w:bottom="1440" w:left="179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1" w:csb1="0000000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华文细黑">
    <w:altName w:val="微软雅黑"/>
    <w:panose1 w:val="02010600040101010101"/>
    <w:charset w:val="86"/>
    <w:family w:val="auto"/>
    <w:pitch w:val="default"/>
    <w:sig w:usb0="00000000" w:usb1="00000000" w:usb2="00000000" w:usb3="00000000" w:csb0="0004009F" w:csb1="DFD70000"/>
  </w:font>
  <w:font w:name="创艺简标宋">
    <w:altName w:val="黑体"/>
    <w:panose1 w:val="00000000000000000000"/>
    <w:charset w:val="86"/>
    <w:family w:val="auto"/>
    <w:pitch w:val="default"/>
    <w:sig w:usb0="00000000" w:usb1="00000000" w:usb2="00000010" w:usb3="00000000" w:csb0="00040000" w:csb1="00000000"/>
  </w:font>
  <w:font w:name="新宋体">
    <w:panose1 w:val="02010609030101010101"/>
    <w:charset w:val="86"/>
    <w:family w:val="modern"/>
    <w:pitch w:val="default"/>
    <w:sig w:usb0="0000028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Verdana">
    <w:panose1 w:val="020B0604030504040204"/>
    <w:charset w:val="00"/>
    <w:family w:val="auto"/>
    <w:pitch w:val="default"/>
    <w:sig w:usb0="A0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jc w:val="center"/>
      <w:rPr>
        <w:rFonts w:hint="eastAsia"/>
      </w:rPr>
    </w:pPr>
    <w:r>
      <w:fldChar w:fldCharType="begin"/>
    </w:r>
    <w:r>
      <w:rPr>
        <w:rStyle w:val="49"/>
      </w:rPr>
      <w:instrText xml:space="preserve"> PAGE </w:instrText>
    </w:r>
    <w:r>
      <w:fldChar w:fldCharType="separate"/>
    </w:r>
    <w:r>
      <w:rPr>
        <w:rStyle w:val="49"/>
      </w:rPr>
      <w:t>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jc w:val="center"/>
    </w:pPr>
    <w:r>
      <w:fldChar w:fldCharType="begin"/>
    </w:r>
    <w:r>
      <w:instrText xml:space="preserve"> PAGE   \* MERGEFORMAT </w:instrText>
    </w:r>
    <w:r>
      <w:fldChar w:fldCharType="separate"/>
    </w:r>
    <w:r>
      <w:rPr>
        <w:lang w:val="zh-CN"/>
      </w:rPr>
      <w:t>-</w:t>
    </w:r>
    <w:r>
      <w:t xml:space="preserve"> 8 -</w:t>
    </w:r>
    <w:r>
      <w:fldChar w:fldCharType="end"/>
    </w:r>
  </w:p>
  <w:p>
    <w:pPr>
      <w:pStyle w:val="3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framePr w:wrap="around" w:vAnchor="text" w:hAnchor="page" w:x="5897" w:y="97"/>
      <w:rPr>
        <w:rStyle w:val="53"/>
      </w:rPr>
    </w:pPr>
    <w:r>
      <w:fldChar w:fldCharType="begin"/>
    </w:r>
    <w:r>
      <w:rPr>
        <w:rStyle w:val="53"/>
      </w:rPr>
      <w:instrText xml:space="preserve">PAGE  </w:instrText>
    </w:r>
    <w:r>
      <w:fldChar w:fldCharType="separate"/>
    </w:r>
    <w:r>
      <w:rPr>
        <w:rStyle w:val="53"/>
      </w:rPr>
      <w:t>33</w:t>
    </w:r>
    <w:r>
      <w:fldChar w:fldCharType="end"/>
    </w:r>
  </w:p>
  <w:p>
    <w:pPr>
      <w:pStyle w:val="37"/>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jc w:val="center"/>
    </w:pPr>
    <w:r>
      <w:fldChar w:fldCharType="begin"/>
    </w:r>
    <w:r>
      <w:instrText xml:space="preserve"> PAGE   \* MERGEFORMAT </w:instrText>
    </w:r>
    <w:r>
      <w:fldChar w:fldCharType="separate"/>
    </w:r>
    <w:r>
      <w:rPr>
        <w:lang w:val="zh-CN"/>
      </w:rPr>
      <w:t>-</w:t>
    </w:r>
    <w:r>
      <w:t xml:space="preserve"> 8 -</w:t>
    </w:r>
    <w:r>
      <w:fldChar w:fldCharType="end"/>
    </w:r>
  </w:p>
  <w:p>
    <w:pPr>
      <w:pStyle w:val="32"/>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152400</wp:posOffset>
              </wp:positionV>
              <wp:extent cx="247650" cy="1651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247650" cy="165100"/>
                      </a:xfrm>
                      <a:prstGeom prst="rect">
                        <a:avLst/>
                      </a:prstGeom>
                      <a:noFill/>
                      <a:ln w="15875">
                        <a:noFill/>
                      </a:ln>
                    </wps:spPr>
                    <wps:txbx>
                      <w:txbxContent>
                        <w:p>
                          <w:pPr>
                            <w:pStyle w:val="32"/>
                            <w:jc w:val="center"/>
                          </w:pPr>
                          <w:r>
                            <w:fldChar w:fldCharType="begin"/>
                          </w:r>
                          <w:r>
                            <w:instrText xml:space="preserve"> PAGE   \* MERGEFORMAT </w:instrText>
                          </w:r>
                          <w:r>
                            <w:fldChar w:fldCharType="separate"/>
                          </w:r>
                          <w:r>
                            <w:rPr>
                              <w:lang w:val="zh-CN"/>
                            </w:rPr>
                            <w:t>31</w:t>
                          </w:r>
                          <w:r>
                            <w:fldChar w:fldCharType="end"/>
                          </w:r>
                        </w:p>
                      </w:txbxContent>
                    </wps:txbx>
                    <wps:bodyPr wrap="none" lIns="0" tIns="0" rIns="0" bIns="0" upright="0"/>
                  </wps:wsp>
                </a:graphicData>
              </a:graphic>
            </wp:anchor>
          </w:drawing>
        </mc:Choice>
        <mc:Fallback>
          <w:pict>
            <v:shape id="文本框 2" o:spid="_x0000_s1026" o:spt="202" type="#_x0000_t202" style="position:absolute;left:0pt;margin-top:12pt;height:13pt;width:19.5pt;mso-position-horizontal:center;mso-position-horizontal-relative:margin;mso-wrap-style:none;z-index:251659264;mso-width-relative:page;mso-height-relative:page;" filled="f" stroked="f" coordsize="21600,21600" o:gfxdata="UEsDBAoAAAAAAIdO4kAAAAAAAAAAAAAAAAAEAAAAZHJzL1BLAwQUAAAACACHTuJAfi9ARtMAAAAF&#10;AQAADwAAAGRycy9kb3ducmV2LnhtbE2PwU7DMBBE70j8g7VI3KjdUKCEbCqEVHHgUkLV8zZekqix&#10;HWK3DX/PcoLTaDWrmTfFanK9OvEYu+AR5jMDin0dbOcbhO3H+mYJKibylvrgGeGbI6zKy4uCchvO&#10;/p1PVWqUhPiYE0Kb0pBrHeuWHcVZGNiL9xlGR0nOsdF2pLOEu15nxtxrR52XhpYGfmm5PlRHh0AU&#10;M72eXhf89TZs9ebh+bCrNojXV3PzBCrxlP6e4Rdf0KEUpn04ehtVjyBDEkK2EBX39lF0j3BnDOiy&#10;0P/pyx9QSwMEFAAAAAgAh07iQJGn46SvAQAAOQMAAA4AAABkcnMvZTJvRG9jLnhtbK1SzWobMRC+&#10;B/oOQvd41yZ2wuJ1oISUQmkDSR5A1kpegaQRI8W7foH2DXrqJfc+l5+jI8V2SnMLvUij+fk03zez&#10;vB6dZVuF0YBv+XRSc6a8hM74TcsfH27PrziLSfhOWPCq5TsV+fXqw9lyCI2aQQ+2U8gIxMdmCC3v&#10;UwpNVUXZKyfiBILyFNSATiR64qbqUAyE7mw1q+tFNQB2AUGqGMl78xLkq4KvtZLpm9ZRJWZbTr2l&#10;cmI51/msVkvRbFCE3shDG+IdXThhPH16groRSbAnNG+gnJEIEXSaSHAVaG2kKhyIzbT+h819L4Iq&#10;XEicGE4yxf8HK79u75CZjmbHmReORrT/+WP/6/f++TubZXmGEBvKug+Ul8aPMObUgz+SM7MeNbp8&#10;Ex9GcRJ6dxJXjYlJcs4uLhdzikgKTRfzaV3Er16LA8b0SYFj2Wg50uyKpGL7JSb6kFKPKfkvD7fG&#10;2jI/69lAoPOry3mpOIWoxHqqzBxees1WGtfjgcAauh3xGmgBWu5pQzmznz3pm3flaODRWB+Np4Bm&#10;05dlyo1lUJpPafGwS3kB/n6XrNeNX/0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fi9ARtMAAAAF&#10;AQAADwAAAAAAAAABACAAAAAiAAAAZHJzL2Rvd25yZXYueG1sUEsBAhQAFAAAAAgAh07iQJGn46Sv&#10;AQAAOQMAAA4AAAAAAAAAAQAgAAAAIgEAAGRycy9lMm9Eb2MueG1sUEsFBgAAAAAGAAYAWQEAAEMF&#10;AAAAAA==&#10;">
              <v:fill on="f" focussize="0,0"/>
              <v:stroke on="f" weight="1.25pt"/>
              <v:imagedata o:title=""/>
              <o:lock v:ext="edit" aspectratio="f"/>
              <v:textbox inset="0mm,0mm,0mm,0mm">
                <w:txbxContent>
                  <w:p>
                    <w:pPr>
                      <w:pStyle w:val="32"/>
                      <w:jc w:val="center"/>
                    </w:pPr>
                    <w:r>
                      <w:fldChar w:fldCharType="begin"/>
                    </w:r>
                    <w:r>
                      <w:instrText xml:space="preserve"> PAGE   \* MERGEFORMAT </w:instrText>
                    </w:r>
                    <w:r>
                      <w:fldChar w:fldCharType="separate"/>
                    </w:r>
                    <w:r>
                      <w:rPr>
                        <w:lang w:val="zh-CN"/>
                      </w:rPr>
                      <w:t>31</w:t>
                    </w:r>
                    <w:r>
                      <w:fldChar w:fldCharType="end"/>
                    </w:r>
                  </w:p>
                </w:txbxContent>
              </v:textbox>
            </v:shape>
          </w:pict>
        </mc:Fallback>
      </mc:AlternateContent>
    </w:r>
  </w:p>
  <w:p>
    <w:pPr>
      <w:pStyle w:val="32"/>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framePr w:wrap="around" w:vAnchor="text" w:hAnchor="page" w:x="5897" w:y="97"/>
      <w:rPr>
        <w:rStyle w:val="53"/>
      </w:rPr>
    </w:pPr>
    <w:r>
      <w:fldChar w:fldCharType="begin"/>
    </w:r>
    <w:r>
      <w:rPr>
        <w:rStyle w:val="53"/>
      </w:rPr>
      <w:instrText xml:space="preserve">PAGE  </w:instrText>
    </w:r>
    <w:r>
      <w:fldChar w:fldCharType="separate"/>
    </w:r>
    <w:r>
      <w:rPr>
        <w:rStyle w:val="53"/>
      </w:rPr>
      <w:t>0</w:t>
    </w:r>
    <w:r>
      <w:fldChar w:fldCharType="end"/>
    </w:r>
  </w:p>
  <w:p>
    <w:pPr>
      <w:pStyle w:val="37"/>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jc w:val="right"/>
      <w:rPr>
        <w:rFonts w:ascii="宋体" w:hAnsi="宋体"/>
      </w:rPr>
    </w:pPr>
    <w:r>
      <w:rPr>
        <w:rFonts w:hint="eastAsia" w:ascii="宋体" w:hAnsi="宋体"/>
        <w:bCs/>
        <w:lang w:eastAsia="zh-CN"/>
      </w:rPr>
      <w:t>台州湾新区滨康大道（海昌路—海丰路）北半幅道路工程、东海大道（聚海大道-渔舟路）道路工程（绿化工程）（苗木采购）</w:t>
    </w:r>
    <w:r>
      <w:rPr>
        <w:rFonts w:hint="eastAsia" w:ascii="宋体" w:hAnsi="宋体"/>
      </w:rPr>
      <w:t>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tabs>
        <w:tab w:val="left" w:pos="4200"/>
        <w:tab w:val="left" w:pos="4620"/>
        <w:tab w:val="left" w:pos="5040"/>
        <w:tab w:val="left" w:pos="5460"/>
        <w:tab w:val="left" w:pos="5880"/>
        <w:tab w:val="left" w:pos="6300"/>
        <w:tab w:val="clear" w:pos="8306"/>
      </w:tabs>
      <w:jc w:val="both"/>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tabs>
        <w:tab w:val="left" w:pos="4200"/>
        <w:tab w:val="left" w:pos="4620"/>
        <w:tab w:val="left" w:pos="5040"/>
        <w:tab w:val="left" w:pos="5460"/>
        <w:tab w:val="left" w:pos="5880"/>
        <w:tab w:val="left" w:pos="6300"/>
        <w:tab w:val="clear" w:pos="8306"/>
      </w:tabs>
      <w:jc w:val="right"/>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93AB5F1"/>
    <w:multiLevelType w:val="singleLevel"/>
    <w:tmpl w:val="B93AB5F1"/>
    <w:lvl w:ilvl="0" w:tentative="0">
      <w:start w:val="2"/>
      <w:numFmt w:val="chineseCounting"/>
      <w:suff w:val="nothing"/>
      <w:lvlText w:val="%1、"/>
      <w:lvlJc w:val="left"/>
      <w:rPr>
        <w:rFonts w:hint="eastAsia"/>
      </w:rPr>
    </w:lvl>
  </w:abstractNum>
  <w:abstractNum w:abstractNumId="1">
    <w:nsid w:val="D0525ABD"/>
    <w:multiLevelType w:val="singleLevel"/>
    <w:tmpl w:val="D0525ABD"/>
    <w:lvl w:ilvl="0" w:tentative="0">
      <w:start w:val="1"/>
      <w:numFmt w:val="chineseCounting"/>
      <w:suff w:val="nothing"/>
      <w:lvlText w:val="%1、"/>
      <w:lvlJc w:val="left"/>
      <w:rPr>
        <w:rFonts w:hint="eastAsia"/>
      </w:rPr>
    </w:lvl>
  </w:abstractNum>
  <w:abstractNum w:abstractNumId="2">
    <w:nsid w:val="F683B775"/>
    <w:multiLevelType w:val="singleLevel"/>
    <w:tmpl w:val="F683B775"/>
    <w:lvl w:ilvl="0" w:tentative="0">
      <w:start w:val="1"/>
      <w:numFmt w:val="bullet"/>
      <w:pStyle w:val="14"/>
      <w:lvlText w:val=""/>
      <w:lvlJc w:val="left"/>
      <w:pPr>
        <w:tabs>
          <w:tab w:val="left" w:pos="360"/>
        </w:tabs>
        <w:ind w:left="360" w:hanging="360"/>
      </w:pPr>
      <w:rPr>
        <w:rFonts w:hint="default" w:ascii="Wingdings" w:hAnsi="Wingdings"/>
      </w:rPr>
    </w:lvl>
  </w:abstractNum>
  <w:abstractNum w:abstractNumId="3">
    <w:nsid w:val="0000000B"/>
    <w:multiLevelType w:val="multilevel"/>
    <w:tmpl w:val="0000000B"/>
    <w:lvl w:ilvl="0" w:tentative="0">
      <w:start w:val="1"/>
      <w:numFmt w:val="japaneseCounting"/>
      <w:lvlText w:val="第%1章"/>
      <w:lvlJc w:val="left"/>
      <w:pPr>
        <w:tabs>
          <w:tab w:val="left" w:pos="1440"/>
        </w:tabs>
        <w:ind w:left="1440" w:hanging="1275"/>
      </w:pPr>
    </w:lvl>
    <w:lvl w:ilvl="1" w:tentative="0">
      <w:start w:val="1"/>
      <w:numFmt w:val="japaneseCounting"/>
      <w:lvlText w:val="%2、"/>
      <w:lvlJc w:val="left"/>
      <w:pPr>
        <w:tabs>
          <w:tab w:val="left" w:pos="1305"/>
        </w:tabs>
        <w:ind w:left="1305" w:hanging="72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4">
    <w:nsid w:val="0000000D"/>
    <w:multiLevelType w:val="singleLevel"/>
    <w:tmpl w:val="0000000D"/>
    <w:lvl w:ilvl="0" w:tentative="0">
      <w:start w:val="1"/>
      <w:numFmt w:val="decimal"/>
      <w:pStyle w:val="22"/>
      <w:lvlText w:val="%1."/>
      <w:lvlJc w:val="left"/>
      <w:pPr>
        <w:tabs>
          <w:tab w:val="left" w:pos="1200"/>
        </w:tabs>
        <w:ind w:left="1200" w:hanging="360"/>
      </w:pPr>
    </w:lvl>
  </w:abstractNum>
  <w:abstractNum w:abstractNumId="5">
    <w:nsid w:val="0000000E"/>
    <w:multiLevelType w:val="multilevel"/>
    <w:tmpl w:val="0000000E"/>
    <w:lvl w:ilvl="0" w:tentative="0">
      <w:start w:val="1"/>
      <w:numFmt w:val="bullet"/>
      <w:pStyle w:val="120"/>
      <w:lvlText w:val=""/>
      <w:lvlJc w:val="left"/>
      <w:pPr>
        <w:tabs>
          <w:tab w:val="left" w:pos="0"/>
        </w:tabs>
        <w:ind w:left="0" w:firstLine="0"/>
      </w:pPr>
      <w:rPr>
        <w:rFonts w:hint="default" w:ascii="Wingdings" w:hAnsi="Wingdings"/>
      </w:rPr>
    </w:lvl>
    <w:lvl w:ilvl="1" w:tentative="0">
      <w:start w:val="1"/>
      <w:numFmt w:val="bullet"/>
      <w:lvlText w:val=""/>
      <w:lvlJc w:val="left"/>
      <w:pPr>
        <w:tabs>
          <w:tab w:val="left" w:pos="720"/>
        </w:tabs>
        <w:ind w:left="1080" w:hanging="360"/>
      </w:pPr>
      <w:rPr>
        <w:rFonts w:hint="default" w:ascii="Symbol" w:hAnsi="Symbol"/>
      </w:rPr>
    </w:lvl>
    <w:lvl w:ilvl="2" w:tentative="0">
      <w:start w:val="1"/>
      <w:numFmt w:val="bullet"/>
      <w:pStyle w:val="131"/>
      <w:lvlText w:val="o"/>
      <w:lvlJc w:val="left"/>
      <w:pPr>
        <w:tabs>
          <w:tab w:val="left" w:pos="1440"/>
        </w:tabs>
        <w:ind w:left="1800" w:hanging="360"/>
      </w:pPr>
      <w:rPr>
        <w:rFonts w:hint="default" w:ascii="Courier New" w:hAnsi="Courier New"/>
      </w:rPr>
    </w:lvl>
    <w:lvl w:ilvl="3" w:tentative="0">
      <w:start w:val="1"/>
      <w:numFmt w:val="bullet"/>
      <w:pStyle w:val="128"/>
      <w:lvlText w:val=""/>
      <w:lvlJc w:val="left"/>
      <w:pPr>
        <w:tabs>
          <w:tab w:val="left" w:pos="2160"/>
        </w:tabs>
        <w:ind w:left="2520" w:hanging="360"/>
      </w:pPr>
      <w:rPr>
        <w:rFonts w:hint="default" w:ascii="Wingdings" w:hAnsi="Wingdings"/>
      </w:rPr>
    </w:lvl>
    <w:lvl w:ilvl="4" w:tentative="0">
      <w:start w:val="1"/>
      <w:numFmt w:val="bullet"/>
      <w:pStyle w:val="125"/>
      <w:lvlText w:val=""/>
      <w:lvlJc w:val="left"/>
      <w:pPr>
        <w:tabs>
          <w:tab w:val="left" w:pos="2880"/>
        </w:tabs>
        <w:ind w:left="3240" w:hanging="360"/>
      </w:pPr>
      <w:rPr>
        <w:rFonts w:hint="default" w:ascii="Wingdings" w:hAnsi="Wingdings"/>
      </w:rPr>
    </w:lvl>
    <w:lvl w:ilvl="5" w:tentative="0">
      <w:start w:val="1"/>
      <w:numFmt w:val="bullet"/>
      <w:pStyle w:val="118"/>
      <w:lvlText w:val=""/>
      <w:lvlJc w:val="left"/>
      <w:pPr>
        <w:tabs>
          <w:tab w:val="left" w:pos="3600"/>
        </w:tabs>
        <w:ind w:left="3960" w:hanging="360"/>
      </w:pPr>
      <w:rPr>
        <w:rFonts w:hint="default" w:ascii="Symbol" w:hAnsi="Symbol"/>
      </w:rPr>
    </w:lvl>
    <w:lvl w:ilvl="6" w:tentative="0">
      <w:start w:val="1"/>
      <w:numFmt w:val="bullet"/>
      <w:pStyle w:val="106"/>
      <w:lvlText w:val="o"/>
      <w:lvlJc w:val="left"/>
      <w:pPr>
        <w:tabs>
          <w:tab w:val="left" w:pos="4320"/>
        </w:tabs>
        <w:ind w:left="4680" w:hanging="360"/>
      </w:pPr>
      <w:rPr>
        <w:rFonts w:hint="default" w:ascii="Courier New" w:hAnsi="Courier New"/>
      </w:rPr>
    </w:lvl>
    <w:lvl w:ilvl="7" w:tentative="0">
      <w:start w:val="1"/>
      <w:numFmt w:val="bullet"/>
      <w:pStyle w:val="138"/>
      <w:lvlText w:val=""/>
      <w:lvlJc w:val="left"/>
      <w:pPr>
        <w:tabs>
          <w:tab w:val="left" w:pos="5040"/>
        </w:tabs>
        <w:ind w:left="5400" w:hanging="360"/>
      </w:pPr>
      <w:rPr>
        <w:rFonts w:hint="default" w:ascii="Wingdings" w:hAnsi="Wingdings"/>
      </w:rPr>
    </w:lvl>
    <w:lvl w:ilvl="8" w:tentative="0">
      <w:start w:val="1"/>
      <w:numFmt w:val="bullet"/>
      <w:pStyle w:val="115"/>
      <w:lvlText w:val=""/>
      <w:lvlJc w:val="left"/>
      <w:pPr>
        <w:tabs>
          <w:tab w:val="left" w:pos="5760"/>
        </w:tabs>
        <w:ind w:left="6120" w:hanging="360"/>
      </w:pPr>
      <w:rPr>
        <w:rFonts w:hint="default" w:ascii="Wingdings" w:hAnsi="Wingdings"/>
      </w:rPr>
    </w:lvl>
  </w:abstractNum>
  <w:abstractNum w:abstractNumId="6">
    <w:nsid w:val="061EABC1"/>
    <w:multiLevelType w:val="singleLevel"/>
    <w:tmpl w:val="061EABC1"/>
    <w:lvl w:ilvl="0" w:tentative="0">
      <w:start w:val="1"/>
      <w:numFmt w:val="bullet"/>
      <w:pStyle w:val="25"/>
      <w:lvlText w:val=""/>
      <w:lvlJc w:val="left"/>
      <w:pPr>
        <w:tabs>
          <w:tab w:val="left" w:pos="780"/>
        </w:tabs>
        <w:ind w:left="780" w:hanging="360"/>
      </w:pPr>
      <w:rPr>
        <w:rFonts w:hint="default" w:ascii="Wingdings" w:hAnsi="Wingdings"/>
      </w:rPr>
    </w:lvl>
  </w:abstractNum>
  <w:num w:numId="1">
    <w:abstractNumId w:val="2"/>
  </w:num>
  <w:num w:numId="2">
    <w:abstractNumId w:val="4"/>
  </w:num>
  <w:num w:numId="3">
    <w:abstractNumId w:val="6"/>
  </w:num>
  <w:num w:numId="4">
    <w:abstractNumId w:val="5"/>
  </w:num>
  <w:num w:numId="5">
    <w:abstractNumId w:val="3"/>
    <w:lvlOverride w:ilvl="0">
      <w:startOverride w:val="1"/>
    </w:lvlOverride>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40"/>
  <w:drawingGridVerticalSpacing w:val="381"/>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gyY2Y5Y2UxZjkwY2NiYzg1MTM4ZmQzOTFhYWJhY2IifQ=="/>
  </w:docVars>
  <w:rsids>
    <w:rsidRoot w:val="00172A27"/>
    <w:rsid w:val="0001083A"/>
    <w:rsid w:val="000114D9"/>
    <w:rsid w:val="00013457"/>
    <w:rsid w:val="00013AE8"/>
    <w:rsid w:val="00015CD6"/>
    <w:rsid w:val="00021855"/>
    <w:rsid w:val="000238E0"/>
    <w:rsid w:val="00036874"/>
    <w:rsid w:val="00044F84"/>
    <w:rsid w:val="00050A17"/>
    <w:rsid w:val="000518CF"/>
    <w:rsid w:val="000520D8"/>
    <w:rsid w:val="00055B06"/>
    <w:rsid w:val="00074BFF"/>
    <w:rsid w:val="0007597B"/>
    <w:rsid w:val="000772BA"/>
    <w:rsid w:val="00081576"/>
    <w:rsid w:val="000A01DB"/>
    <w:rsid w:val="000A50D2"/>
    <w:rsid w:val="000B2C01"/>
    <w:rsid w:val="000C1AAE"/>
    <w:rsid w:val="000D0BAB"/>
    <w:rsid w:val="000D1165"/>
    <w:rsid w:val="000E5FFB"/>
    <w:rsid w:val="000E78C7"/>
    <w:rsid w:val="000F2243"/>
    <w:rsid w:val="000F4A56"/>
    <w:rsid w:val="000F50E5"/>
    <w:rsid w:val="000F7635"/>
    <w:rsid w:val="000F77E3"/>
    <w:rsid w:val="001004AD"/>
    <w:rsid w:val="00102EA4"/>
    <w:rsid w:val="001047E6"/>
    <w:rsid w:val="00115906"/>
    <w:rsid w:val="00115B2D"/>
    <w:rsid w:val="001167C6"/>
    <w:rsid w:val="001171B9"/>
    <w:rsid w:val="001177A5"/>
    <w:rsid w:val="001218DB"/>
    <w:rsid w:val="00123B4A"/>
    <w:rsid w:val="00124D40"/>
    <w:rsid w:val="00125488"/>
    <w:rsid w:val="00127523"/>
    <w:rsid w:val="0013122F"/>
    <w:rsid w:val="00133234"/>
    <w:rsid w:val="001336D7"/>
    <w:rsid w:val="001430E5"/>
    <w:rsid w:val="00146F00"/>
    <w:rsid w:val="00150E85"/>
    <w:rsid w:val="001518BB"/>
    <w:rsid w:val="001527B0"/>
    <w:rsid w:val="00153FC4"/>
    <w:rsid w:val="00156E34"/>
    <w:rsid w:val="0015729D"/>
    <w:rsid w:val="00163639"/>
    <w:rsid w:val="00172EDE"/>
    <w:rsid w:val="00174349"/>
    <w:rsid w:val="00175E87"/>
    <w:rsid w:val="0017708D"/>
    <w:rsid w:val="0017721C"/>
    <w:rsid w:val="00181C59"/>
    <w:rsid w:val="00187C79"/>
    <w:rsid w:val="001A1479"/>
    <w:rsid w:val="001A1481"/>
    <w:rsid w:val="001B4BEC"/>
    <w:rsid w:val="001B5CA2"/>
    <w:rsid w:val="001C17D3"/>
    <w:rsid w:val="001C56FA"/>
    <w:rsid w:val="001D0989"/>
    <w:rsid w:val="001D3246"/>
    <w:rsid w:val="001D5F19"/>
    <w:rsid w:val="001D728C"/>
    <w:rsid w:val="001E5897"/>
    <w:rsid w:val="001F4EE5"/>
    <w:rsid w:val="0020044A"/>
    <w:rsid w:val="00202606"/>
    <w:rsid w:val="00202DC4"/>
    <w:rsid w:val="002119CA"/>
    <w:rsid w:val="00215002"/>
    <w:rsid w:val="00215C03"/>
    <w:rsid w:val="0022084F"/>
    <w:rsid w:val="00221293"/>
    <w:rsid w:val="002226C4"/>
    <w:rsid w:val="00222942"/>
    <w:rsid w:val="00231925"/>
    <w:rsid w:val="00232085"/>
    <w:rsid w:val="00233A38"/>
    <w:rsid w:val="00237F03"/>
    <w:rsid w:val="00244998"/>
    <w:rsid w:val="00245F24"/>
    <w:rsid w:val="00252709"/>
    <w:rsid w:val="002573EC"/>
    <w:rsid w:val="002601A4"/>
    <w:rsid w:val="00264550"/>
    <w:rsid w:val="0027650F"/>
    <w:rsid w:val="00286F0B"/>
    <w:rsid w:val="00286F6D"/>
    <w:rsid w:val="002922A9"/>
    <w:rsid w:val="00297789"/>
    <w:rsid w:val="002A41B8"/>
    <w:rsid w:val="002A44DE"/>
    <w:rsid w:val="002A5FC2"/>
    <w:rsid w:val="002A6E74"/>
    <w:rsid w:val="002B1845"/>
    <w:rsid w:val="002B3A78"/>
    <w:rsid w:val="002B4C42"/>
    <w:rsid w:val="002C2D5B"/>
    <w:rsid w:val="002C3F42"/>
    <w:rsid w:val="002D4A34"/>
    <w:rsid w:val="002D73B8"/>
    <w:rsid w:val="002E04E2"/>
    <w:rsid w:val="002E207C"/>
    <w:rsid w:val="002E43CB"/>
    <w:rsid w:val="002F4192"/>
    <w:rsid w:val="002F4346"/>
    <w:rsid w:val="003018C5"/>
    <w:rsid w:val="0031511E"/>
    <w:rsid w:val="00316B4F"/>
    <w:rsid w:val="00316BF6"/>
    <w:rsid w:val="00317329"/>
    <w:rsid w:val="00320C42"/>
    <w:rsid w:val="003220B6"/>
    <w:rsid w:val="0032392E"/>
    <w:rsid w:val="003256DC"/>
    <w:rsid w:val="0033028F"/>
    <w:rsid w:val="00332C9A"/>
    <w:rsid w:val="00333646"/>
    <w:rsid w:val="003340AE"/>
    <w:rsid w:val="0033746C"/>
    <w:rsid w:val="003472BA"/>
    <w:rsid w:val="003477AB"/>
    <w:rsid w:val="00350C0E"/>
    <w:rsid w:val="003555FC"/>
    <w:rsid w:val="003559C5"/>
    <w:rsid w:val="00384C19"/>
    <w:rsid w:val="0039302E"/>
    <w:rsid w:val="00394DDD"/>
    <w:rsid w:val="00395121"/>
    <w:rsid w:val="003C1149"/>
    <w:rsid w:val="003C123C"/>
    <w:rsid w:val="003C211B"/>
    <w:rsid w:val="003C2AF1"/>
    <w:rsid w:val="003D048E"/>
    <w:rsid w:val="003D3D0B"/>
    <w:rsid w:val="003D4BE8"/>
    <w:rsid w:val="003D62A0"/>
    <w:rsid w:val="003D7400"/>
    <w:rsid w:val="003D7576"/>
    <w:rsid w:val="003D7B33"/>
    <w:rsid w:val="003E3AF3"/>
    <w:rsid w:val="003E4387"/>
    <w:rsid w:val="003E7BCA"/>
    <w:rsid w:val="003F1564"/>
    <w:rsid w:val="003F19BE"/>
    <w:rsid w:val="003F5AE4"/>
    <w:rsid w:val="003F6186"/>
    <w:rsid w:val="003F7AB0"/>
    <w:rsid w:val="00410815"/>
    <w:rsid w:val="0041212D"/>
    <w:rsid w:val="00414B13"/>
    <w:rsid w:val="004228B0"/>
    <w:rsid w:val="00423186"/>
    <w:rsid w:val="00424481"/>
    <w:rsid w:val="00425641"/>
    <w:rsid w:val="004256BE"/>
    <w:rsid w:val="004353A9"/>
    <w:rsid w:val="00441819"/>
    <w:rsid w:val="00457E84"/>
    <w:rsid w:val="00463319"/>
    <w:rsid w:val="00471C09"/>
    <w:rsid w:val="0047201C"/>
    <w:rsid w:val="00476E4B"/>
    <w:rsid w:val="004830D3"/>
    <w:rsid w:val="00485718"/>
    <w:rsid w:val="00487FC0"/>
    <w:rsid w:val="004915B8"/>
    <w:rsid w:val="004A04A0"/>
    <w:rsid w:val="004A118F"/>
    <w:rsid w:val="004A2249"/>
    <w:rsid w:val="004A74BE"/>
    <w:rsid w:val="004B0410"/>
    <w:rsid w:val="004B3839"/>
    <w:rsid w:val="004B5812"/>
    <w:rsid w:val="004C2994"/>
    <w:rsid w:val="004C4A0D"/>
    <w:rsid w:val="004D024D"/>
    <w:rsid w:val="004D21D8"/>
    <w:rsid w:val="004D5A80"/>
    <w:rsid w:val="004D7319"/>
    <w:rsid w:val="004E0B46"/>
    <w:rsid w:val="004E0D81"/>
    <w:rsid w:val="004E10FC"/>
    <w:rsid w:val="004E2927"/>
    <w:rsid w:val="004E29D9"/>
    <w:rsid w:val="004E3E22"/>
    <w:rsid w:val="004E6A6E"/>
    <w:rsid w:val="004F0858"/>
    <w:rsid w:val="004F51A2"/>
    <w:rsid w:val="00502DC7"/>
    <w:rsid w:val="0050324D"/>
    <w:rsid w:val="00505137"/>
    <w:rsid w:val="00507D98"/>
    <w:rsid w:val="00514807"/>
    <w:rsid w:val="00526FCA"/>
    <w:rsid w:val="0053109A"/>
    <w:rsid w:val="005321B3"/>
    <w:rsid w:val="00532802"/>
    <w:rsid w:val="00545032"/>
    <w:rsid w:val="00555EB7"/>
    <w:rsid w:val="00555ED1"/>
    <w:rsid w:val="00556E76"/>
    <w:rsid w:val="005629DF"/>
    <w:rsid w:val="00563686"/>
    <w:rsid w:val="005740CC"/>
    <w:rsid w:val="00584C18"/>
    <w:rsid w:val="00586BB1"/>
    <w:rsid w:val="00597AAC"/>
    <w:rsid w:val="005A16C6"/>
    <w:rsid w:val="005A287D"/>
    <w:rsid w:val="005A79CA"/>
    <w:rsid w:val="005A7F81"/>
    <w:rsid w:val="005B7096"/>
    <w:rsid w:val="005B72DE"/>
    <w:rsid w:val="005C0545"/>
    <w:rsid w:val="005C3B9D"/>
    <w:rsid w:val="005D0FE3"/>
    <w:rsid w:val="005E15E8"/>
    <w:rsid w:val="005E23FA"/>
    <w:rsid w:val="005E3A24"/>
    <w:rsid w:val="005E636D"/>
    <w:rsid w:val="005E6FAC"/>
    <w:rsid w:val="005F1A45"/>
    <w:rsid w:val="005F6FBC"/>
    <w:rsid w:val="00601EE4"/>
    <w:rsid w:val="0060321D"/>
    <w:rsid w:val="00615BAD"/>
    <w:rsid w:val="00617CA3"/>
    <w:rsid w:val="00622DAE"/>
    <w:rsid w:val="00623807"/>
    <w:rsid w:val="00624315"/>
    <w:rsid w:val="006265C3"/>
    <w:rsid w:val="00640A10"/>
    <w:rsid w:val="006423AA"/>
    <w:rsid w:val="00654DE8"/>
    <w:rsid w:val="00665B5E"/>
    <w:rsid w:val="006728FC"/>
    <w:rsid w:val="00675164"/>
    <w:rsid w:val="00675D13"/>
    <w:rsid w:val="00676DB9"/>
    <w:rsid w:val="006773DE"/>
    <w:rsid w:val="0068401D"/>
    <w:rsid w:val="00687D8B"/>
    <w:rsid w:val="006A1753"/>
    <w:rsid w:val="006A210B"/>
    <w:rsid w:val="006A449F"/>
    <w:rsid w:val="006A605C"/>
    <w:rsid w:val="006B2188"/>
    <w:rsid w:val="006B397F"/>
    <w:rsid w:val="006B589A"/>
    <w:rsid w:val="006C2FBE"/>
    <w:rsid w:val="006C415F"/>
    <w:rsid w:val="006C5B7A"/>
    <w:rsid w:val="006C5EF9"/>
    <w:rsid w:val="006D0F32"/>
    <w:rsid w:val="006D1D62"/>
    <w:rsid w:val="006D3F53"/>
    <w:rsid w:val="006E0A9C"/>
    <w:rsid w:val="006E1B0F"/>
    <w:rsid w:val="006E25C4"/>
    <w:rsid w:val="006E2864"/>
    <w:rsid w:val="006E2F50"/>
    <w:rsid w:val="006F42C2"/>
    <w:rsid w:val="0070223F"/>
    <w:rsid w:val="00702F32"/>
    <w:rsid w:val="00710F8D"/>
    <w:rsid w:val="00716FDE"/>
    <w:rsid w:val="007239BD"/>
    <w:rsid w:val="007257CC"/>
    <w:rsid w:val="00725FE6"/>
    <w:rsid w:val="0072789C"/>
    <w:rsid w:val="00730B1D"/>
    <w:rsid w:val="00741B51"/>
    <w:rsid w:val="00741DDD"/>
    <w:rsid w:val="00750FDE"/>
    <w:rsid w:val="007573A3"/>
    <w:rsid w:val="0077136F"/>
    <w:rsid w:val="00773BEA"/>
    <w:rsid w:val="00785C2B"/>
    <w:rsid w:val="00786ACD"/>
    <w:rsid w:val="00787B8E"/>
    <w:rsid w:val="007907D6"/>
    <w:rsid w:val="00791728"/>
    <w:rsid w:val="0079700B"/>
    <w:rsid w:val="00797A45"/>
    <w:rsid w:val="007A0C27"/>
    <w:rsid w:val="007A2629"/>
    <w:rsid w:val="007B0C9C"/>
    <w:rsid w:val="007B35C4"/>
    <w:rsid w:val="007B6575"/>
    <w:rsid w:val="007C0FE4"/>
    <w:rsid w:val="007D4E73"/>
    <w:rsid w:val="007D6349"/>
    <w:rsid w:val="007E1968"/>
    <w:rsid w:val="007E2DE2"/>
    <w:rsid w:val="007E3743"/>
    <w:rsid w:val="007E3C85"/>
    <w:rsid w:val="007E521E"/>
    <w:rsid w:val="007E59DC"/>
    <w:rsid w:val="007F0B18"/>
    <w:rsid w:val="007F419C"/>
    <w:rsid w:val="007F7DBC"/>
    <w:rsid w:val="00800812"/>
    <w:rsid w:val="00803C6B"/>
    <w:rsid w:val="008043FB"/>
    <w:rsid w:val="008059B3"/>
    <w:rsid w:val="008077A0"/>
    <w:rsid w:val="00815822"/>
    <w:rsid w:val="00817428"/>
    <w:rsid w:val="008204D1"/>
    <w:rsid w:val="008264AD"/>
    <w:rsid w:val="008279D3"/>
    <w:rsid w:val="00830F1F"/>
    <w:rsid w:val="00834C87"/>
    <w:rsid w:val="00835D16"/>
    <w:rsid w:val="008366FA"/>
    <w:rsid w:val="00843743"/>
    <w:rsid w:val="00845369"/>
    <w:rsid w:val="0084555E"/>
    <w:rsid w:val="00846F18"/>
    <w:rsid w:val="008472DD"/>
    <w:rsid w:val="008514DB"/>
    <w:rsid w:val="008515BA"/>
    <w:rsid w:val="00853959"/>
    <w:rsid w:val="00857066"/>
    <w:rsid w:val="00870146"/>
    <w:rsid w:val="008754A9"/>
    <w:rsid w:val="00876407"/>
    <w:rsid w:val="008771C1"/>
    <w:rsid w:val="00882911"/>
    <w:rsid w:val="0088536E"/>
    <w:rsid w:val="00885E10"/>
    <w:rsid w:val="00886843"/>
    <w:rsid w:val="00890794"/>
    <w:rsid w:val="00891936"/>
    <w:rsid w:val="0089200E"/>
    <w:rsid w:val="008931F4"/>
    <w:rsid w:val="008954A0"/>
    <w:rsid w:val="00895BE7"/>
    <w:rsid w:val="008A26B5"/>
    <w:rsid w:val="008A3195"/>
    <w:rsid w:val="008A5A71"/>
    <w:rsid w:val="008A6E61"/>
    <w:rsid w:val="008B7972"/>
    <w:rsid w:val="008C0592"/>
    <w:rsid w:val="008C57C2"/>
    <w:rsid w:val="008C6CFC"/>
    <w:rsid w:val="008C72BE"/>
    <w:rsid w:val="008D4FAE"/>
    <w:rsid w:val="008D67EC"/>
    <w:rsid w:val="008E6A10"/>
    <w:rsid w:val="008E7FE0"/>
    <w:rsid w:val="008F119F"/>
    <w:rsid w:val="00912BA3"/>
    <w:rsid w:val="009176FA"/>
    <w:rsid w:val="009226B4"/>
    <w:rsid w:val="00924141"/>
    <w:rsid w:val="0093042E"/>
    <w:rsid w:val="00931EFA"/>
    <w:rsid w:val="00937EA8"/>
    <w:rsid w:val="0094051B"/>
    <w:rsid w:val="009479C5"/>
    <w:rsid w:val="009642F0"/>
    <w:rsid w:val="00966FFA"/>
    <w:rsid w:val="00971505"/>
    <w:rsid w:val="009725EF"/>
    <w:rsid w:val="009751FD"/>
    <w:rsid w:val="009777D0"/>
    <w:rsid w:val="00980501"/>
    <w:rsid w:val="00981139"/>
    <w:rsid w:val="009839D5"/>
    <w:rsid w:val="00990953"/>
    <w:rsid w:val="009957C5"/>
    <w:rsid w:val="009A4BBD"/>
    <w:rsid w:val="009B2BF6"/>
    <w:rsid w:val="009C1CF4"/>
    <w:rsid w:val="009C1DFF"/>
    <w:rsid w:val="009D36C0"/>
    <w:rsid w:val="009D4166"/>
    <w:rsid w:val="009D668F"/>
    <w:rsid w:val="009E367D"/>
    <w:rsid w:val="009F0CDE"/>
    <w:rsid w:val="009F3E5B"/>
    <w:rsid w:val="00A10311"/>
    <w:rsid w:val="00A1180F"/>
    <w:rsid w:val="00A12348"/>
    <w:rsid w:val="00A23D9C"/>
    <w:rsid w:val="00A30446"/>
    <w:rsid w:val="00A31C59"/>
    <w:rsid w:val="00A37124"/>
    <w:rsid w:val="00A43548"/>
    <w:rsid w:val="00A46D53"/>
    <w:rsid w:val="00A54C91"/>
    <w:rsid w:val="00A60CE4"/>
    <w:rsid w:val="00A63B1B"/>
    <w:rsid w:val="00A6436E"/>
    <w:rsid w:val="00A6629D"/>
    <w:rsid w:val="00A67763"/>
    <w:rsid w:val="00A67AE5"/>
    <w:rsid w:val="00A725DD"/>
    <w:rsid w:val="00A82DA8"/>
    <w:rsid w:val="00A900DE"/>
    <w:rsid w:val="00A907C3"/>
    <w:rsid w:val="00A95F35"/>
    <w:rsid w:val="00A97887"/>
    <w:rsid w:val="00AA2BFB"/>
    <w:rsid w:val="00AA7ADA"/>
    <w:rsid w:val="00AB6876"/>
    <w:rsid w:val="00AC1AA0"/>
    <w:rsid w:val="00AC49CB"/>
    <w:rsid w:val="00AC564D"/>
    <w:rsid w:val="00AD4D2C"/>
    <w:rsid w:val="00AD5C40"/>
    <w:rsid w:val="00AE0916"/>
    <w:rsid w:val="00AE380E"/>
    <w:rsid w:val="00AE3F6A"/>
    <w:rsid w:val="00AE6CA4"/>
    <w:rsid w:val="00AF6A5A"/>
    <w:rsid w:val="00B01D71"/>
    <w:rsid w:val="00B030A3"/>
    <w:rsid w:val="00B07C1E"/>
    <w:rsid w:val="00B11221"/>
    <w:rsid w:val="00B130EC"/>
    <w:rsid w:val="00B13FA4"/>
    <w:rsid w:val="00B31D15"/>
    <w:rsid w:val="00B4013C"/>
    <w:rsid w:val="00B43DAE"/>
    <w:rsid w:val="00B51855"/>
    <w:rsid w:val="00B642B2"/>
    <w:rsid w:val="00B66CB8"/>
    <w:rsid w:val="00B72085"/>
    <w:rsid w:val="00B720A6"/>
    <w:rsid w:val="00B72914"/>
    <w:rsid w:val="00B7356E"/>
    <w:rsid w:val="00B73EBD"/>
    <w:rsid w:val="00B76CBE"/>
    <w:rsid w:val="00B76E7B"/>
    <w:rsid w:val="00B8586B"/>
    <w:rsid w:val="00B90BF6"/>
    <w:rsid w:val="00BA0102"/>
    <w:rsid w:val="00BA13EB"/>
    <w:rsid w:val="00BA5A96"/>
    <w:rsid w:val="00BA6035"/>
    <w:rsid w:val="00BA7E52"/>
    <w:rsid w:val="00BB01D8"/>
    <w:rsid w:val="00BB4199"/>
    <w:rsid w:val="00BB4370"/>
    <w:rsid w:val="00BC7CA8"/>
    <w:rsid w:val="00BD1671"/>
    <w:rsid w:val="00BD234A"/>
    <w:rsid w:val="00BD255E"/>
    <w:rsid w:val="00BD3103"/>
    <w:rsid w:val="00BE44D3"/>
    <w:rsid w:val="00BE676D"/>
    <w:rsid w:val="00BE6844"/>
    <w:rsid w:val="00BF1452"/>
    <w:rsid w:val="00BF1743"/>
    <w:rsid w:val="00BF2497"/>
    <w:rsid w:val="00BF2B06"/>
    <w:rsid w:val="00BF5483"/>
    <w:rsid w:val="00C02D7A"/>
    <w:rsid w:val="00C035C1"/>
    <w:rsid w:val="00C03C36"/>
    <w:rsid w:val="00C04D54"/>
    <w:rsid w:val="00C128F8"/>
    <w:rsid w:val="00C21D16"/>
    <w:rsid w:val="00C21F28"/>
    <w:rsid w:val="00C22BFF"/>
    <w:rsid w:val="00C24C3C"/>
    <w:rsid w:val="00C269B0"/>
    <w:rsid w:val="00C33333"/>
    <w:rsid w:val="00C33762"/>
    <w:rsid w:val="00C404C5"/>
    <w:rsid w:val="00C40A7E"/>
    <w:rsid w:val="00C42710"/>
    <w:rsid w:val="00C51387"/>
    <w:rsid w:val="00C6016B"/>
    <w:rsid w:val="00C60BA7"/>
    <w:rsid w:val="00C8027B"/>
    <w:rsid w:val="00C8098B"/>
    <w:rsid w:val="00C817E5"/>
    <w:rsid w:val="00C87BB8"/>
    <w:rsid w:val="00C901E1"/>
    <w:rsid w:val="00CA18B3"/>
    <w:rsid w:val="00CA1CF0"/>
    <w:rsid w:val="00CA4568"/>
    <w:rsid w:val="00CB3A98"/>
    <w:rsid w:val="00CB4423"/>
    <w:rsid w:val="00CC513B"/>
    <w:rsid w:val="00CD7CDE"/>
    <w:rsid w:val="00CE333B"/>
    <w:rsid w:val="00CE3F73"/>
    <w:rsid w:val="00CF0324"/>
    <w:rsid w:val="00CF1D9D"/>
    <w:rsid w:val="00CF3278"/>
    <w:rsid w:val="00D028D2"/>
    <w:rsid w:val="00D066D1"/>
    <w:rsid w:val="00D17A09"/>
    <w:rsid w:val="00D2199E"/>
    <w:rsid w:val="00D2261B"/>
    <w:rsid w:val="00D22EF5"/>
    <w:rsid w:val="00D2594F"/>
    <w:rsid w:val="00D26584"/>
    <w:rsid w:val="00D269BC"/>
    <w:rsid w:val="00D30289"/>
    <w:rsid w:val="00D314FB"/>
    <w:rsid w:val="00D44EC3"/>
    <w:rsid w:val="00D459A9"/>
    <w:rsid w:val="00D57392"/>
    <w:rsid w:val="00D609D4"/>
    <w:rsid w:val="00D7626E"/>
    <w:rsid w:val="00D82A55"/>
    <w:rsid w:val="00D85923"/>
    <w:rsid w:val="00D9646D"/>
    <w:rsid w:val="00DA148F"/>
    <w:rsid w:val="00DA1EBC"/>
    <w:rsid w:val="00DB06E8"/>
    <w:rsid w:val="00DB0F18"/>
    <w:rsid w:val="00DB4401"/>
    <w:rsid w:val="00DC3B03"/>
    <w:rsid w:val="00DD208D"/>
    <w:rsid w:val="00DD3D5A"/>
    <w:rsid w:val="00DE34AF"/>
    <w:rsid w:val="00DF240A"/>
    <w:rsid w:val="00DF66CC"/>
    <w:rsid w:val="00DF6EF7"/>
    <w:rsid w:val="00E0315F"/>
    <w:rsid w:val="00E0341B"/>
    <w:rsid w:val="00E06349"/>
    <w:rsid w:val="00E12E9D"/>
    <w:rsid w:val="00E13287"/>
    <w:rsid w:val="00E13DB5"/>
    <w:rsid w:val="00E20BA1"/>
    <w:rsid w:val="00E223E8"/>
    <w:rsid w:val="00E2455B"/>
    <w:rsid w:val="00E35B55"/>
    <w:rsid w:val="00E35E90"/>
    <w:rsid w:val="00E454E1"/>
    <w:rsid w:val="00E47C0D"/>
    <w:rsid w:val="00E55C9F"/>
    <w:rsid w:val="00E57BC5"/>
    <w:rsid w:val="00E637F4"/>
    <w:rsid w:val="00E70518"/>
    <w:rsid w:val="00E7392E"/>
    <w:rsid w:val="00E86DE4"/>
    <w:rsid w:val="00E875BD"/>
    <w:rsid w:val="00E9320D"/>
    <w:rsid w:val="00E9389A"/>
    <w:rsid w:val="00EA1864"/>
    <w:rsid w:val="00EA36B3"/>
    <w:rsid w:val="00EA5660"/>
    <w:rsid w:val="00EA5BEA"/>
    <w:rsid w:val="00EA6286"/>
    <w:rsid w:val="00EA6992"/>
    <w:rsid w:val="00EB4249"/>
    <w:rsid w:val="00EB4525"/>
    <w:rsid w:val="00EC0042"/>
    <w:rsid w:val="00EC0BC8"/>
    <w:rsid w:val="00EC0BC9"/>
    <w:rsid w:val="00EC1459"/>
    <w:rsid w:val="00ED661B"/>
    <w:rsid w:val="00EE07FA"/>
    <w:rsid w:val="00EE628D"/>
    <w:rsid w:val="00EE7EBF"/>
    <w:rsid w:val="00EF5FD9"/>
    <w:rsid w:val="00EF623E"/>
    <w:rsid w:val="00F03B52"/>
    <w:rsid w:val="00F03C02"/>
    <w:rsid w:val="00F05BB0"/>
    <w:rsid w:val="00F0691D"/>
    <w:rsid w:val="00F20BC8"/>
    <w:rsid w:val="00F27594"/>
    <w:rsid w:val="00F320CC"/>
    <w:rsid w:val="00F32E03"/>
    <w:rsid w:val="00F42060"/>
    <w:rsid w:val="00F44F9C"/>
    <w:rsid w:val="00F457CC"/>
    <w:rsid w:val="00F47155"/>
    <w:rsid w:val="00F476D7"/>
    <w:rsid w:val="00F50285"/>
    <w:rsid w:val="00F51058"/>
    <w:rsid w:val="00F5799C"/>
    <w:rsid w:val="00F604B0"/>
    <w:rsid w:val="00F72ACA"/>
    <w:rsid w:val="00F7309A"/>
    <w:rsid w:val="00F76889"/>
    <w:rsid w:val="00F83A48"/>
    <w:rsid w:val="00F83E2B"/>
    <w:rsid w:val="00F91DD8"/>
    <w:rsid w:val="00FA7744"/>
    <w:rsid w:val="00FB002C"/>
    <w:rsid w:val="00FB2A83"/>
    <w:rsid w:val="00FB3B69"/>
    <w:rsid w:val="00FB656C"/>
    <w:rsid w:val="00FB6D61"/>
    <w:rsid w:val="00FC20B7"/>
    <w:rsid w:val="00FC3996"/>
    <w:rsid w:val="00FD4A7A"/>
    <w:rsid w:val="00FE2660"/>
    <w:rsid w:val="00FE4C2C"/>
    <w:rsid w:val="00FF586C"/>
    <w:rsid w:val="00FF5EBD"/>
    <w:rsid w:val="00FF66D1"/>
    <w:rsid w:val="01021094"/>
    <w:rsid w:val="016D7723"/>
    <w:rsid w:val="01790AD9"/>
    <w:rsid w:val="01805223"/>
    <w:rsid w:val="01CA0B33"/>
    <w:rsid w:val="01D95951"/>
    <w:rsid w:val="01EA4C52"/>
    <w:rsid w:val="01FB48A4"/>
    <w:rsid w:val="027D5C40"/>
    <w:rsid w:val="02B14781"/>
    <w:rsid w:val="03F40B0B"/>
    <w:rsid w:val="04082143"/>
    <w:rsid w:val="041E263F"/>
    <w:rsid w:val="046554F3"/>
    <w:rsid w:val="0469763D"/>
    <w:rsid w:val="04E220D1"/>
    <w:rsid w:val="04F50394"/>
    <w:rsid w:val="050B6661"/>
    <w:rsid w:val="051C342F"/>
    <w:rsid w:val="05A04024"/>
    <w:rsid w:val="05A434F1"/>
    <w:rsid w:val="06256BCF"/>
    <w:rsid w:val="064E06A4"/>
    <w:rsid w:val="067B48EA"/>
    <w:rsid w:val="069738E4"/>
    <w:rsid w:val="06B07C4D"/>
    <w:rsid w:val="06B465B7"/>
    <w:rsid w:val="06B569B6"/>
    <w:rsid w:val="06ED3B1C"/>
    <w:rsid w:val="07572B98"/>
    <w:rsid w:val="07927A80"/>
    <w:rsid w:val="07AF43E8"/>
    <w:rsid w:val="07C85B93"/>
    <w:rsid w:val="07D151AA"/>
    <w:rsid w:val="07ED3417"/>
    <w:rsid w:val="08027BA7"/>
    <w:rsid w:val="08474605"/>
    <w:rsid w:val="085379A4"/>
    <w:rsid w:val="08676FAF"/>
    <w:rsid w:val="08C605E0"/>
    <w:rsid w:val="08CC3F42"/>
    <w:rsid w:val="08F23321"/>
    <w:rsid w:val="09076062"/>
    <w:rsid w:val="09D328AF"/>
    <w:rsid w:val="09FE3852"/>
    <w:rsid w:val="0A1447F7"/>
    <w:rsid w:val="0A975F47"/>
    <w:rsid w:val="0AA150CD"/>
    <w:rsid w:val="0AB87521"/>
    <w:rsid w:val="0AD53E7E"/>
    <w:rsid w:val="0AD8497F"/>
    <w:rsid w:val="0B37005B"/>
    <w:rsid w:val="0B690133"/>
    <w:rsid w:val="0B7D34FB"/>
    <w:rsid w:val="0C080AD5"/>
    <w:rsid w:val="0C132F61"/>
    <w:rsid w:val="0C174618"/>
    <w:rsid w:val="0C2D77C6"/>
    <w:rsid w:val="0C3D6E6B"/>
    <w:rsid w:val="0CB36150"/>
    <w:rsid w:val="0CF5549F"/>
    <w:rsid w:val="0D193396"/>
    <w:rsid w:val="0DB12D96"/>
    <w:rsid w:val="0E076386"/>
    <w:rsid w:val="0E660C05"/>
    <w:rsid w:val="0F35547F"/>
    <w:rsid w:val="0F55458E"/>
    <w:rsid w:val="0FBE719D"/>
    <w:rsid w:val="0FFF5595"/>
    <w:rsid w:val="11073F19"/>
    <w:rsid w:val="117A3601"/>
    <w:rsid w:val="117C6435"/>
    <w:rsid w:val="11920FEA"/>
    <w:rsid w:val="11AD1FFA"/>
    <w:rsid w:val="11D4745D"/>
    <w:rsid w:val="120D6101"/>
    <w:rsid w:val="12317617"/>
    <w:rsid w:val="124144E7"/>
    <w:rsid w:val="124702BC"/>
    <w:rsid w:val="126A11B6"/>
    <w:rsid w:val="12B72BFB"/>
    <w:rsid w:val="12D45631"/>
    <w:rsid w:val="12D803B6"/>
    <w:rsid w:val="12E623B1"/>
    <w:rsid w:val="12F33049"/>
    <w:rsid w:val="13212EF5"/>
    <w:rsid w:val="137D79EB"/>
    <w:rsid w:val="141A7E92"/>
    <w:rsid w:val="14AF764B"/>
    <w:rsid w:val="14BD2D29"/>
    <w:rsid w:val="154F5DA1"/>
    <w:rsid w:val="157C0486"/>
    <w:rsid w:val="15A33CB4"/>
    <w:rsid w:val="15FC5139"/>
    <w:rsid w:val="161103F3"/>
    <w:rsid w:val="16674F83"/>
    <w:rsid w:val="1675368F"/>
    <w:rsid w:val="16855EF5"/>
    <w:rsid w:val="182F15F3"/>
    <w:rsid w:val="18BD0D8B"/>
    <w:rsid w:val="18F60BE4"/>
    <w:rsid w:val="190D6541"/>
    <w:rsid w:val="191401B2"/>
    <w:rsid w:val="191B2775"/>
    <w:rsid w:val="19246166"/>
    <w:rsid w:val="196066C9"/>
    <w:rsid w:val="197267FA"/>
    <w:rsid w:val="19AD4290"/>
    <w:rsid w:val="19BC4972"/>
    <w:rsid w:val="19FB4549"/>
    <w:rsid w:val="1A5711F3"/>
    <w:rsid w:val="1A77355B"/>
    <w:rsid w:val="1AAE00D3"/>
    <w:rsid w:val="1BA56F67"/>
    <w:rsid w:val="1C614829"/>
    <w:rsid w:val="1CA76040"/>
    <w:rsid w:val="1CE07536"/>
    <w:rsid w:val="1D372595"/>
    <w:rsid w:val="1D6C62F0"/>
    <w:rsid w:val="1DAD27D8"/>
    <w:rsid w:val="1DDB572A"/>
    <w:rsid w:val="1E064063"/>
    <w:rsid w:val="1E09162A"/>
    <w:rsid w:val="1E2C13C1"/>
    <w:rsid w:val="1E3E6FBF"/>
    <w:rsid w:val="1EA21FA7"/>
    <w:rsid w:val="1EBF6BBB"/>
    <w:rsid w:val="1ED35B41"/>
    <w:rsid w:val="1EE85FCC"/>
    <w:rsid w:val="1F642B22"/>
    <w:rsid w:val="1FA2250E"/>
    <w:rsid w:val="1FC50A0D"/>
    <w:rsid w:val="1FD368D8"/>
    <w:rsid w:val="1FF07FDC"/>
    <w:rsid w:val="2049507A"/>
    <w:rsid w:val="205D3825"/>
    <w:rsid w:val="209D2C18"/>
    <w:rsid w:val="20A502E1"/>
    <w:rsid w:val="20CE4219"/>
    <w:rsid w:val="212D579A"/>
    <w:rsid w:val="214976C0"/>
    <w:rsid w:val="215C491E"/>
    <w:rsid w:val="21AE07DF"/>
    <w:rsid w:val="21AF2EFF"/>
    <w:rsid w:val="21D95588"/>
    <w:rsid w:val="221D7711"/>
    <w:rsid w:val="22521158"/>
    <w:rsid w:val="225A33A0"/>
    <w:rsid w:val="22614E71"/>
    <w:rsid w:val="227D52A3"/>
    <w:rsid w:val="22AB3BEB"/>
    <w:rsid w:val="22C94C2C"/>
    <w:rsid w:val="230D433C"/>
    <w:rsid w:val="232E5022"/>
    <w:rsid w:val="236164A0"/>
    <w:rsid w:val="239D4C64"/>
    <w:rsid w:val="23BC5492"/>
    <w:rsid w:val="23C72F97"/>
    <w:rsid w:val="23FE3057"/>
    <w:rsid w:val="243811EA"/>
    <w:rsid w:val="24620B34"/>
    <w:rsid w:val="249A178C"/>
    <w:rsid w:val="24A51FCA"/>
    <w:rsid w:val="24DB51E1"/>
    <w:rsid w:val="24F83518"/>
    <w:rsid w:val="25450F9C"/>
    <w:rsid w:val="25536518"/>
    <w:rsid w:val="25824282"/>
    <w:rsid w:val="25C30591"/>
    <w:rsid w:val="260B3695"/>
    <w:rsid w:val="263621D9"/>
    <w:rsid w:val="26744954"/>
    <w:rsid w:val="268128A8"/>
    <w:rsid w:val="27004CA0"/>
    <w:rsid w:val="272146F0"/>
    <w:rsid w:val="273300AF"/>
    <w:rsid w:val="27BD18F4"/>
    <w:rsid w:val="28652BCB"/>
    <w:rsid w:val="28B40E89"/>
    <w:rsid w:val="29055BE8"/>
    <w:rsid w:val="293A353A"/>
    <w:rsid w:val="294D62E2"/>
    <w:rsid w:val="29B94821"/>
    <w:rsid w:val="2A0305DE"/>
    <w:rsid w:val="2A545252"/>
    <w:rsid w:val="2A811E1E"/>
    <w:rsid w:val="2A825C24"/>
    <w:rsid w:val="2A9A558F"/>
    <w:rsid w:val="2AE943C7"/>
    <w:rsid w:val="2AF177F9"/>
    <w:rsid w:val="2B2239E9"/>
    <w:rsid w:val="2B407425"/>
    <w:rsid w:val="2BC707B3"/>
    <w:rsid w:val="2BD934FD"/>
    <w:rsid w:val="2C4F21F7"/>
    <w:rsid w:val="2CB12996"/>
    <w:rsid w:val="2CFC1CC4"/>
    <w:rsid w:val="2D201D34"/>
    <w:rsid w:val="2D8C697F"/>
    <w:rsid w:val="2DDD086A"/>
    <w:rsid w:val="2E3778B9"/>
    <w:rsid w:val="2E4C57E3"/>
    <w:rsid w:val="2E6338DF"/>
    <w:rsid w:val="2E7A61E1"/>
    <w:rsid w:val="2E7C0346"/>
    <w:rsid w:val="2E936D1A"/>
    <w:rsid w:val="2E9C72D5"/>
    <w:rsid w:val="2EB90887"/>
    <w:rsid w:val="2EC13FA8"/>
    <w:rsid w:val="2EEA2A2C"/>
    <w:rsid w:val="2F0C6C63"/>
    <w:rsid w:val="2F6A3C0F"/>
    <w:rsid w:val="2F833390"/>
    <w:rsid w:val="2FD75727"/>
    <w:rsid w:val="2FF335CC"/>
    <w:rsid w:val="306F722C"/>
    <w:rsid w:val="30710B10"/>
    <w:rsid w:val="30883624"/>
    <w:rsid w:val="312373BE"/>
    <w:rsid w:val="318A630B"/>
    <w:rsid w:val="31943EFE"/>
    <w:rsid w:val="31FB0EA1"/>
    <w:rsid w:val="322D3BD0"/>
    <w:rsid w:val="32552CA4"/>
    <w:rsid w:val="325B3B5B"/>
    <w:rsid w:val="32A606E6"/>
    <w:rsid w:val="331C2212"/>
    <w:rsid w:val="33243F85"/>
    <w:rsid w:val="33922C82"/>
    <w:rsid w:val="3398324B"/>
    <w:rsid w:val="339D29C1"/>
    <w:rsid w:val="34255A5B"/>
    <w:rsid w:val="34BA5625"/>
    <w:rsid w:val="34BD2A27"/>
    <w:rsid w:val="34DB6175"/>
    <w:rsid w:val="34F9204F"/>
    <w:rsid w:val="35784535"/>
    <w:rsid w:val="35976D3B"/>
    <w:rsid w:val="35F23F4E"/>
    <w:rsid w:val="35F64042"/>
    <w:rsid w:val="362F3F71"/>
    <w:rsid w:val="36764892"/>
    <w:rsid w:val="36896F37"/>
    <w:rsid w:val="36D80A45"/>
    <w:rsid w:val="37502835"/>
    <w:rsid w:val="375C3D81"/>
    <w:rsid w:val="378C0BB9"/>
    <w:rsid w:val="37AF4CE7"/>
    <w:rsid w:val="37D12FD5"/>
    <w:rsid w:val="37E140C6"/>
    <w:rsid w:val="3812452E"/>
    <w:rsid w:val="38473188"/>
    <w:rsid w:val="38881470"/>
    <w:rsid w:val="389163B8"/>
    <w:rsid w:val="38A020FB"/>
    <w:rsid w:val="38A968F5"/>
    <w:rsid w:val="38B01A5E"/>
    <w:rsid w:val="38C211EC"/>
    <w:rsid w:val="38DB4914"/>
    <w:rsid w:val="391263E7"/>
    <w:rsid w:val="398C3DFF"/>
    <w:rsid w:val="39D553ED"/>
    <w:rsid w:val="3A3C74D7"/>
    <w:rsid w:val="3A784CF1"/>
    <w:rsid w:val="3AAE727E"/>
    <w:rsid w:val="3B0E43DD"/>
    <w:rsid w:val="3B9E6B4C"/>
    <w:rsid w:val="3BF83840"/>
    <w:rsid w:val="3C012C74"/>
    <w:rsid w:val="3C2D137C"/>
    <w:rsid w:val="3C337289"/>
    <w:rsid w:val="3C3417D1"/>
    <w:rsid w:val="3C392377"/>
    <w:rsid w:val="3CB65091"/>
    <w:rsid w:val="3CBB00A5"/>
    <w:rsid w:val="3CC44DE0"/>
    <w:rsid w:val="3CFC10AC"/>
    <w:rsid w:val="3D2A6DFA"/>
    <w:rsid w:val="3D4D2F00"/>
    <w:rsid w:val="3D570D7C"/>
    <w:rsid w:val="3DB40CB8"/>
    <w:rsid w:val="3DC4050A"/>
    <w:rsid w:val="3E282C82"/>
    <w:rsid w:val="3E3E07E3"/>
    <w:rsid w:val="3EA67D5F"/>
    <w:rsid w:val="3EDD07A8"/>
    <w:rsid w:val="3EFD1D40"/>
    <w:rsid w:val="3F0F09D8"/>
    <w:rsid w:val="3F5150C5"/>
    <w:rsid w:val="3F7C7EBE"/>
    <w:rsid w:val="3FD41FB6"/>
    <w:rsid w:val="3FE960BF"/>
    <w:rsid w:val="3FFC0393"/>
    <w:rsid w:val="400C0149"/>
    <w:rsid w:val="412443FB"/>
    <w:rsid w:val="41765975"/>
    <w:rsid w:val="41BC1C9B"/>
    <w:rsid w:val="425C4FB1"/>
    <w:rsid w:val="42C245E4"/>
    <w:rsid w:val="42C95E08"/>
    <w:rsid w:val="433F6DD1"/>
    <w:rsid w:val="43400D1A"/>
    <w:rsid w:val="43A0304D"/>
    <w:rsid w:val="444A1F0B"/>
    <w:rsid w:val="446F65AC"/>
    <w:rsid w:val="44926D5D"/>
    <w:rsid w:val="44B07254"/>
    <w:rsid w:val="44BE0921"/>
    <w:rsid w:val="44D03153"/>
    <w:rsid w:val="44F87EAD"/>
    <w:rsid w:val="45053F4D"/>
    <w:rsid w:val="45534EA2"/>
    <w:rsid w:val="455D44EC"/>
    <w:rsid w:val="461F306C"/>
    <w:rsid w:val="46416C29"/>
    <w:rsid w:val="466248A6"/>
    <w:rsid w:val="46864226"/>
    <w:rsid w:val="46C07C4C"/>
    <w:rsid w:val="472B2D94"/>
    <w:rsid w:val="47441BF2"/>
    <w:rsid w:val="474A07B4"/>
    <w:rsid w:val="47D83900"/>
    <w:rsid w:val="485023CA"/>
    <w:rsid w:val="487248F3"/>
    <w:rsid w:val="48D53F0A"/>
    <w:rsid w:val="492C2BE3"/>
    <w:rsid w:val="497173A6"/>
    <w:rsid w:val="499E0BD7"/>
    <w:rsid w:val="49A52363"/>
    <w:rsid w:val="49E307DA"/>
    <w:rsid w:val="4A0B3732"/>
    <w:rsid w:val="4A122160"/>
    <w:rsid w:val="4A942EFE"/>
    <w:rsid w:val="4AAC4B68"/>
    <w:rsid w:val="4AD405D7"/>
    <w:rsid w:val="4B1F4BF8"/>
    <w:rsid w:val="4B3D7376"/>
    <w:rsid w:val="4B88775A"/>
    <w:rsid w:val="4BAE4EA6"/>
    <w:rsid w:val="4BC444AE"/>
    <w:rsid w:val="4BEB703E"/>
    <w:rsid w:val="4BEF50DC"/>
    <w:rsid w:val="4C181498"/>
    <w:rsid w:val="4C725EAD"/>
    <w:rsid w:val="4C9C53DC"/>
    <w:rsid w:val="4CA43D2D"/>
    <w:rsid w:val="4CDE0F1B"/>
    <w:rsid w:val="4D52311A"/>
    <w:rsid w:val="4D816CB1"/>
    <w:rsid w:val="4DAD1720"/>
    <w:rsid w:val="4DC43694"/>
    <w:rsid w:val="4E185162"/>
    <w:rsid w:val="4E3C15DA"/>
    <w:rsid w:val="4ECC1E2C"/>
    <w:rsid w:val="4F0631A5"/>
    <w:rsid w:val="4F433E4B"/>
    <w:rsid w:val="4F5214CE"/>
    <w:rsid w:val="4FA86F97"/>
    <w:rsid w:val="4FC26970"/>
    <w:rsid w:val="50335E7A"/>
    <w:rsid w:val="507C3513"/>
    <w:rsid w:val="50917265"/>
    <w:rsid w:val="50BE5ADC"/>
    <w:rsid w:val="51190719"/>
    <w:rsid w:val="513975A4"/>
    <w:rsid w:val="51411F75"/>
    <w:rsid w:val="5165628A"/>
    <w:rsid w:val="517B2984"/>
    <w:rsid w:val="518C2F88"/>
    <w:rsid w:val="51AD662E"/>
    <w:rsid w:val="52607FF9"/>
    <w:rsid w:val="53294953"/>
    <w:rsid w:val="533D2DF7"/>
    <w:rsid w:val="53511928"/>
    <w:rsid w:val="536F7C48"/>
    <w:rsid w:val="539C1AE3"/>
    <w:rsid w:val="53B92684"/>
    <w:rsid w:val="53CC0BBB"/>
    <w:rsid w:val="53E779DA"/>
    <w:rsid w:val="53F4642B"/>
    <w:rsid w:val="544B132E"/>
    <w:rsid w:val="54A351F4"/>
    <w:rsid w:val="54D21D02"/>
    <w:rsid w:val="54F62570"/>
    <w:rsid w:val="54F9273C"/>
    <w:rsid w:val="552C1044"/>
    <w:rsid w:val="557334DB"/>
    <w:rsid w:val="558926D2"/>
    <w:rsid w:val="55977CC9"/>
    <w:rsid w:val="55EF0851"/>
    <w:rsid w:val="55F1064B"/>
    <w:rsid w:val="563C4F40"/>
    <w:rsid w:val="569B7587"/>
    <w:rsid w:val="56B4452B"/>
    <w:rsid w:val="56B525A0"/>
    <w:rsid w:val="56D5723C"/>
    <w:rsid w:val="56EC3232"/>
    <w:rsid w:val="57255927"/>
    <w:rsid w:val="5758355C"/>
    <w:rsid w:val="57751F04"/>
    <w:rsid w:val="577669A3"/>
    <w:rsid w:val="5788776F"/>
    <w:rsid w:val="57D4062C"/>
    <w:rsid w:val="57E76309"/>
    <w:rsid w:val="585B5117"/>
    <w:rsid w:val="594B6B72"/>
    <w:rsid w:val="59583A4A"/>
    <w:rsid w:val="595F7B1C"/>
    <w:rsid w:val="59A42B4E"/>
    <w:rsid w:val="59FC2D73"/>
    <w:rsid w:val="5A080741"/>
    <w:rsid w:val="5A0B13F3"/>
    <w:rsid w:val="5A0F2366"/>
    <w:rsid w:val="5A1C6830"/>
    <w:rsid w:val="5A291A28"/>
    <w:rsid w:val="5A8D59CF"/>
    <w:rsid w:val="5A9D65AB"/>
    <w:rsid w:val="5B1B719B"/>
    <w:rsid w:val="5B4251BB"/>
    <w:rsid w:val="5B477E65"/>
    <w:rsid w:val="5BA129CE"/>
    <w:rsid w:val="5BAC006B"/>
    <w:rsid w:val="5C0002A3"/>
    <w:rsid w:val="5C017CDC"/>
    <w:rsid w:val="5C0F5FEB"/>
    <w:rsid w:val="5C761A55"/>
    <w:rsid w:val="5C826A02"/>
    <w:rsid w:val="5C9A79D1"/>
    <w:rsid w:val="5CB050E1"/>
    <w:rsid w:val="5CB66811"/>
    <w:rsid w:val="5CBC2D74"/>
    <w:rsid w:val="5D9D3FC6"/>
    <w:rsid w:val="5DA834AD"/>
    <w:rsid w:val="5DE46F9D"/>
    <w:rsid w:val="5DEB73AA"/>
    <w:rsid w:val="5DED7039"/>
    <w:rsid w:val="5DF53244"/>
    <w:rsid w:val="5E256E3F"/>
    <w:rsid w:val="5E742342"/>
    <w:rsid w:val="5EA92C74"/>
    <w:rsid w:val="5EDD07E6"/>
    <w:rsid w:val="5F374F24"/>
    <w:rsid w:val="5F3D7421"/>
    <w:rsid w:val="5F9A2B00"/>
    <w:rsid w:val="5FA078D9"/>
    <w:rsid w:val="5FB52333"/>
    <w:rsid w:val="5FF8644F"/>
    <w:rsid w:val="603D2207"/>
    <w:rsid w:val="604C4978"/>
    <w:rsid w:val="604E5758"/>
    <w:rsid w:val="60700FAB"/>
    <w:rsid w:val="61405951"/>
    <w:rsid w:val="619C00AC"/>
    <w:rsid w:val="61A050DE"/>
    <w:rsid w:val="61C92463"/>
    <w:rsid w:val="62431354"/>
    <w:rsid w:val="628979F0"/>
    <w:rsid w:val="62FC6EF4"/>
    <w:rsid w:val="63393468"/>
    <w:rsid w:val="635D67B3"/>
    <w:rsid w:val="63746DB1"/>
    <w:rsid w:val="63B06609"/>
    <w:rsid w:val="63E13364"/>
    <w:rsid w:val="64370C94"/>
    <w:rsid w:val="646805F0"/>
    <w:rsid w:val="646C02EC"/>
    <w:rsid w:val="64894C07"/>
    <w:rsid w:val="648E23CC"/>
    <w:rsid w:val="64AC1ED4"/>
    <w:rsid w:val="6593435C"/>
    <w:rsid w:val="6630389E"/>
    <w:rsid w:val="66371C77"/>
    <w:rsid w:val="6638385D"/>
    <w:rsid w:val="66B13A74"/>
    <w:rsid w:val="67487979"/>
    <w:rsid w:val="678A38D8"/>
    <w:rsid w:val="67C25D3D"/>
    <w:rsid w:val="682239F3"/>
    <w:rsid w:val="68301C3C"/>
    <w:rsid w:val="68F56E18"/>
    <w:rsid w:val="68FA7C11"/>
    <w:rsid w:val="691454AE"/>
    <w:rsid w:val="694B3CE5"/>
    <w:rsid w:val="697F0C2B"/>
    <w:rsid w:val="69BE786F"/>
    <w:rsid w:val="69F57CC3"/>
    <w:rsid w:val="69F963AE"/>
    <w:rsid w:val="6A82508F"/>
    <w:rsid w:val="6AA64735"/>
    <w:rsid w:val="6AC24019"/>
    <w:rsid w:val="6ADC3089"/>
    <w:rsid w:val="6AF24886"/>
    <w:rsid w:val="6B3D6C60"/>
    <w:rsid w:val="6BC16BCF"/>
    <w:rsid w:val="6C7833CE"/>
    <w:rsid w:val="6C992F9A"/>
    <w:rsid w:val="6D106B2C"/>
    <w:rsid w:val="6D2C6FA7"/>
    <w:rsid w:val="6DA01D6C"/>
    <w:rsid w:val="6E3D297C"/>
    <w:rsid w:val="6E494945"/>
    <w:rsid w:val="6E54206C"/>
    <w:rsid w:val="6F08045A"/>
    <w:rsid w:val="6F085346"/>
    <w:rsid w:val="6F3E0414"/>
    <w:rsid w:val="6FE763A8"/>
    <w:rsid w:val="70525D42"/>
    <w:rsid w:val="70CF4937"/>
    <w:rsid w:val="70FC052C"/>
    <w:rsid w:val="71395A23"/>
    <w:rsid w:val="71976757"/>
    <w:rsid w:val="71AA673A"/>
    <w:rsid w:val="71BA3FF3"/>
    <w:rsid w:val="71BE2151"/>
    <w:rsid w:val="71E41F32"/>
    <w:rsid w:val="722B5E25"/>
    <w:rsid w:val="723A01C1"/>
    <w:rsid w:val="724071D4"/>
    <w:rsid w:val="72414CAC"/>
    <w:rsid w:val="731B002C"/>
    <w:rsid w:val="73B86B69"/>
    <w:rsid w:val="73BC4A4C"/>
    <w:rsid w:val="73C5308F"/>
    <w:rsid w:val="73E82F84"/>
    <w:rsid w:val="73F66EBD"/>
    <w:rsid w:val="74235540"/>
    <w:rsid w:val="74563326"/>
    <w:rsid w:val="74627D7E"/>
    <w:rsid w:val="7463466C"/>
    <w:rsid w:val="74672AB4"/>
    <w:rsid w:val="749F164B"/>
    <w:rsid w:val="74A537E4"/>
    <w:rsid w:val="74D74870"/>
    <w:rsid w:val="74E76CDB"/>
    <w:rsid w:val="75570DC9"/>
    <w:rsid w:val="75604E93"/>
    <w:rsid w:val="7583635B"/>
    <w:rsid w:val="75AE3D7D"/>
    <w:rsid w:val="76074761"/>
    <w:rsid w:val="760F469C"/>
    <w:rsid w:val="7618517F"/>
    <w:rsid w:val="761D7286"/>
    <w:rsid w:val="76586AC0"/>
    <w:rsid w:val="76CF1B29"/>
    <w:rsid w:val="76D404FA"/>
    <w:rsid w:val="77692CC8"/>
    <w:rsid w:val="77A3720D"/>
    <w:rsid w:val="77D925BA"/>
    <w:rsid w:val="785C10BA"/>
    <w:rsid w:val="78CE1B28"/>
    <w:rsid w:val="78EA71D0"/>
    <w:rsid w:val="79F564A6"/>
    <w:rsid w:val="7A057CCF"/>
    <w:rsid w:val="7A7B40CD"/>
    <w:rsid w:val="7AA6211F"/>
    <w:rsid w:val="7AB102AF"/>
    <w:rsid w:val="7AC909B7"/>
    <w:rsid w:val="7AF54336"/>
    <w:rsid w:val="7B0021CC"/>
    <w:rsid w:val="7B3C549C"/>
    <w:rsid w:val="7B9F45BD"/>
    <w:rsid w:val="7D077C20"/>
    <w:rsid w:val="7D394BB3"/>
    <w:rsid w:val="7D4155A6"/>
    <w:rsid w:val="7D443A69"/>
    <w:rsid w:val="7D463597"/>
    <w:rsid w:val="7D713990"/>
    <w:rsid w:val="7D7B6100"/>
    <w:rsid w:val="7DC264AD"/>
    <w:rsid w:val="7DE50C72"/>
    <w:rsid w:val="7DED5A62"/>
    <w:rsid w:val="7DF96000"/>
    <w:rsid w:val="7DFB6B6E"/>
    <w:rsid w:val="7E201623"/>
    <w:rsid w:val="7E5232ED"/>
    <w:rsid w:val="7E642C27"/>
    <w:rsid w:val="7EB22406"/>
    <w:rsid w:val="7ECA2B50"/>
    <w:rsid w:val="7ED02E62"/>
    <w:rsid w:val="7EF7254F"/>
    <w:rsid w:val="7EFC6DF2"/>
    <w:rsid w:val="7F08725B"/>
    <w:rsid w:val="7F8B451C"/>
    <w:rsid w:val="7FF0373C"/>
    <w:rsid w:val="7FF81589"/>
    <w:rsid w:val="BD7D811E"/>
    <w:rsid w:val="DFFF2A4B"/>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qFormat="1" w:unhideWhenUsed="0" w:uiPriority="0" w:semiHidden="0" w:name="toc 5"/>
    <w:lsdException w:qFormat="1" w:uiPriority="39" w:semiHidden="0"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qFormat="1" w:unhideWhenUsed="0" w:uiPriority="0" w:semiHidden="0" w:name="List"/>
    <w:lsdException w:qFormat="1" w:uiPriority="99" w:semiHidden="0" w:name="List Bullet"/>
    <w:lsdException w:qFormat="1" w:unhideWhenUsed="0" w:uiPriority="0" w:semiHidden="0" w:name="List Number"/>
    <w:lsdException w:qFormat="1" w:unhideWhenUsed="0" w:uiPriority="0" w:semiHidden="0" w:name="List 2"/>
    <w:lsdException w:uiPriority="99" w:name="List 3"/>
    <w:lsdException w:uiPriority="99" w:name="List 4"/>
    <w:lsdException w:uiPriority="99" w:name="List 5"/>
    <w:lsdException w:qFormat="1" w:uiPriority="99" w:semiHidden="0" w:name="List Bullet 2"/>
    <w:lsdException w:uiPriority="99" w:name="List Bullet 3"/>
    <w:lsdException w:uiPriority="99" w:name="List Bullet 4"/>
    <w:lsdException w:uiPriority="99" w:name="List Bullet 5"/>
    <w:lsdException w:uiPriority="99" w:name="List Number 2"/>
    <w:lsdException w:qFormat="1" w:unhideWhenUsed="0" w:uiPriority="0" w:semiHidden="0"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qFormat="1"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szCs w:val="24"/>
      <w:lang w:val="en-US" w:eastAsia="zh-CN" w:bidi="ar-SA"/>
    </w:rPr>
  </w:style>
  <w:style w:type="paragraph" w:styleId="2">
    <w:name w:val="heading 1"/>
    <w:basedOn w:val="1"/>
    <w:next w:val="1"/>
    <w:link w:val="57"/>
    <w:qFormat/>
    <w:uiPriority w:val="0"/>
    <w:pPr>
      <w:keepNext/>
      <w:keepLines/>
      <w:spacing w:before="340" w:beforeLines="0" w:after="330" w:afterLines="0" w:line="576" w:lineRule="auto"/>
      <w:outlineLvl w:val="0"/>
    </w:pPr>
    <w:rPr>
      <w:b/>
      <w:bCs/>
      <w:kern w:val="44"/>
      <w:sz w:val="44"/>
      <w:szCs w:val="44"/>
    </w:rPr>
  </w:style>
  <w:style w:type="paragraph" w:styleId="3">
    <w:name w:val="heading 2"/>
    <w:basedOn w:val="1"/>
    <w:next w:val="1"/>
    <w:link w:val="83"/>
    <w:qFormat/>
    <w:uiPriority w:val="0"/>
    <w:pPr>
      <w:keepNext/>
      <w:keepLines/>
      <w:spacing w:before="260" w:beforeLines="0" w:after="260" w:afterLines="0" w:line="413" w:lineRule="auto"/>
      <w:outlineLvl w:val="1"/>
    </w:pPr>
    <w:rPr>
      <w:rFonts w:ascii="Arial" w:hAnsi="Arial" w:eastAsia="黑体"/>
      <w:b/>
      <w:bCs/>
      <w:sz w:val="32"/>
      <w:szCs w:val="32"/>
    </w:rPr>
  </w:style>
  <w:style w:type="paragraph" w:styleId="4">
    <w:name w:val="heading 3"/>
    <w:basedOn w:val="1"/>
    <w:next w:val="1"/>
    <w:link w:val="76"/>
    <w:qFormat/>
    <w:uiPriority w:val="0"/>
    <w:pPr>
      <w:keepNext/>
      <w:keepLines/>
      <w:spacing w:before="260" w:beforeLines="0" w:after="260" w:afterLines="0" w:line="413" w:lineRule="auto"/>
      <w:outlineLvl w:val="2"/>
    </w:pPr>
    <w:rPr>
      <w:b/>
      <w:bCs/>
      <w:sz w:val="32"/>
      <w:szCs w:val="32"/>
    </w:rPr>
  </w:style>
  <w:style w:type="paragraph" w:styleId="5">
    <w:name w:val="heading 4"/>
    <w:basedOn w:val="1"/>
    <w:next w:val="1"/>
    <w:link w:val="101"/>
    <w:qFormat/>
    <w:uiPriority w:val="0"/>
    <w:pPr>
      <w:keepNext/>
      <w:keepLines/>
      <w:spacing w:before="280" w:beforeLines="0" w:after="290" w:afterLines="0" w:line="372" w:lineRule="auto"/>
      <w:outlineLvl w:val="3"/>
    </w:pPr>
    <w:rPr>
      <w:rFonts w:ascii="Arial" w:hAnsi="Arial" w:eastAsia="黑体"/>
      <w:b/>
      <w:bCs/>
      <w:szCs w:val="28"/>
    </w:rPr>
  </w:style>
  <w:style w:type="paragraph" w:styleId="6">
    <w:name w:val="heading 5"/>
    <w:basedOn w:val="1"/>
    <w:next w:val="1"/>
    <w:link w:val="54"/>
    <w:qFormat/>
    <w:uiPriority w:val="0"/>
    <w:pPr>
      <w:keepNext/>
      <w:keepLines/>
      <w:widowControl/>
      <w:tabs>
        <w:tab w:val="left" w:pos="1008"/>
      </w:tabs>
      <w:spacing w:before="280" w:beforeLines="0" w:after="290" w:afterLines="0" w:line="372" w:lineRule="auto"/>
      <w:ind w:left="1008" w:hanging="1008"/>
      <w:jc w:val="left"/>
      <w:outlineLvl w:val="4"/>
    </w:pPr>
    <w:rPr>
      <w:b/>
      <w:bCs/>
      <w:kern w:val="0"/>
      <w:szCs w:val="28"/>
    </w:rPr>
  </w:style>
  <w:style w:type="paragraph" w:styleId="7">
    <w:name w:val="heading 6"/>
    <w:basedOn w:val="1"/>
    <w:next w:val="1"/>
    <w:link w:val="69"/>
    <w:qFormat/>
    <w:uiPriority w:val="0"/>
    <w:pPr>
      <w:keepNext/>
      <w:keepLines/>
      <w:widowControl/>
      <w:tabs>
        <w:tab w:val="left" w:pos="1440"/>
      </w:tabs>
      <w:spacing w:before="240" w:beforeLines="0" w:after="64" w:afterLines="0" w:line="317" w:lineRule="auto"/>
      <w:ind w:left="1152" w:hanging="1152"/>
      <w:jc w:val="left"/>
      <w:outlineLvl w:val="5"/>
    </w:pPr>
    <w:rPr>
      <w:rFonts w:ascii="Arial" w:hAnsi="Arial" w:eastAsia="黑体"/>
      <w:b/>
      <w:bCs/>
      <w:kern w:val="0"/>
      <w:sz w:val="24"/>
    </w:rPr>
  </w:style>
  <w:style w:type="paragraph" w:styleId="8">
    <w:name w:val="heading 7"/>
    <w:basedOn w:val="1"/>
    <w:next w:val="1"/>
    <w:link w:val="84"/>
    <w:qFormat/>
    <w:uiPriority w:val="0"/>
    <w:pPr>
      <w:keepNext/>
      <w:keepLines/>
      <w:widowControl/>
      <w:tabs>
        <w:tab w:val="left" w:pos="2520"/>
      </w:tabs>
      <w:spacing w:before="240" w:beforeLines="0" w:after="64" w:afterLines="0" w:line="317" w:lineRule="auto"/>
      <w:ind w:left="1296" w:hanging="1296"/>
      <w:jc w:val="left"/>
      <w:outlineLvl w:val="6"/>
    </w:pPr>
    <w:rPr>
      <w:b/>
      <w:bCs/>
      <w:kern w:val="0"/>
      <w:sz w:val="24"/>
    </w:rPr>
  </w:style>
  <w:style w:type="paragraph" w:styleId="9">
    <w:name w:val="heading 8"/>
    <w:basedOn w:val="1"/>
    <w:next w:val="1"/>
    <w:link w:val="85"/>
    <w:qFormat/>
    <w:uiPriority w:val="0"/>
    <w:pPr>
      <w:keepNext/>
      <w:keepLines/>
      <w:widowControl/>
      <w:tabs>
        <w:tab w:val="left" w:pos="1440"/>
      </w:tabs>
      <w:spacing w:before="240" w:beforeLines="0" w:after="64" w:afterLines="0" w:line="317" w:lineRule="auto"/>
      <w:ind w:left="1440" w:hanging="1440"/>
      <w:jc w:val="left"/>
      <w:outlineLvl w:val="7"/>
    </w:pPr>
    <w:rPr>
      <w:rFonts w:ascii="Arial" w:hAnsi="Arial" w:eastAsia="黑体"/>
      <w:kern w:val="0"/>
      <w:sz w:val="24"/>
    </w:rPr>
  </w:style>
  <w:style w:type="paragraph" w:styleId="10">
    <w:name w:val="heading 9"/>
    <w:basedOn w:val="1"/>
    <w:next w:val="1"/>
    <w:link w:val="91"/>
    <w:qFormat/>
    <w:uiPriority w:val="0"/>
    <w:pPr>
      <w:keepNext/>
      <w:keepLines/>
      <w:widowControl/>
      <w:tabs>
        <w:tab w:val="left" w:pos="1584"/>
      </w:tabs>
      <w:spacing w:before="240" w:beforeLines="0" w:after="64" w:afterLines="0" w:line="317" w:lineRule="auto"/>
      <w:ind w:left="1584" w:hanging="1584"/>
      <w:jc w:val="left"/>
      <w:outlineLvl w:val="8"/>
    </w:pPr>
    <w:rPr>
      <w:rFonts w:ascii="Arial" w:hAnsi="Arial" w:eastAsia="黑体"/>
      <w:kern w:val="0"/>
      <w:sz w:val="21"/>
      <w:szCs w:val="21"/>
    </w:rPr>
  </w:style>
  <w:style w:type="character" w:default="1" w:styleId="47">
    <w:name w:val="Default Paragraph Font"/>
    <w:qFormat/>
    <w:uiPriority w:val="0"/>
  </w:style>
  <w:style w:type="table" w:default="1" w:styleId="46">
    <w:name w:val="Normal Table"/>
    <w:unhideWhenUsed/>
    <w:qFormat/>
    <w:uiPriority w:val="99"/>
    <w:tblPr>
      <w:tblCellMar>
        <w:top w:w="0" w:type="dxa"/>
        <w:left w:w="108" w:type="dxa"/>
        <w:bottom w:w="0" w:type="dxa"/>
        <w:right w:w="108" w:type="dxa"/>
      </w:tblCellMar>
    </w:tblPr>
  </w:style>
  <w:style w:type="paragraph" w:styleId="11">
    <w:name w:val="List Number"/>
    <w:basedOn w:val="1"/>
    <w:qFormat/>
    <w:uiPriority w:val="0"/>
    <w:pPr>
      <w:widowControl/>
      <w:tabs>
        <w:tab w:val="left" w:pos="454"/>
        <w:tab w:val="left" w:pos="720"/>
        <w:tab w:val="left" w:pos="900"/>
      </w:tabs>
      <w:spacing w:after="156" w:afterLines="50"/>
      <w:ind w:left="454" w:hanging="284"/>
      <w:jc w:val="left"/>
    </w:pPr>
    <w:rPr>
      <w:kern w:val="0"/>
      <w:sz w:val="24"/>
      <w:szCs w:val="20"/>
    </w:rPr>
  </w:style>
  <w:style w:type="paragraph" w:styleId="12">
    <w:name w:val="Normal Indent"/>
    <w:basedOn w:val="1"/>
    <w:link w:val="56"/>
    <w:qFormat/>
    <w:uiPriority w:val="0"/>
    <w:pPr>
      <w:ind w:firstLine="420"/>
    </w:pPr>
    <w:rPr>
      <w:sz w:val="21"/>
      <w:szCs w:val="20"/>
    </w:rPr>
  </w:style>
  <w:style w:type="paragraph" w:styleId="13">
    <w:name w:val="caption"/>
    <w:basedOn w:val="1"/>
    <w:next w:val="1"/>
    <w:qFormat/>
    <w:uiPriority w:val="0"/>
    <w:pPr>
      <w:spacing w:before="152" w:beforeLines="0" w:after="160" w:afterLines="0"/>
    </w:pPr>
    <w:rPr>
      <w:rFonts w:ascii="Arial" w:hAnsi="Arial" w:eastAsia="黑体" w:cs="Arial"/>
      <w:sz w:val="20"/>
      <w:szCs w:val="20"/>
    </w:rPr>
  </w:style>
  <w:style w:type="paragraph" w:styleId="14">
    <w:name w:val="List Bullet"/>
    <w:basedOn w:val="1"/>
    <w:next w:val="1"/>
    <w:unhideWhenUsed/>
    <w:qFormat/>
    <w:uiPriority w:val="99"/>
    <w:pPr>
      <w:numPr>
        <w:ilvl w:val="0"/>
        <w:numId w:val="1"/>
      </w:numPr>
    </w:pPr>
  </w:style>
  <w:style w:type="paragraph" w:styleId="15">
    <w:name w:val="Document Map"/>
    <w:basedOn w:val="1"/>
    <w:link w:val="70"/>
    <w:qFormat/>
    <w:uiPriority w:val="0"/>
    <w:pPr>
      <w:shd w:val="clear" w:color="auto" w:fill="000080"/>
    </w:pPr>
    <w:rPr>
      <w:kern w:val="0"/>
      <w:sz w:val="20"/>
      <w:shd w:val="clear" w:color="auto" w:fill="000080"/>
    </w:rPr>
  </w:style>
  <w:style w:type="paragraph" w:styleId="16">
    <w:name w:val="toa heading"/>
    <w:basedOn w:val="1"/>
    <w:next w:val="1"/>
    <w:qFormat/>
    <w:uiPriority w:val="0"/>
    <w:pPr>
      <w:spacing w:before="120" w:beforeLines="0"/>
    </w:pPr>
    <w:rPr>
      <w:rFonts w:ascii="Arial" w:hAnsi="Arial" w:cs="Arial"/>
      <w:sz w:val="24"/>
    </w:rPr>
  </w:style>
  <w:style w:type="paragraph" w:styleId="17">
    <w:name w:val="annotation text"/>
    <w:basedOn w:val="1"/>
    <w:link w:val="77"/>
    <w:qFormat/>
    <w:uiPriority w:val="0"/>
    <w:pPr>
      <w:jc w:val="left"/>
    </w:pPr>
    <w:rPr>
      <w:sz w:val="21"/>
    </w:rPr>
  </w:style>
  <w:style w:type="paragraph" w:styleId="18">
    <w:name w:val="Body Text 3"/>
    <w:basedOn w:val="1"/>
    <w:qFormat/>
    <w:uiPriority w:val="0"/>
    <w:pPr>
      <w:snapToGrid w:val="0"/>
      <w:spacing w:before="50" w:beforeLines="0" w:after="50" w:afterLines="0"/>
    </w:pPr>
    <w:rPr>
      <w:rFonts w:hAnsi="宋体" w:eastAsia="仿宋_GB2312"/>
      <w:b/>
      <w:bCs/>
      <w:sz w:val="24"/>
      <w:szCs w:val="20"/>
    </w:rPr>
  </w:style>
  <w:style w:type="paragraph" w:styleId="19">
    <w:name w:val="Body Text"/>
    <w:basedOn w:val="1"/>
    <w:next w:val="20"/>
    <w:link w:val="80"/>
    <w:qFormat/>
    <w:uiPriority w:val="0"/>
    <w:pPr>
      <w:spacing w:after="120" w:afterLines="0"/>
    </w:pPr>
  </w:style>
  <w:style w:type="paragraph" w:styleId="20">
    <w:name w:val="Body Text First Indent"/>
    <w:basedOn w:val="19"/>
    <w:next w:val="1"/>
    <w:unhideWhenUsed/>
    <w:qFormat/>
    <w:uiPriority w:val="0"/>
    <w:pPr>
      <w:widowControl w:val="0"/>
      <w:spacing w:after="120"/>
      <w:ind w:firstLine="420" w:firstLineChars="100"/>
      <w:jc w:val="both"/>
    </w:pPr>
    <w:rPr>
      <w:rFonts w:eastAsia="仿宋_GB2312"/>
      <w:kern w:val="2"/>
      <w:sz w:val="21"/>
      <w:szCs w:val="24"/>
      <w:lang w:val="en-US" w:eastAsia="zh-CN" w:bidi="ar-SA"/>
    </w:rPr>
  </w:style>
  <w:style w:type="paragraph" w:styleId="21">
    <w:name w:val="Body Text Indent"/>
    <w:basedOn w:val="1"/>
    <w:next w:val="1"/>
    <w:link w:val="98"/>
    <w:qFormat/>
    <w:uiPriority w:val="0"/>
    <w:pPr>
      <w:spacing w:line="200" w:lineRule="atLeast"/>
      <w:ind w:firstLine="301"/>
    </w:pPr>
    <w:rPr>
      <w:rFonts w:ascii="宋体" w:hAnsi="Courier New"/>
      <w:spacing w:val="-4"/>
      <w:sz w:val="18"/>
      <w:szCs w:val="20"/>
    </w:rPr>
  </w:style>
  <w:style w:type="paragraph" w:styleId="22">
    <w:name w:val="List Number 3"/>
    <w:basedOn w:val="1"/>
    <w:qFormat/>
    <w:uiPriority w:val="0"/>
    <w:pPr>
      <w:numPr>
        <w:ilvl w:val="0"/>
        <w:numId w:val="2"/>
      </w:numPr>
      <w:ind w:left="720"/>
    </w:pPr>
    <w:rPr>
      <w:sz w:val="21"/>
    </w:rPr>
  </w:style>
  <w:style w:type="paragraph" w:styleId="23">
    <w:name w:val="List 2"/>
    <w:basedOn w:val="1"/>
    <w:qFormat/>
    <w:uiPriority w:val="0"/>
    <w:pPr>
      <w:ind w:leftChars="200" w:hanging="200" w:hangingChars="200"/>
    </w:pPr>
  </w:style>
  <w:style w:type="paragraph" w:styleId="24">
    <w:name w:val="Block Text"/>
    <w:basedOn w:val="1"/>
    <w:qFormat/>
    <w:uiPriority w:val="0"/>
    <w:pPr>
      <w:autoSpaceDE w:val="0"/>
      <w:autoSpaceDN w:val="0"/>
      <w:adjustRightInd w:val="0"/>
      <w:spacing w:line="240" w:lineRule="atLeast"/>
      <w:ind w:left="1797" w:rightChars="857" w:firstLine="542" w:firstLineChars="226"/>
      <w:jc w:val="left"/>
    </w:pPr>
    <w:rPr>
      <w:rFonts w:hint="eastAsia" w:ascii="宋体"/>
      <w:color w:val="000000"/>
      <w:kern w:val="0"/>
      <w:sz w:val="24"/>
    </w:rPr>
  </w:style>
  <w:style w:type="paragraph" w:styleId="25">
    <w:name w:val="List Bullet 2"/>
    <w:basedOn w:val="1"/>
    <w:next w:val="14"/>
    <w:unhideWhenUsed/>
    <w:qFormat/>
    <w:uiPriority w:val="99"/>
    <w:pPr>
      <w:numPr>
        <w:ilvl w:val="0"/>
        <w:numId w:val="3"/>
      </w:numPr>
    </w:pPr>
  </w:style>
  <w:style w:type="paragraph" w:styleId="26">
    <w:name w:val="toc 5"/>
    <w:basedOn w:val="1"/>
    <w:next w:val="1"/>
    <w:qFormat/>
    <w:uiPriority w:val="0"/>
    <w:pPr>
      <w:ind w:left="840"/>
      <w:jc w:val="left"/>
    </w:pPr>
    <w:rPr>
      <w:sz w:val="18"/>
      <w:szCs w:val="18"/>
    </w:rPr>
  </w:style>
  <w:style w:type="paragraph" w:styleId="27">
    <w:name w:val="toc 3"/>
    <w:basedOn w:val="1"/>
    <w:next w:val="1"/>
    <w:qFormat/>
    <w:uiPriority w:val="0"/>
    <w:pPr>
      <w:ind w:left="840" w:leftChars="400"/>
    </w:pPr>
    <w:rPr>
      <w:sz w:val="21"/>
    </w:rPr>
  </w:style>
  <w:style w:type="paragraph" w:styleId="28">
    <w:name w:val="Plain Text"/>
    <w:basedOn w:val="1"/>
    <w:next w:val="1"/>
    <w:link w:val="61"/>
    <w:qFormat/>
    <w:uiPriority w:val="0"/>
    <w:pPr>
      <w:spacing w:before="156" w:beforeLines="50" w:after="156" w:afterLines="50" w:line="400" w:lineRule="atLeast"/>
    </w:pPr>
    <w:rPr>
      <w:rFonts w:ascii="宋体" w:hAnsi="Courier New"/>
      <w:sz w:val="24"/>
    </w:rPr>
  </w:style>
  <w:style w:type="paragraph" w:styleId="29">
    <w:name w:val="Date"/>
    <w:basedOn w:val="1"/>
    <w:next w:val="1"/>
    <w:qFormat/>
    <w:uiPriority w:val="0"/>
    <w:pPr>
      <w:ind w:leftChars="2500"/>
    </w:pPr>
    <w:rPr>
      <w:rFonts w:eastAsia="楷体_GB2312"/>
      <w:sz w:val="32"/>
      <w:szCs w:val="20"/>
    </w:rPr>
  </w:style>
  <w:style w:type="paragraph" w:styleId="30">
    <w:name w:val="Body Text Indent 2"/>
    <w:basedOn w:val="1"/>
    <w:qFormat/>
    <w:uiPriority w:val="0"/>
    <w:pPr>
      <w:snapToGrid w:val="0"/>
      <w:ind w:firstLine="542" w:firstLineChars="225"/>
    </w:pPr>
    <w:rPr>
      <w:rFonts w:ascii="仿宋_GB2312" w:hAnsi="宋体" w:cs="Arial"/>
      <w:b/>
      <w:bCs/>
      <w:color w:val="000000"/>
      <w:sz w:val="24"/>
    </w:rPr>
  </w:style>
  <w:style w:type="paragraph" w:styleId="31">
    <w:name w:val="Balloon Text"/>
    <w:basedOn w:val="1"/>
    <w:qFormat/>
    <w:uiPriority w:val="0"/>
    <w:rPr>
      <w:sz w:val="18"/>
      <w:szCs w:val="20"/>
    </w:rPr>
  </w:style>
  <w:style w:type="paragraph" w:styleId="32">
    <w:name w:val="footer"/>
    <w:basedOn w:val="1"/>
    <w:link w:val="81"/>
    <w:qFormat/>
    <w:uiPriority w:val="0"/>
    <w:pPr>
      <w:tabs>
        <w:tab w:val="center" w:pos="4153"/>
        <w:tab w:val="right" w:pos="8306"/>
      </w:tabs>
      <w:snapToGrid w:val="0"/>
      <w:jc w:val="left"/>
    </w:pPr>
    <w:rPr>
      <w:sz w:val="18"/>
      <w:szCs w:val="18"/>
    </w:rPr>
  </w:style>
  <w:style w:type="paragraph" w:styleId="33">
    <w:name w:val="header"/>
    <w:basedOn w:val="1"/>
    <w:link w:val="82"/>
    <w:qFormat/>
    <w:uiPriority w:val="0"/>
    <w:pPr>
      <w:pBdr>
        <w:bottom w:val="single" w:color="auto" w:sz="6" w:space="1"/>
      </w:pBdr>
      <w:tabs>
        <w:tab w:val="center" w:pos="4153"/>
        <w:tab w:val="right" w:pos="8306"/>
      </w:tabs>
      <w:snapToGrid w:val="0"/>
      <w:jc w:val="center"/>
    </w:pPr>
    <w:rPr>
      <w:sz w:val="18"/>
      <w:szCs w:val="18"/>
    </w:rPr>
  </w:style>
  <w:style w:type="paragraph" w:styleId="34">
    <w:name w:val="toc 1"/>
    <w:basedOn w:val="1"/>
    <w:next w:val="1"/>
    <w:qFormat/>
    <w:uiPriority w:val="0"/>
    <w:rPr>
      <w:sz w:val="21"/>
    </w:rPr>
  </w:style>
  <w:style w:type="paragraph" w:styleId="35">
    <w:name w:val="Subtitle"/>
    <w:basedOn w:val="1"/>
    <w:next w:val="1"/>
    <w:link w:val="62"/>
    <w:qFormat/>
    <w:uiPriority w:val="0"/>
    <w:pPr>
      <w:spacing w:before="240" w:beforeLines="0" w:after="60" w:afterLines="0" w:line="312" w:lineRule="auto"/>
      <w:jc w:val="center"/>
      <w:outlineLvl w:val="1"/>
    </w:pPr>
    <w:rPr>
      <w:rFonts w:ascii="Cambria" w:hAnsi="Cambria"/>
      <w:b/>
      <w:bCs/>
      <w:kern w:val="28"/>
      <w:sz w:val="32"/>
      <w:szCs w:val="32"/>
    </w:rPr>
  </w:style>
  <w:style w:type="paragraph" w:styleId="36">
    <w:name w:val="List"/>
    <w:basedOn w:val="1"/>
    <w:qFormat/>
    <w:uiPriority w:val="0"/>
    <w:pPr>
      <w:ind w:left="200" w:hanging="200" w:hangingChars="200"/>
    </w:pPr>
  </w:style>
  <w:style w:type="paragraph" w:styleId="37">
    <w:name w:val="footnote text"/>
    <w:basedOn w:val="1"/>
    <w:qFormat/>
    <w:uiPriority w:val="0"/>
    <w:pPr>
      <w:snapToGrid w:val="0"/>
      <w:jc w:val="left"/>
    </w:pPr>
    <w:rPr>
      <w:rFonts w:eastAsia="仿宋_GB2312"/>
      <w:sz w:val="18"/>
      <w:szCs w:val="20"/>
    </w:rPr>
  </w:style>
  <w:style w:type="paragraph" w:styleId="38">
    <w:name w:val="toc 6"/>
    <w:basedOn w:val="1"/>
    <w:next w:val="1"/>
    <w:unhideWhenUsed/>
    <w:qFormat/>
    <w:uiPriority w:val="39"/>
    <w:pPr>
      <w:ind w:left="2100" w:leftChars="1000"/>
    </w:pPr>
    <w:rPr>
      <w:rFonts w:ascii="Calibri" w:hAnsi="Calibri"/>
    </w:rPr>
  </w:style>
  <w:style w:type="paragraph" w:styleId="39">
    <w:name w:val="Body Text Indent 3"/>
    <w:basedOn w:val="1"/>
    <w:qFormat/>
    <w:uiPriority w:val="0"/>
    <w:pPr>
      <w:spacing w:after="120" w:afterLines="0"/>
      <w:ind w:left="420" w:leftChars="200"/>
    </w:pPr>
    <w:rPr>
      <w:sz w:val="16"/>
      <w:szCs w:val="16"/>
    </w:rPr>
  </w:style>
  <w:style w:type="paragraph" w:styleId="40">
    <w:name w:val="toc 2"/>
    <w:basedOn w:val="1"/>
    <w:next w:val="1"/>
    <w:qFormat/>
    <w:uiPriority w:val="0"/>
    <w:pPr>
      <w:tabs>
        <w:tab w:val="right" w:leader="dot" w:pos="8302"/>
      </w:tabs>
      <w:adjustRightInd w:val="0"/>
      <w:snapToGrid w:val="0"/>
      <w:spacing w:line="360" w:lineRule="exact"/>
      <w:ind w:left="210"/>
      <w:jc w:val="left"/>
    </w:pPr>
    <w:rPr>
      <w:smallCaps/>
      <w:color w:val="000000"/>
      <w:sz w:val="21"/>
      <w:szCs w:val="21"/>
    </w:rPr>
  </w:style>
  <w:style w:type="paragraph" w:styleId="41">
    <w:name w:val="Body Text 2"/>
    <w:basedOn w:val="1"/>
    <w:qFormat/>
    <w:uiPriority w:val="0"/>
    <w:pPr>
      <w:widowControl/>
      <w:snapToGrid w:val="0"/>
      <w:spacing w:before="50" w:beforeLines="0" w:after="156" w:afterLines="50" w:line="400" w:lineRule="atLeast"/>
      <w:jc w:val="left"/>
    </w:pPr>
    <w:rPr>
      <w:rFonts w:hint="eastAsia" w:ascii="宋体" w:hAnsi="宋体"/>
      <w:color w:val="000000"/>
      <w:sz w:val="24"/>
    </w:rPr>
  </w:style>
  <w:style w:type="paragraph" w:styleId="42">
    <w:name w:val="Normal (Web)"/>
    <w:basedOn w:val="1"/>
    <w:qFormat/>
    <w:uiPriority w:val="0"/>
    <w:pPr>
      <w:widowControl/>
      <w:spacing w:before="100" w:beforeLines="0" w:beforeAutospacing="1" w:after="100" w:afterLines="0" w:afterAutospacing="1"/>
      <w:jc w:val="left"/>
    </w:pPr>
    <w:rPr>
      <w:rFonts w:ascii="宋体" w:hAnsi="宋体"/>
      <w:color w:val="000000"/>
      <w:kern w:val="0"/>
      <w:sz w:val="24"/>
    </w:rPr>
  </w:style>
  <w:style w:type="paragraph" w:styleId="43">
    <w:name w:val="Title"/>
    <w:basedOn w:val="1"/>
    <w:next w:val="1"/>
    <w:link w:val="55"/>
    <w:qFormat/>
    <w:uiPriority w:val="0"/>
    <w:pPr>
      <w:spacing w:before="240" w:beforeLines="0" w:after="60" w:afterLines="0"/>
      <w:jc w:val="center"/>
      <w:outlineLvl w:val="0"/>
    </w:pPr>
    <w:rPr>
      <w:rFonts w:ascii="Arial" w:hAnsi="Arial" w:cs="Arial"/>
      <w:b/>
      <w:bCs/>
      <w:sz w:val="32"/>
      <w:szCs w:val="32"/>
    </w:rPr>
  </w:style>
  <w:style w:type="paragraph" w:styleId="44">
    <w:name w:val="annotation subject"/>
    <w:basedOn w:val="17"/>
    <w:next w:val="17"/>
    <w:link w:val="102"/>
    <w:qFormat/>
    <w:uiPriority w:val="0"/>
    <w:rPr>
      <w:rFonts w:ascii="宋体"/>
      <w:b/>
      <w:bCs/>
      <w:kern w:val="0"/>
      <w:sz w:val="28"/>
      <w:szCs w:val="20"/>
    </w:rPr>
  </w:style>
  <w:style w:type="paragraph" w:styleId="45">
    <w:name w:val="Body Text First Indent 2"/>
    <w:basedOn w:val="21"/>
    <w:next w:val="1"/>
    <w:qFormat/>
    <w:uiPriority w:val="0"/>
    <w:pPr>
      <w:spacing w:after="120" w:afterLines="0" w:afterAutospacing="0" w:line="240" w:lineRule="auto"/>
      <w:ind w:left="420" w:leftChars="200" w:firstLine="420" w:firstLineChars="200"/>
    </w:pPr>
    <w:rPr>
      <w:rFonts w:ascii="等线" w:hAnsi="等线" w:eastAsia="等线"/>
      <w:sz w:val="21"/>
    </w:rPr>
  </w:style>
  <w:style w:type="character" w:styleId="48">
    <w:name w:val="Strong"/>
    <w:qFormat/>
    <w:uiPriority w:val="0"/>
    <w:rPr>
      <w:b/>
      <w:bCs/>
    </w:rPr>
  </w:style>
  <w:style w:type="character" w:styleId="49">
    <w:name w:val="page number"/>
    <w:basedOn w:val="47"/>
    <w:qFormat/>
    <w:uiPriority w:val="0"/>
  </w:style>
  <w:style w:type="character" w:styleId="50">
    <w:name w:val="FollowedHyperlink"/>
    <w:qFormat/>
    <w:uiPriority w:val="0"/>
    <w:rPr>
      <w:color w:val="800080"/>
      <w:u w:val="single"/>
    </w:rPr>
  </w:style>
  <w:style w:type="character" w:styleId="51">
    <w:name w:val="Hyperlink"/>
    <w:qFormat/>
    <w:uiPriority w:val="0"/>
    <w:rPr>
      <w:color w:val="0000FF"/>
      <w:u w:val="single"/>
    </w:rPr>
  </w:style>
  <w:style w:type="character" w:styleId="52">
    <w:name w:val="annotation reference"/>
    <w:qFormat/>
    <w:uiPriority w:val="0"/>
    <w:rPr>
      <w:sz w:val="21"/>
      <w:szCs w:val="21"/>
    </w:rPr>
  </w:style>
  <w:style w:type="character" w:styleId="53">
    <w:name w:val="footnote reference"/>
    <w:qFormat/>
    <w:uiPriority w:val="0"/>
    <w:rPr>
      <w:vertAlign w:val="superscript"/>
    </w:rPr>
  </w:style>
  <w:style w:type="character" w:customStyle="1" w:styleId="54">
    <w:name w:val="标题 5 Char"/>
    <w:link w:val="6"/>
    <w:qFormat/>
    <w:uiPriority w:val="0"/>
    <w:rPr>
      <w:b/>
      <w:bCs/>
      <w:sz w:val="28"/>
      <w:szCs w:val="28"/>
    </w:rPr>
  </w:style>
  <w:style w:type="character" w:customStyle="1" w:styleId="55">
    <w:name w:val="标题 Char"/>
    <w:link w:val="43"/>
    <w:qFormat/>
    <w:uiPriority w:val="0"/>
    <w:rPr>
      <w:rFonts w:ascii="Arial" w:hAnsi="Arial" w:eastAsia="宋体" w:cs="Arial"/>
      <w:b/>
      <w:bCs/>
      <w:kern w:val="2"/>
      <w:sz w:val="32"/>
      <w:szCs w:val="32"/>
      <w:lang w:val="en-US" w:eastAsia="zh-CN" w:bidi="ar-SA"/>
    </w:rPr>
  </w:style>
  <w:style w:type="character" w:customStyle="1" w:styleId="56">
    <w:name w:val="正文缩进 Char"/>
    <w:link w:val="12"/>
    <w:qFormat/>
    <w:uiPriority w:val="0"/>
    <w:rPr>
      <w:rFonts w:eastAsia="宋体"/>
      <w:kern w:val="2"/>
      <w:sz w:val="21"/>
      <w:lang w:val="en-US" w:eastAsia="zh-CN" w:bidi="ar-SA"/>
    </w:rPr>
  </w:style>
  <w:style w:type="character" w:customStyle="1" w:styleId="57">
    <w:name w:val="标题 1 Char"/>
    <w:link w:val="2"/>
    <w:qFormat/>
    <w:uiPriority w:val="0"/>
    <w:rPr>
      <w:b/>
      <w:bCs/>
      <w:kern w:val="44"/>
      <w:sz w:val="44"/>
      <w:szCs w:val="44"/>
    </w:rPr>
  </w:style>
  <w:style w:type="character" w:customStyle="1" w:styleId="58">
    <w:name w:val="ZJ正文 Char"/>
    <w:link w:val="59"/>
    <w:qFormat/>
    <w:uiPriority w:val="0"/>
    <w:rPr>
      <w:kern w:val="2"/>
      <w:sz w:val="24"/>
      <w:szCs w:val="24"/>
    </w:rPr>
  </w:style>
  <w:style w:type="paragraph" w:customStyle="1" w:styleId="59">
    <w:name w:val="ZJ正文"/>
    <w:basedOn w:val="1"/>
    <w:link w:val="58"/>
    <w:qFormat/>
    <w:uiPriority w:val="0"/>
    <w:pPr>
      <w:ind w:firstLine="480" w:firstLineChars="200"/>
    </w:pPr>
    <w:rPr>
      <w:sz w:val="24"/>
    </w:rPr>
  </w:style>
  <w:style w:type="character" w:customStyle="1" w:styleId="60">
    <w:name w:val="font161"/>
    <w:qFormat/>
    <w:uiPriority w:val="0"/>
    <w:rPr>
      <w:b/>
      <w:bCs/>
      <w:sz w:val="32"/>
      <w:szCs w:val="32"/>
    </w:rPr>
  </w:style>
  <w:style w:type="character" w:customStyle="1" w:styleId="61">
    <w:name w:val="纯文本 Char"/>
    <w:link w:val="28"/>
    <w:qFormat/>
    <w:uiPriority w:val="0"/>
    <w:rPr>
      <w:rFonts w:ascii="宋体" w:hAnsi="Courier New" w:eastAsia="宋体"/>
      <w:kern w:val="2"/>
      <w:sz w:val="24"/>
      <w:szCs w:val="24"/>
      <w:lang w:val="en-US" w:eastAsia="zh-CN" w:bidi="ar-SA"/>
    </w:rPr>
  </w:style>
  <w:style w:type="character" w:customStyle="1" w:styleId="62">
    <w:name w:val="副标题 Char"/>
    <w:link w:val="35"/>
    <w:qFormat/>
    <w:uiPriority w:val="0"/>
    <w:rPr>
      <w:rFonts w:ascii="Cambria" w:hAnsi="Cambria"/>
      <w:b/>
      <w:bCs/>
      <w:kern w:val="28"/>
      <w:sz w:val="32"/>
      <w:szCs w:val="32"/>
    </w:rPr>
  </w:style>
  <w:style w:type="character" w:customStyle="1" w:styleId="63">
    <w:name w:val="标题4 Char Char"/>
    <w:qFormat/>
    <w:uiPriority w:val="0"/>
    <w:rPr>
      <w:rFonts w:eastAsia="仿宋_GB2312"/>
      <w:kern w:val="2"/>
      <w:sz w:val="32"/>
      <w:lang w:val="en-US" w:eastAsia="zh-CN" w:bidi="ar-SA"/>
    </w:rPr>
  </w:style>
  <w:style w:type="character" w:customStyle="1" w:styleId="64">
    <w:name w:val=" Char Char7"/>
    <w:qFormat/>
    <w:uiPriority w:val="0"/>
    <w:rPr>
      <w:rFonts w:ascii="宋体" w:hAnsi="Courier New" w:eastAsia="宋体"/>
      <w:kern w:val="2"/>
      <w:sz w:val="21"/>
      <w:lang w:val="en-US" w:eastAsia="zh-CN" w:bidi="ar-SA"/>
    </w:rPr>
  </w:style>
  <w:style w:type="character" w:customStyle="1" w:styleId="65">
    <w:name w:val="引用 Char"/>
    <w:link w:val="66"/>
    <w:qFormat/>
    <w:uiPriority w:val="0"/>
    <w:rPr>
      <w:i/>
      <w:iCs/>
      <w:color w:val="000000"/>
      <w:kern w:val="2"/>
      <w:sz w:val="21"/>
      <w:szCs w:val="22"/>
    </w:rPr>
  </w:style>
  <w:style w:type="paragraph" w:styleId="66">
    <w:name w:val="Quote"/>
    <w:basedOn w:val="1"/>
    <w:next w:val="1"/>
    <w:link w:val="65"/>
    <w:qFormat/>
    <w:uiPriority w:val="0"/>
    <w:rPr>
      <w:i/>
      <w:iCs/>
      <w:color w:val="000000"/>
      <w:sz w:val="21"/>
      <w:szCs w:val="22"/>
    </w:rPr>
  </w:style>
  <w:style w:type="character" w:customStyle="1" w:styleId="67">
    <w:name w:val="fx_label"/>
    <w:basedOn w:val="47"/>
    <w:qFormat/>
    <w:uiPriority w:val="0"/>
  </w:style>
  <w:style w:type="character" w:customStyle="1" w:styleId="68">
    <w:name w:val="文档结构图 Char1"/>
    <w:qFormat/>
    <w:uiPriority w:val="0"/>
    <w:rPr>
      <w:rFonts w:ascii="宋体"/>
      <w:kern w:val="2"/>
      <w:sz w:val="18"/>
      <w:szCs w:val="18"/>
    </w:rPr>
  </w:style>
  <w:style w:type="character" w:customStyle="1" w:styleId="69">
    <w:name w:val="标题 6 Char"/>
    <w:link w:val="7"/>
    <w:qFormat/>
    <w:uiPriority w:val="0"/>
    <w:rPr>
      <w:rFonts w:ascii="Arial" w:hAnsi="Arial" w:eastAsia="黑体"/>
      <w:b/>
      <w:bCs/>
      <w:sz w:val="24"/>
      <w:szCs w:val="24"/>
    </w:rPr>
  </w:style>
  <w:style w:type="character" w:customStyle="1" w:styleId="70">
    <w:name w:val="文档结构图 Char"/>
    <w:link w:val="15"/>
    <w:qFormat/>
    <w:uiPriority w:val="0"/>
    <w:rPr>
      <w:szCs w:val="24"/>
      <w:shd w:val="clear" w:color="auto" w:fill="000080"/>
    </w:rPr>
  </w:style>
  <w:style w:type="character" w:customStyle="1" w:styleId="71">
    <w:name w:val="普通文字 Char Char Char1"/>
    <w:qFormat/>
    <w:uiPriority w:val="0"/>
    <w:rPr>
      <w:rFonts w:ascii="宋体" w:hAnsi="Courier New" w:eastAsia="宋体"/>
      <w:kern w:val="2"/>
      <w:sz w:val="24"/>
      <w:szCs w:val="24"/>
      <w:lang w:val="en-US" w:eastAsia="zh-CN" w:bidi="ar-SA"/>
    </w:rPr>
  </w:style>
  <w:style w:type="character" w:customStyle="1" w:styleId="72">
    <w:name w:val=" Char Char8"/>
    <w:qFormat/>
    <w:uiPriority w:val="0"/>
    <w:rPr>
      <w:rFonts w:eastAsia="宋体"/>
      <w:kern w:val="2"/>
      <w:sz w:val="21"/>
      <w:szCs w:val="24"/>
      <w:lang w:val="en-US" w:eastAsia="zh-CN" w:bidi="ar-SA"/>
    </w:rPr>
  </w:style>
  <w:style w:type="character" w:customStyle="1" w:styleId="73">
    <w:name w:val="引用 Char1"/>
    <w:qFormat/>
    <w:uiPriority w:val="0"/>
    <w:rPr>
      <w:i/>
      <w:iCs/>
      <w:color w:val="000000"/>
      <w:kern w:val="2"/>
      <w:sz w:val="28"/>
      <w:szCs w:val="24"/>
    </w:rPr>
  </w:style>
  <w:style w:type="character" w:customStyle="1" w:styleId="74">
    <w:name w:val="font11"/>
    <w:qFormat/>
    <w:uiPriority w:val="0"/>
    <w:rPr>
      <w:rFonts w:hint="eastAsia" w:ascii="宋体" w:hAnsi="宋体" w:eastAsia="宋体" w:cs="宋体"/>
      <w:color w:val="FF0000"/>
      <w:sz w:val="20"/>
      <w:szCs w:val="20"/>
      <w:u w:val="none"/>
    </w:rPr>
  </w:style>
  <w:style w:type="character" w:customStyle="1" w:styleId="75">
    <w:name w:val="font31"/>
    <w:qFormat/>
    <w:uiPriority w:val="0"/>
    <w:rPr>
      <w:rFonts w:hint="eastAsia" w:ascii="宋体" w:hAnsi="宋体" w:eastAsia="宋体" w:cs="宋体"/>
      <w:color w:val="000000"/>
      <w:sz w:val="20"/>
      <w:szCs w:val="20"/>
      <w:u w:val="none"/>
    </w:rPr>
  </w:style>
  <w:style w:type="character" w:customStyle="1" w:styleId="76">
    <w:name w:val="标题 3 Char"/>
    <w:link w:val="4"/>
    <w:qFormat/>
    <w:uiPriority w:val="0"/>
    <w:rPr>
      <w:b/>
      <w:bCs/>
      <w:kern w:val="2"/>
      <w:sz w:val="32"/>
      <w:szCs w:val="32"/>
    </w:rPr>
  </w:style>
  <w:style w:type="character" w:customStyle="1" w:styleId="77">
    <w:name w:val="批注文字 Char"/>
    <w:link w:val="17"/>
    <w:qFormat/>
    <w:uiPriority w:val="0"/>
    <w:rPr>
      <w:kern w:val="2"/>
      <w:sz w:val="21"/>
      <w:szCs w:val="24"/>
    </w:rPr>
  </w:style>
  <w:style w:type="character" w:customStyle="1" w:styleId="78">
    <w:name w:val="htd01"/>
    <w:basedOn w:val="47"/>
    <w:qFormat/>
    <w:uiPriority w:val="0"/>
  </w:style>
  <w:style w:type="character" w:customStyle="1" w:styleId="79">
    <w:name w:val="纯文本 Char2"/>
    <w:qFormat/>
    <w:uiPriority w:val="0"/>
    <w:rPr>
      <w:rFonts w:ascii="宋体" w:hAnsi="Courier New" w:eastAsia="宋体"/>
      <w:kern w:val="2"/>
      <w:sz w:val="24"/>
      <w:szCs w:val="24"/>
      <w:lang w:val="en-US" w:eastAsia="zh-CN" w:bidi="ar-SA"/>
    </w:rPr>
  </w:style>
  <w:style w:type="character" w:customStyle="1" w:styleId="80">
    <w:name w:val="正文文本 Char"/>
    <w:link w:val="19"/>
    <w:qFormat/>
    <w:uiPriority w:val="0"/>
    <w:rPr>
      <w:kern w:val="2"/>
      <w:sz w:val="28"/>
      <w:szCs w:val="24"/>
    </w:rPr>
  </w:style>
  <w:style w:type="character" w:customStyle="1" w:styleId="81">
    <w:name w:val="页脚 Char"/>
    <w:link w:val="32"/>
    <w:qFormat/>
    <w:uiPriority w:val="0"/>
    <w:rPr>
      <w:kern w:val="2"/>
      <w:sz w:val="18"/>
      <w:szCs w:val="18"/>
    </w:rPr>
  </w:style>
  <w:style w:type="character" w:customStyle="1" w:styleId="82">
    <w:name w:val="页眉 Char"/>
    <w:link w:val="33"/>
    <w:qFormat/>
    <w:uiPriority w:val="0"/>
    <w:rPr>
      <w:kern w:val="2"/>
      <w:sz w:val="18"/>
      <w:szCs w:val="18"/>
    </w:rPr>
  </w:style>
  <w:style w:type="character" w:customStyle="1" w:styleId="83">
    <w:name w:val="标题 2 Char"/>
    <w:link w:val="3"/>
    <w:qFormat/>
    <w:uiPriority w:val="0"/>
    <w:rPr>
      <w:rFonts w:ascii="Arial" w:hAnsi="Arial" w:eastAsia="黑体"/>
      <w:b/>
      <w:bCs/>
      <w:kern w:val="2"/>
      <w:sz w:val="32"/>
      <w:szCs w:val="32"/>
    </w:rPr>
  </w:style>
  <w:style w:type="character" w:customStyle="1" w:styleId="84">
    <w:name w:val="标题 7 Char"/>
    <w:link w:val="8"/>
    <w:qFormat/>
    <w:uiPriority w:val="0"/>
    <w:rPr>
      <w:b/>
      <w:bCs/>
      <w:sz w:val="24"/>
      <w:szCs w:val="24"/>
    </w:rPr>
  </w:style>
  <w:style w:type="character" w:customStyle="1" w:styleId="85">
    <w:name w:val="标题 8 Char"/>
    <w:link w:val="9"/>
    <w:qFormat/>
    <w:uiPriority w:val="0"/>
    <w:rPr>
      <w:rFonts w:ascii="Arial" w:hAnsi="Arial" w:eastAsia="黑体"/>
      <w:sz w:val="24"/>
      <w:szCs w:val="24"/>
    </w:rPr>
  </w:style>
  <w:style w:type="character" w:customStyle="1" w:styleId="86">
    <w:name w:val="批注文字 Char1"/>
    <w:qFormat/>
    <w:uiPriority w:val="0"/>
    <w:rPr>
      <w:kern w:val="2"/>
      <w:sz w:val="28"/>
      <w:szCs w:val="24"/>
    </w:rPr>
  </w:style>
  <w:style w:type="character" w:customStyle="1" w:styleId="87">
    <w:name w:val="列出段落 Char"/>
    <w:link w:val="88"/>
    <w:qFormat/>
    <w:uiPriority w:val="0"/>
    <w:rPr>
      <w:kern w:val="2"/>
      <w:sz w:val="21"/>
      <w:szCs w:val="22"/>
    </w:rPr>
  </w:style>
  <w:style w:type="paragraph" w:customStyle="1" w:styleId="88">
    <w:name w:val="List Paragraph1"/>
    <w:basedOn w:val="1"/>
    <w:link w:val="87"/>
    <w:qFormat/>
    <w:uiPriority w:val="0"/>
    <w:pPr>
      <w:ind w:firstLine="420" w:firstLineChars="200"/>
    </w:pPr>
    <w:rPr>
      <w:sz w:val="21"/>
      <w:szCs w:val="22"/>
    </w:rPr>
  </w:style>
  <w:style w:type="character" w:customStyle="1" w:styleId="89">
    <w:name w:val="明显引用 Char"/>
    <w:link w:val="90"/>
    <w:qFormat/>
    <w:uiPriority w:val="0"/>
    <w:rPr>
      <w:b/>
      <w:bCs/>
      <w:i/>
      <w:iCs/>
      <w:color w:val="4F81BD"/>
      <w:kern w:val="2"/>
      <w:sz w:val="21"/>
      <w:szCs w:val="22"/>
    </w:rPr>
  </w:style>
  <w:style w:type="paragraph" w:styleId="90">
    <w:name w:val="Intense Quote"/>
    <w:basedOn w:val="1"/>
    <w:next w:val="1"/>
    <w:link w:val="89"/>
    <w:qFormat/>
    <w:uiPriority w:val="0"/>
    <w:pPr>
      <w:pBdr>
        <w:bottom w:val="single" w:color="4F81BD" w:sz="4" w:space="4"/>
      </w:pBdr>
      <w:spacing w:before="200" w:beforeLines="0" w:after="280" w:afterLines="0"/>
      <w:ind w:left="936" w:right="936"/>
    </w:pPr>
    <w:rPr>
      <w:b/>
      <w:bCs/>
      <w:i/>
      <w:iCs/>
      <w:color w:val="4F81BD"/>
      <w:sz w:val="21"/>
      <w:szCs w:val="22"/>
    </w:rPr>
  </w:style>
  <w:style w:type="character" w:customStyle="1" w:styleId="91">
    <w:name w:val="标题 9 Char"/>
    <w:link w:val="10"/>
    <w:uiPriority w:val="0"/>
    <w:rPr>
      <w:rFonts w:ascii="Arial" w:hAnsi="Arial" w:eastAsia="黑体"/>
      <w:sz w:val="21"/>
      <w:szCs w:val="21"/>
    </w:rPr>
  </w:style>
  <w:style w:type="character" w:customStyle="1" w:styleId="92">
    <w:name w:val=" Char Char1"/>
    <w:qFormat/>
    <w:uiPriority w:val="0"/>
    <w:rPr>
      <w:rFonts w:ascii="Arial" w:hAnsi="Arial" w:eastAsia="黑体"/>
      <w:b/>
      <w:bCs/>
      <w:kern w:val="2"/>
      <w:sz w:val="32"/>
      <w:szCs w:val="32"/>
      <w:lang w:val="en-US" w:eastAsia="zh-CN" w:bidi="ar-SA"/>
    </w:rPr>
  </w:style>
  <w:style w:type="character" w:customStyle="1" w:styleId="93">
    <w:name w:val="副标题 Char1"/>
    <w:qFormat/>
    <w:uiPriority w:val="0"/>
    <w:rPr>
      <w:rFonts w:ascii="Cambria" w:hAnsi="Cambria" w:cs="Times New Roman"/>
      <w:b/>
      <w:bCs/>
      <w:kern w:val="28"/>
      <w:sz w:val="32"/>
      <w:szCs w:val="32"/>
    </w:rPr>
  </w:style>
  <w:style w:type="character" w:customStyle="1" w:styleId="94">
    <w:name w:val="批注主题 Char1"/>
    <w:qFormat/>
    <w:uiPriority w:val="0"/>
    <w:rPr>
      <w:b/>
      <w:bCs/>
      <w:kern w:val="2"/>
      <w:sz w:val="28"/>
      <w:szCs w:val="24"/>
    </w:rPr>
  </w:style>
  <w:style w:type="character" w:customStyle="1" w:styleId="95">
    <w:name w:val="明显引用 Char1"/>
    <w:qFormat/>
    <w:uiPriority w:val="0"/>
    <w:rPr>
      <w:b/>
      <w:bCs/>
      <w:i/>
      <w:iCs/>
      <w:color w:val="4F81BD"/>
      <w:kern w:val="2"/>
      <w:sz w:val="28"/>
      <w:szCs w:val="24"/>
    </w:rPr>
  </w:style>
  <w:style w:type="character" w:customStyle="1" w:styleId="96">
    <w:name w:val="标题5 Char Char"/>
    <w:link w:val="97"/>
    <w:qFormat/>
    <w:uiPriority w:val="0"/>
    <w:rPr>
      <w:rFonts w:ascii="Arial" w:hAnsi="Arial"/>
      <w:b/>
      <w:bCs/>
      <w:sz w:val="24"/>
      <w:szCs w:val="32"/>
    </w:rPr>
  </w:style>
  <w:style w:type="paragraph" w:customStyle="1" w:styleId="97">
    <w:name w:val="标题5"/>
    <w:basedOn w:val="4"/>
    <w:link w:val="96"/>
    <w:qFormat/>
    <w:uiPriority w:val="0"/>
    <w:pPr>
      <w:spacing w:line="413" w:lineRule="auto"/>
    </w:pPr>
    <w:rPr>
      <w:rFonts w:ascii="Arial" w:hAnsi="Arial"/>
      <w:kern w:val="0"/>
      <w:sz w:val="24"/>
    </w:rPr>
  </w:style>
  <w:style w:type="character" w:customStyle="1" w:styleId="98">
    <w:name w:val="正文文本缩进 Char"/>
    <w:link w:val="21"/>
    <w:qFormat/>
    <w:uiPriority w:val="0"/>
    <w:rPr>
      <w:rFonts w:ascii="宋体" w:hAnsi="Courier New"/>
      <w:spacing w:val="-4"/>
      <w:kern w:val="2"/>
      <w:sz w:val="18"/>
    </w:rPr>
  </w:style>
  <w:style w:type="character" w:customStyle="1" w:styleId="99">
    <w:name w:val="正文文字4 Char Char"/>
    <w:qFormat/>
    <w:uiPriority w:val="0"/>
    <w:rPr>
      <w:rFonts w:eastAsia="宋体"/>
      <w:kern w:val="2"/>
      <w:sz w:val="21"/>
      <w:szCs w:val="24"/>
      <w:lang w:val="en-US" w:eastAsia="zh-CN" w:bidi="ar-SA"/>
    </w:rPr>
  </w:style>
  <w:style w:type="character" w:customStyle="1" w:styleId="100">
    <w:name w:val=" Char Char6"/>
    <w:qFormat/>
    <w:uiPriority w:val="0"/>
    <w:rPr>
      <w:rFonts w:eastAsia="宋体"/>
      <w:kern w:val="2"/>
      <w:sz w:val="21"/>
      <w:szCs w:val="24"/>
      <w:lang w:val="en-US" w:eastAsia="zh-CN" w:bidi="ar-SA"/>
    </w:rPr>
  </w:style>
  <w:style w:type="character" w:customStyle="1" w:styleId="101">
    <w:name w:val="标题 4 Char"/>
    <w:link w:val="5"/>
    <w:qFormat/>
    <w:uiPriority w:val="0"/>
    <w:rPr>
      <w:rFonts w:ascii="Arial" w:hAnsi="Arial" w:eastAsia="黑体"/>
      <w:b/>
      <w:bCs/>
      <w:kern w:val="2"/>
      <w:sz w:val="28"/>
      <w:szCs w:val="28"/>
    </w:rPr>
  </w:style>
  <w:style w:type="character" w:customStyle="1" w:styleId="102">
    <w:name w:val="批注主题 Char"/>
    <w:link w:val="44"/>
    <w:qFormat/>
    <w:uiPriority w:val="0"/>
    <w:rPr>
      <w:rFonts w:ascii="宋体"/>
      <w:b/>
      <w:bCs/>
      <w:sz w:val="28"/>
    </w:rPr>
  </w:style>
  <w:style w:type="character" w:customStyle="1" w:styleId="103">
    <w:name w:val=" Char Char19"/>
    <w:qFormat/>
    <w:uiPriority w:val="0"/>
    <w:rPr>
      <w:rFonts w:ascii="Arial" w:hAnsi="Arial" w:eastAsia="黑体"/>
      <w:b/>
      <w:bCs/>
      <w:kern w:val="2"/>
      <w:sz w:val="32"/>
      <w:szCs w:val="32"/>
      <w:lang w:val="en-US" w:eastAsia="zh-CN" w:bidi="ar-SA"/>
    </w:rPr>
  </w:style>
  <w:style w:type="paragraph" w:customStyle="1" w:styleId="104">
    <w:name w:val="样式 标题 3 + 段前: 7.8 磅"/>
    <w:basedOn w:val="4"/>
    <w:qFormat/>
    <w:uiPriority w:val="0"/>
    <w:pPr>
      <w:keepNext w:val="0"/>
      <w:keepLines w:val="0"/>
      <w:spacing w:before="156" w:beforeLines="0" w:after="0" w:afterLines="0" w:line="360" w:lineRule="auto"/>
      <w:ind w:left="2220" w:hanging="420"/>
    </w:pPr>
    <w:rPr>
      <w:rFonts w:cs="宋体"/>
      <w:b w:val="0"/>
      <w:bCs w:val="0"/>
      <w:sz w:val="24"/>
      <w:szCs w:val="20"/>
    </w:rPr>
  </w:style>
  <w:style w:type="paragraph" w:customStyle="1" w:styleId="105">
    <w:name w:val="样式 正文文本"/>
    <w:basedOn w:val="1"/>
    <w:qFormat/>
    <w:uiPriority w:val="0"/>
    <w:pPr>
      <w:adjustRightInd w:val="0"/>
      <w:snapToGrid w:val="0"/>
      <w:spacing w:line="400" w:lineRule="exact"/>
      <w:ind w:firstLine="200" w:firstLineChars="200"/>
    </w:pPr>
    <w:rPr>
      <w:rFonts w:ascii="Arial" w:hAnsi="Arial" w:cs="宋体"/>
      <w:color w:val="000000"/>
      <w:sz w:val="21"/>
      <w:szCs w:val="20"/>
    </w:rPr>
  </w:style>
  <w:style w:type="paragraph" w:customStyle="1" w:styleId="106">
    <w:name w:val="注释级别 7"/>
    <w:basedOn w:val="1"/>
    <w:qFormat/>
    <w:uiPriority w:val="0"/>
    <w:pPr>
      <w:keepNext/>
      <w:numPr>
        <w:ilvl w:val="6"/>
        <w:numId w:val="4"/>
      </w:numPr>
      <w:tabs>
        <w:tab w:val="left" w:pos="0"/>
        <w:tab w:val="clear" w:pos="4320"/>
      </w:tabs>
      <w:spacing w:line="360" w:lineRule="auto"/>
      <w:outlineLvl w:val="6"/>
    </w:pPr>
    <w:rPr>
      <w:rFonts w:ascii="宋体"/>
      <w:sz w:val="24"/>
    </w:rPr>
  </w:style>
  <w:style w:type="paragraph" w:styleId="107">
    <w:name w:val="List Paragraph"/>
    <w:basedOn w:val="1"/>
    <w:qFormat/>
    <w:uiPriority w:val="0"/>
    <w:pPr>
      <w:ind w:firstLine="420" w:firstLineChars="200"/>
    </w:pPr>
    <w:rPr>
      <w:rFonts w:ascii="Calibri" w:hAnsi="Calibri"/>
      <w:sz w:val="21"/>
      <w:szCs w:val="22"/>
    </w:rPr>
  </w:style>
  <w:style w:type="paragraph" w:customStyle="1" w:styleId="108">
    <w:name w:val="签发人"/>
    <w:basedOn w:val="1"/>
    <w:qFormat/>
    <w:uiPriority w:val="0"/>
    <w:rPr>
      <w:rFonts w:eastAsia="楷体"/>
      <w:sz w:val="32"/>
    </w:rPr>
  </w:style>
  <w:style w:type="paragraph" w:customStyle="1" w:styleId="109">
    <w:name w:val="1"/>
    <w:basedOn w:val="1"/>
    <w:next w:val="1"/>
    <w:qFormat/>
    <w:uiPriority w:val="0"/>
    <w:rPr>
      <w:sz w:val="21"/>
    </w:rPr>
  </w:style>
  <w:style w:type="paragraph" w:customStyle="1" w:styleId="110">
    <w:name w:val="默认段落字体 Para Char Char Char Char Char Char Char Char Char1 Char Char Char Char"/>
    <w:basedOn w:val="1"/>
    <w:qFormat/>
    <w:uiPriority w:val="0"/>
    <w:rPr>
      <w:rFonts w:ascii="Tahoma" w:hAnsi="Tahoma"/>
      <w:sz w:val="24"/>
      <w:szCs w:val="20"/>
    </w:rPr>
  </w:style>
  <w:style w:type="paragraph" w:customStyle="1" w:styleId="111">
    <w:name w:val="样式 10 磅31114"/>
    <w:qFormat/>
    <w:uiPriority w:val="0"/>
    <w:pPr>
      <w:widowControl w:val="0"/>
      <w:jc w:val="both"/>
    </w:pPr>
    <w:rPr>
      <w:rFonts w:ascii="Calibri" w:hAnsi="Calibri" w:eastAsia="宋体" w:cs="Times New Roman"/>
      <w:kern w:val="2"/>
      <w:sz w:val="21"/>
      <w:szCs w:val="24"/>
      <w:lang w:val="en-US" w:eastAsia="zh-CN" w:bidi="ar-SA"/>
    </w:rPr>
  </w:style>
  <w:style w:type="paragraph" w:customStyle="1" w:styleId="112">
    <w:name w:val=" Char1"/>
    <w:basedOn w:val="1"/>
    <w:qFormat/>
    <w:uiPriority w:val="0"/>
    <w:pPr>
      <w:jc w:val="center"/>
    </w:pPr>
    <w:rPr>
      <w:rFonts w:ascii="仿宋_GB2312" w:eastAsia="仿宋_GB2312"/>
      <w:b/>
      <w:kern w:val="0"/>
      <w:sz w:val="32"/>
      <w:szCs w:val="32"/>
      <w:lang w:val="en-GB"/>
    </w:rPr>
  </w:style>
  <w:style w:type="paragraph" w:customStyle="1" w:styleId="113">
    <w:name w:val="_Style 112"/>
    <w:unhideWhenUsed/>
    <w:qFormat/>
    <w:uiPriority w:val="99"/>
    <w:rPr>
      <w:rFonts w:ascii="Times New Roman" w:hAnsi="Times New Roman" w:eastAsia="宋体" w:cs="Times New Roman"/>
      <w:kern w:val="2"/>
      <w:sz w:val="28"/>
      <w:szCs w:val="24"/>
      <w:lang w:val="en-US" w:eastAsia="zh-CN" w:bidi="ar-SA"/>
    </w:rPr>
  </w:style>
  <w:style w:type="paragraph" w:customStyle="1" w:styleId="114">
    <w:name w:val="样式 标题 1 + 黑体 三号 非加粗 居中 段前: 6 磅 段后: 6 磅 行距: 固定值 20 磅"/>
    <w:basedOn w:val="2"/>
    <w:qFormat/>
    <w:uiPriority w:val="0"/>
    <w:pPr>
      <w:spacing w:before="120" w:beforeLines="0" w:after="120" w:afterLines="0" w:line="400" w:lineRule="exact"/>
      <w:jc w:val="center"/>
    </w:pPr>
    <w:rPr>
      <w:rFonts w:ascii="黑体" w:hAnsi="黑体" w:eastAsia="黑体" w:cs="宋体"/>
      <w:b w:val="0"/>
      <w:bCs w:val="0"/>
      <w:sz w:val="32"/>
      <w:szCs w:val="20"/>
    </w:rPr>
  </w:style>
  <w:style w:type="paragraph" w:customStyle="1" w:styleId="115">
    <w:name w:val="注释级别 9"/>
    <w:basedOn w:val="1"/>
    <w:qFormat/>
    <w:uiPriority w:val="0"/>
    <w:pPr>
      <w:keepNext/>
      <w:numPr>
        <w:ilvl w:val="8"/>
        <w:numId w:val="4"/>
      </w:numPr>
      <w:tabs>
        <w:tab w:val="left" w:pos="0"/>
        <w:tab w:val="clear" w:pos="5760"/>
      </w:tabs>
      <w:spacing w:line="360" w:lineRule="auto"/>
      <w:outlineLvl w:val="8"/>
    </w:pPr>
    <w:rPr>
      <w:rFonts w:ascii="宋体"/>
      <w:sz w:val="24"/>
    </w:rPr>
  </w:style>
  <w:style w:type="paragraph" w:customStyle="1" w:styleId="116">
    <w:name w:val="样式 标题 2 + Times New Roman 四号 非加粗 段前: 5 磅 段后: 0 磅 行距: 固定值 20..."/>
    <w:basedOn w:val="3"/>
    <w:qFormat/>
    <w:uiPriority w:val="0"/>
    <w:pPr>
      <w:spacing w:before="100" w:beforeLines="0" w:after="0" w:afterLines="0" w:line="400" w:lineRule="exact"/>
    </w:pPr>
    <w:rPr>
      <w:rFonts w:ascii="Times New Roman" w:hAnsi="Times New Roman" w:cs="宋体"/>
      <w:b w:val="0"/>
      <w:bCs w:val="0"/>
      <w:sz w:val="28"/>
      <w:szCs w:val="20"/>
    </w:rPr>
  </w:style>
  <w:style w:type="paragraph" w:customStyle="1" w:styleId="117">
    <w:name w:val="正文缩进2字符"/>
    <w:basedOn w:val="1"/>
    <w:qFormat/>
    <w:uiPriority w:val="0"/>
    <w:pPr>
      <w:ind w:firstLine="480" w:firstLineChars="200"/>
    </w:pPr>
    <w:rPr>
      <w:rFonts w:hint="eastAsia" w:ascii="宋体" w:hAnsi="宋体"/>
      <w:sz w:val="24"/>
      <w:szCs w:val="20"/>
    </w:rPr>
  </w:style>
  <w:style w:type="paragraph" w:customStyle="1" w:styleId="118">
    <w:name w:val="注释级别 6"/>
    <w:basedOn w:val="1"/>
    <w:qFormat/>
    <w:uiPriority w:val="0"/>
    <w:pPr>
      <w:keepNext/>
      <w:numPr>
        <w:ilvl w:val="5"/>
        <w:numId w:val="4"/>
      </w:numPr>
      <w:tabs>
        <w:tab w:val="left" w:pos="0"/>
        <w:tab w:val="clear" w:pos="3600"/>
      </w:tabs>
      <w:spacing w:line="360" w:lineRule="auto"/>
      <w:outlineLvl w:val="5"/>
    </w:pPr>
    <w:rPr>
      <w:rFonts w:ascii="宋体"/>
      <w:sz w:val="24"/>
    </w:rPr>
  </w:style>
  <w:style w:type="paragraph" w:customStyle="1" w:styleId="119">
    <w:name w:val="4、正文"/>
    <w:basedOn w:val="1"/>
    <w:qFormat/>
    <w:uiPriority w:val="0"/>
    <w:pPr>
      <w:ind w:firstLine="200" w:firstLineChars="200"/>
    </w:pPr>
    <w:rPr>
      <w:rFonts w:ascii="宋体"/>
      <w:sz w:val="24"/>
      <w:szCs w:val="28"/>
    </w:rPr>
  </w:style>
  <w:style w:type="paragraph" w:customStyle="1" w:styleId="120">
    <w:name w:val="占位符文本2"/>
    <w:basedOn w:val="1"/>
    <w:qFormat/>
    <w:uiPriority w:val="0"/>
    <w:pPr>
      <w:keepNext/>
      <w:numPr>
        <w:ilvl w:val="0"/>
        <w:numId w:val="4"/>
      </w:numPr>
      <w:spacing w:line="360" w:lineRule="auto"/>
      <w:outlineLvl w:val="0"/>
    </w:pPr>
    <w:rPr>
      <w:rFonts w:ascii="宋体"/>
      <w:sz w:val="24"/>
    </w:rPr>
  </w:style>
  <w:style w:type="paragraph" w:customStyle="1" w:styleId="121">
    <w:name w:val="表格文字"/>
    <w:basedOn w:val="1"/>
    <w:qFormat/>
    <w:uiPriority w:val="0"/>
    <w:pPr>
      <w:adjustRightInd w:val="0"/>
      <w:spacing w:line="420" w:lineRule="atLeast"/>
      <w:jc w:val="left"/>
      <w:textAlignment w:val="baseline"/>
    </w:pPr>
    <w:rPr>
      <w:kern w:val="0"/>
      <w:sz w:val="21"/>
      <w:szCs w:val="20"/>
    </w:rPr>
  </w:style>
  <w:style w:type="paragraph" w:customStyle="1" w:styleId="122">
    <w:name w:val="正文段"/>
    <w:basedOn w:val="1"/>
    <w:qFormat/>
    <w:uiPriority w:val="0"/>
    <w:pPr>
      <w:widowControl/>
      <w:snapToGrid w:val="0"/>
      <w:spacing w:after="156" w:afterLines="50"/>
      <w:ind w:firstLine="200" w:firstLineChars="200"/>
    </w:pPr>
    <w:rPr>
      <w:kern w:val="0"/>
      <w:sz w:val="24"/>
      <w:szCs w:val="20"/>
    </w:rPr>
  </w:style>
  <w:style w:type="paragraph" w:customStyle="1" w:styleId="123">
    <w:name w:val="样式 样式 样式1 + 首行缩进:  2 字符 + 左侧:  0.74 厘米"/>
    <w:basedOn w:val="124"/>
    <w:qFormat/>
    <w:uiPriority w:val="0"/>
    <w:pPr>
      <w:ind w:firstLine="200"/>
    </w:pPr>
  </w:style>
  <w:style w:type="paragraph" w:customStyle="1" w:styleId="124">
    <w:name w:val="样式 样式1 + 首行缩进:  2 字符"/>
    <w:basedOn w:val="1"/>
    <w:qFormat/>
    <w:uiPriority w:val="0"/>
    <w:pPr>
      <w:spacing w:line="360" w:lineRule="exact"/>
      <w:ind w:firstLine="420" w:firstLineChars="200"/>
    </w:pPr>
    <w:rPr>
      <w:rFonts w:ascii="Arial" w:hAnsi="Arial" w:cs="宋体"/>
      <w:sz w:val="21"/>
      <w:szCs w:val="20"/>
    </w:rPr>
  </w:style>
  <w:style w:type="paragraph" w:customStyle="1" w:styleId="125">
    <w:name w:val="注释级别 5"/>
    <w:basedOn w:val="1"/>
    <w:qFormat/>
    <w:uiPriority w:val="0"/>
    <w:pPr>
      <w:keepNext/>
      <w:numPr>
        <w:ilvl w:val="4"/>
        <w:numId w:val="4"/>
      </w:numPr>
      <w:tabs>
        <w:tab w:val="left" w:pos="0"/>
        <w:tab w:val="clear" w:pos="2880"/>
      </w:tabs>
      <w:spacing w:line="360" w:lineRule="auto"/>
      <w:outlineLvl w:val="4"/>
    </w:pPr>
    <w:rPr>
      <w:rFonts w:ascii="宋体"/>
      <w:sz w:val="24"/>
    </w:rPr>
  </w:style>
  <w:style w:type="paragraph" w:customStyle="1" w:styleId="126">
    <w:name w:val="样式 标题 3 + (中文) 黑体 小四 非加粗 段前: 7.8 磅 段后: 0 磅 行距: 固定值 20 磅"/>
    <w:basedOn w:val="4"/>
    <w:qFormat/>
    <w:uiPriority w:val="0"/>
    <w:pPr>
      <w:spacing w:before="0" w:beforeLines="0" w:after="0" w:afterLines="0" w:line="400" w:lineRule="exact"/>
    </w:pPr>
    <w:rPr>
      <w:rFonts w:eastAsia="黑体" w:cs="宋体"/>
      <w:b w:val="0"/>
      <w:bCs w:val="0"/>
      <w:sz w:val="24"/>
      <w:szCs w:val="20"/>
    </w:rPr>
  </w:style>
  <w:style w:type="paragraph" w:customStyle="1" w:styleId="127">
    <w:name w:val="Blockquote"/>
    <w:basedOn w:val="1"/>
    <w:qFormat/>
    <w:uiPriority w:val="0"/>
    <w:pPr>
      <w:autoSpaceDE w:val="0"/>
      <w:autoSpaceDN w:val="0"/>
      <w:adjustRightInd w:val="0"/>
      <w:spacing w:before="100" w:beforeLines="0" w:after="100" w:afterLines="0"/>
      <w:ind w:left="360" w:right="360"/>
      <w:jc w:val="left"/>
    </w:pPr>
    <w:rPr>
      <w:kern w:val="0"/>
      <w:sz w:val="24"/>
      <w:szCs w:val="20"/>
    </w:rPr>
  </w:style>
  <w:style w:type="paragraph" w:customStyle="1" w:styleId="128">
    <w:name w:val="注释级别 4"/>
    <w:basedOn w:val="1"/>
    <w:qFormat/>
    <w:uiPriority w:val="0"/>
    <w:pPr>
      <w:keepNext/>
      <w:numPr>
        <w:ilvl w:val="3"/>
        <w:numId w:val="4"/>
      </w:numPr>
      <w:tabs>
        <w:tab w:val="left" w:pos="0"/>
        <w:tab w:val="clear" w:pos="2160"/>
      </w:tabs>
      <w:spacing w:line="360" w:lineRule="auto"/>
      <w:outlineLvl w:val="3"/>
    </w:pPr>
    <w:rPr>
      <w:rFonts w:ascii="宋体"/>
      <w:sz w:val="24"/>
    </w:rPr>
  </w:style>
  <w:style w:type="paragraph" w:customStyle="1" w:styleId="129">
    <w:name w:val=" Char"/>
    <w:basedOn w:val="1"/>
    <w:qFormat/>
    <w:uiPriority w:val="0"/>
    <w:rPr>
      <w:sz w:val="24"/>
    </w:rPr>
  </w:style>
  <w:style w:type="paragraph" w:customStyle="1" w:styleId="130">
    <w:name w:val="6'"/>
    <w:basedOn w:val="1"/>
    <w:qFormat/>
    <w:uiPriority w:val="0"/>
    <w:pPr>
      <w:autoSpaceDE w:val="0"/>
      <w:autoSpaceDN w:val="0"/>
      <w:adjustRightInd w:val="0"/>
      <w:snapToGrid w:val="0"/>
      <w:spacing w:line="320" w:lineRule="exact"/>
      <w:jc w:val="center"/>
      <w:textAlignment w:val="baseline"/>
    </w:pPr>
    <w:rPr>
      <w:spacing w:val="20"/>
      <w:kern w:val="28"/>
      <w:sz w:val="21"/>
      <w:szCs w:val="20"/>
    </w:rPr>
  </w:style>
  <w:style w:type="paragraph" w:customStyle="1" w:styleId="131">
    <w:name w:val="注释级别 3"/>
    <w:basedOn w:val="1"/>
    <w:qFormat/>
    <w:uiPriority w:val="0"/>
    <w:pPr>
      <w:keepNext/>
      <w:numPr>
        <w:ilvl w:val="2"/>
        <w:numId w:val="4"/>
      </w:numPr>
      <w:tabs>
        <w:tab w:val="left" w:pos="0"/>
        <w:tab w:val="clear" w:pos="1440"/>
      </w:tabs>
      <w:spacing w:line="360" w:lineRule="auto"/>
      <w:outlineLvl w:val="2"/>
    </w:pPr>
    <w:rPr>
      <w:rFonts w:ascii="宋体"/>
      <w:sz w:val="24"/>
    </w:rPr>
  </w:style>
  <w:style w:type="paragraph" w:customStyle="1" w:styleId="132">
    <w:name w:val="样式 标题 3 + Arial"/>
    <w:basedOn w:val="4"/>
    <w:qFormat/>
    <w:uiPriority w:val="0"/>
    <w:pPr>
      <w:spacing w:before="312" w:beforeLines="100" w:after="0" w:afterLines="0" w:line="360" w:lineRule="auto"/>
    </w:pPr>
    <w:rPr>
      <w:rFonts w:ascii="Arial" w:hAnsi="Arial"/>
      <w:sz w:val="24"/>
    </w:rPr>
  </w:style>
  <w:style w:type="paragraph" w:customStyle="1" w:styleId="133">
    <w:name w:val=" Char2"/>
    <w:basedOn w:val="1"/>
    <w:qFormat/>
    <w:uiPriority w:val="0"/>
    <w:rPr>
      <w:rFonts w:ascii="仿宋_GB2312" w:eastAsia="仿宋_GB2312"/>
      <w:b/>
      <w:sz w:val="32"/>
      <w:szCs w:val="32"/>
    </w:rPr>
  </w:style>
  <w:style w:type="paragraph" w:customStyle="1" w:styleId="134">
    <w:name w:val="p0"/>
    <w:basedOn w:val="1"/>
    <w:qFormat/>
    <w:uiPriority w:val="0"/>
    <w:pPr>
      <w:widowControl/>
    </w:pPr>
    <w:rPr>
      <w:kern w:val="0"/>
      <w:szCs w:val="28"/>
    </w:rPr>
  </w:style>
  <w:style w:type="paragraph" w:customStyle="1" w:styleId="135">
    <w:name w:val="表内文字"/>
    <w:basedOn w:val="1"/>
    <w:qFormat/>
    <w:uiPriority w:val="0"/>
    <w:pPr>
      <w:tabs>
        <w:tab w:val="left" w:pos="1418"/>
      </w:tabs>
      <w:spacing w:line="360" w:lineRule="auto"/>
      <w:jc w:val="center"/>
    </w:pPr>
    <w:rPr>
      <w:rFonts w:hint="eastAsia" w:ascii="仿宋_GB2312" w:eastAsia="仿宋_GB2312"/>
      <w:spacing w:val="-20"/>
      <w:kern w:val="0"/>
      <w:sz w:val="24"/>
    </w:rPr>
  </w:style>
  <w:style w:type="paragraph" w:customStyle="1" w:styleId="136">
    <w:name w:val="表格"/>
    <w:basedOn w:val="1"/>
    <w:qFormat/>
    <w:uiPriority w:val="0"/>
    <w:pPr>
      <w:jc w:val="center"/>
      <w:textAlignment w:val="center"/>
    </w:pPr>
    <w:rPr>
      <w:rFonts w:ascii="华文细黑" w:hAnsi="华文细黑"/>
      <w:kern w:val="0"/>
      <w:sz w:val="21"/>
      <w:szCs w:val="20"/>
    </w:rPr>
  </w:style>
  <w:style w:type="paragraph" w:customStyle="1" w:styleId="137">
    <w:name w:val=" Char1 Char Char Char Char Char1 Char"/>
    <w:basedOn w:val="1"/>
    <w:qFormat/>
    <w:uiPriority w:val="0"/>
    <w:pPr>
      <w:widowControl/>
      <w:spacing w:after="160" w:line="240" w:lineRule="exact"/>
      <w:jc w:val="left"/>
    </w:pPr>
    <w:rPr>
      <w:sz w:val="21"/>
    </w:rPr>
  </w:style>
  <w:style w:type="paragraph" w:customStyle="1" w:styleId="138">
    <w:name w:val="注释级别 8"/>
    <w:basedOn w:val="1"/>
    <w:qFormat/>
    <w:uiPriority w:val="0"/>
    <w:pPr>
      <w:keepNext/>
      <w:numPr>
        <w:ilvl w:val="7"/>
        <w:numId w:val="4"/>
      </w:numPr>
      <w:tabs>
        <w:tab w:val="left" w:pos="0"/>
        <w:tab w:val="clear" w:pos="5040"/>
      </w:tabs>
      <w:spacing w:line="360" w:lineRule="auto"/>
      <w:outlineLvl w:val="7"/>
    </w:pPr>
    <w:rPr>
      <w:rFonts w:ascii="宋体"/>
      <w:sz w:val="24"/>
    </w:rPr>
  </w:style>
  <w:style w:type="paragraph" w:customStyle="1" w:styleId="139">
    <w:name w:val="正文_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40">
    <w:name w:val="Default"/>
    <w:next w:val="1"/>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hp</Company>
  <Pages>37</Pages>
  <Words>19765</Words>
  <Characters>20693</Characters>
  <Lines>133</Lines>
  <Paragraphs>37</Paragraphs>
  <TotalTime>9</TotalTime>
  <ScaleCrop>false</ScaleCrop>
  <LinksUpToDate>false</LinksUpToDate>
  <CharactersWithSpaces>21932</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2019-05-27T16:14:00Z</dcterms:created>
  <dc:creator>费国炎</dc:creator>
  <cp:lastModifiedBy>admin</cp:lastModifiedBy>
  <cp:lastPrinted>2022-01-17T13:17:00Z</cp:lastPrinted>
  <dcterms:modified xsi:type="dcterms:W3CDTF">2025-02-27T06:15:28Z</dcterms:modified>
  <dc:title>浙江省政府采购招标文件（范本）</dc:title>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y fmtid="{D5CDD505-2E9C-101B-9397-08002B2CF9AE}" pid="3" name="ICV">
    <vt:lpwstr>3C88CAFB18E14E4BAD26DD32C930BA0B_13</vt:lpwstr>
  </property>
  <property fmtid="{D5CDD505-2E9C-101B-9397-08002B2CF9AE}" pid="4" name="KSOTemplateDocerSaveRecord">
    <vt:lpwstr>eyJoZGlkIjoiOTUyOTRlNDQwN2RiMGI2ODUyYWJjZmU0NTlmYTYzZWEiLCJ1c2VySWQiOiIyMDQ1ODk4OTUifQ==</vt:lpwstr>
  </property>
</Properties>
</file>