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4290C">
      <w:pPr>
        <w:jc w:val="center"/>
        <w:rPr>
          <w:rFonts w:hint="eastAsia"/>
          <w:b/>
          <w:bCs/>
          <w:color w:val="auto"/>
          <w:sz w:val="36"/>
          <w:szCs w:val="32"/>
          <w:highlight w:val="none"/>
        </w:rPr>
      </w:pPr>
    </w:p>
    <w:p w14:paraId="582D896C">
      <w:pPr>
        <w:jc w:val="center"/>
        <w:rPr>
          <w:rFonts w:hint="eastAsia"/>
          <w:b/>
          <w:bCs/>
          <w:color w:val="auto"/>
          <w:sz w:val="36"/>
          <w:szCs w:val="32"/>
          <w:highlight w:val="none"/>
        </w:rPr>
      </w:pPr>
    </w:p>
    <w:p w14:paraId="149BE3FD">
      <w:pPr>
        <w:jc w:val="center"/>
        <w:rPr>
          <w:rFonts w:hint="eastAsia" w:eastAsia="宋体"/>
          <w:b/>
          <w:bCs/>
          <w:color w:val="auto"/>
          <w:sz w:val="36"/>
          <w:szCs w:val="32"/>
          <w:highlight w:val="none"/>
          <w:lang w:eastAsia="zh-CN"/>
        </w:rPr>
      </w:pPr>
      <w:r>
        <w:rPr>
          <w:rFonts w:hint="eastAsia"/>
          <w:b/>
          <w:bCs/>
          <w:color w:val="auto"/>
          <w:sz w:val="36"/>
          <w:szCs w:val="32"/>
          <w:highlight w:val="none"/>
          <w:lang w:eastAsia="zh-CN"/>
        </w:rPr>
        <w:t>台州湾文旅综合体项目餐厅工程（家具采购）</w:t>
      </w:r>
    </w:p>
    <w:p w14:paraId="36FDEFC5">
      <w:pPr>
        <w:pStyle w:val="89"/>
        <w:rPr>
          <w:color w:val="auto"/>
          <w:highlight w:val="none"/>
        </w:rPr>
      </w:pPr>
    </w:p>
    <w:p w14:paraId="20E3692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59BDA6B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color w:val="auto"/>
          <w:kern w:val="0"/>
          <w:sz w:val="32"/>
          <w:highlight w:val="none"/>
        </w:rPr>
      </w:pPr>
      <w:r>
        <w:rPr>
          <w:rFonts w:hint="eastAsia" w:ascii="宋体" w:hAnsi="宋体" w:cs="Calibri Light"/>
          <w:color w:val="auto"/>
          <w:kern w:val="0"/>
          <w:szCs w:val="28"/>
          <w:highlight w:val="none"/>
        </w:rPr>
        <w:t>采购编号：QBJ2025038</w:t>
      </w:r>
      <w:r>
        <w:rPr>
          <w:rFonts w:hint="eastAsia" w:ascii="宋体" w:hAnsi="宋体" w:cs="Calibri Light"/>
          <w:color w:val="auto"/>
          <w:kern w:val="0"/>
          <w:szCs w:val="28"/>
          <w:highlight w:val="none"/>
          <w:lang w:eastAsia="zh-CN"/>
        </w:rPr>
        <w:tab/>
      </w:r>
      <w:r>
        <w:rPr>
          <w:rFonts w:ascii="宋体" w:hAnsi="宋体" w:cs="Calibri Light"/>
          <w:color w:val="auto"/>
          <w:kern w:val="0"/>
          <w:szCs w:val="28"/>
          <w:highlight w:val="none"/>
        </w:rPr>
        <w:t xml:space="preserve">    </w:t>
      </w:r>
    </w:p>
    <w:p w14:paraId="5474A9BC">
      <w:pPr>
        <w:tabs>
          <w:tab w:val="left" w:pos="1260"/>
        </w:tabs>
        <w:spacing w:line="640" w:lineRule="exact"/>
        <w:outlineLvl w:val="0"/>
        <w:rPr>
          <w:rFonts w:hint="eastAsia" w:ascii="宋体" w:hAnsi="宋体"/>
          <w:color w:val="auto"/>
          <w:spacing w:val="20"/>
          <w:kern w:val="21"/>
          <w:sz w:val="30"/>
          <w:szCs w:val="30"/>
          <w:highlight w:val="none"/>
        </w:rPr>
      </w:pPr>
    </w:p>
    <w:p w14:paraId="2FD39FDA">
      <w:pP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采购人：</w:t>
      </w:r>
      <w:r>
        <w:rPr>
          <w:rFonts w:hint="eastAsia" w:ascii="宋体" w:hAnsi="宋体"/>
          <w:color w:val="auto"/>
          <w:spacing w:val="20"/>
          <w:kern w:val="21"/>
          <w:sz w:val="30"/>
          <w:szCs w:val="30"/>
          <w:highlight w:val="none"/>
          <w:lang w:eastAsia="zh-CN"/>
        </w:rPr>
        <w:t>浙江台州湾文化旅游发展有限公司</w:t>
      </w:r>
      <w:r>
        <w:rPr>
          <w:rFonts w:hint="eastAsia" w:ascii="宋体" w:hAnsi="宋体"/>
          <w:color w:val="auto"/>
          <w:spacing w:val="20"/>
          <w:kern w:val="21"/>
          <w:sz w:val="30"/>
          <w:szCs w:val="30"/>
          <w:highlight w:val="none"/>
        </w:rPr>
        <w:t>（盖章）</w:t>
      </w:r>
    </w:p>
    <w:p w14:paraId="17AD43AE">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lang w:eastAsia="zh-CN"/>
        </w:rPr>
        <w:t>梁先生</w:t>
      </w:r>
      <w:r>
        <w:rPr>
          <w:rFonts w:hint="eastAsia" w:ascii="宋体" w:hAnsi="宋体"/>
          <w:color w:val="auto"/>
          <w:spacing w:val="20"/>
          <w:kern w:val="21"/>
          <w:sz w:val="30"/>
          <w:szCs w:val="30"/>
          <w:highlight w:val="none"/>
          <w:lang w:eastAsia="zh-CN"/>
        </w:rPr>
        <w:tab/>
      </w:r>
      <w:r>
        <w:rPr>
          <w:rFonts w:hint="eastAsia" w:ascii="宋体" w:hAnsi="宋体"/>
          <w:color w:val="auto"/>
          <w:spacing w:val="20"/>
          <w:kern w:val="21"/>
          <w:sz w:val="30"/>
          <w:szCs w:val="30"/>
          <w:highlight w:val="none"/>
        </w:rPr>
        <w:t xml:space="preserve"> </w:t>
      </w:r>
    </w:p>
    <w:p w14:paraId="1FA3D4F6">
      <w:pPr>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联系电话：</w:t>
      </w:r>
      <w:r>
        <w:rPr>
          <w:rFonts w:hint="eastAsia" w:ascii="宋体" w:hAnsi="宋体"/>
          <w:color w:val="auto"/>
          <w:spacing w:val="20"/>
          <w:kern w:val="21"/>
          <w:sz w:val="30"/>
          <w:szCs w:val="30"/>
          <w:highlight w:val="none"/>
          <w:lang w:eastAsia="zh-CN"/>
        </w:rPr>
        <w:t>0576-88217586</w:t>
      </w:r>
      <w:r>
        <w:rPr>
          <w:rFonts w:hint="eastAsia" w:ascii="宋体" w:hAnsi="宋体"/>
          <w:color w:val="auto"/>
          <w:spacing w:val="20"/>
          <w:kern w:val="21"/>
          <w:sz w:val="30"/>
          <w:szCs w:val="30"/>
          <w:highlight w:val="none"/>
          <w:lang w:eastAsia="zh-CN"/>
        </w:rPr>
        <w:tab/>
      </w:r>
    </w:p>
    <w:p w14:paraId="40CC1D0E">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招标代理：台州市建设咨询有限公司（盖章）</w:t>
      </w:r>
    </w:p>
    <w:p w14:paraId="3B187B50">
      <w:pPr>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lang w:eastAsia="zh-CN"/>
        </w:rPr>
        <w:t>章家炀</w:t>
      </w:r>
    </w:p>
    <w:p w14:paraId="7D9AA4B7">
      <w:pPr>
        <w:tabs>
          <w:tab w:val="left" w:pos="5685"/>
        </w:tabs>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联系电话：</w:t>
      </w:r>
      <w:r>
        <w:rPr>
          <w:rFonts w:hint="eastAsia" w:ascii="宋体" w:hAnsi="宋体"/>
          <w:color w:val="auto"/>
          <w:spacing w:val="20"/>
          <w:kern w:val="21"/>
          <w:sz w:val="30"/>
          <w:szCs w:val="30"/>
          <w:highlight w:val="none"/>
          <w:lang w:eastAsia="zh-CN"/>
        </w:rPr>
        <w:t>0576-88517791</w:t>
      </w:r>
    </w:p>
    <w:p w14:paraId="5171AE0B">
      <w:pPr>
        <w:spacing w:line="640" w:lineRule="exact"/>
        <w:ind w:firstLine="1020" w:firstLineChars="300"/>
        <w:outlineLvl w:val="0"/>
        <w:rPr>
          <w:rFonts w:hint="eastAsia" w:ascii="宋体" w:hAnsi="宋体"/>
          <w:b/>
          <w:color w:val="auto"/>
          <w:sz w:val="36"/>
          <w:highlight w:val="none"/>
        </w:rPr>
        <w:sectPr>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w:t>
      </w:r>
      <w:r>
        <w:rPr>
          <w:rFonts w:hint="eastAsia" w:ascii="宋体" w:hAnsi="宋体"/>
          <w:color w:val="auto"/>
          <w:spacing w:val="20"/>
          <w:kern w:val="21"/>
          <w:sz w:val="30"/>
          <w:szCs w:val="30"/>
          <w:highlight w:val="none"/>
          <w:lang w:val="en-US" w:eastAsia="zh-CN"/>
        </w:rPr>
        <w:t>2025</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04</w:t>
      </w:r>
      <w:r>
        <w:rPr>
          <w:rFonts w:hint="eastAsia" w:ascii="宋体" w:hAnsi="宋体"/>
          <w:color w:val="auto"/>
          <w:spacing w:val="20"/>
          <w:kern w:val="21"/>
          <w:sz w:val="30"/>
          <w:szCs w:val="30"/>
          <w:highlight w:val="none"/>
        </w:rPr>
        <w:t>月</w:t>
      </w:r>
    </w:p>
    <w:p w14:paraId="666E62CF">
      <w:pPr>
        <w:jc w:val="center"/>
        <w:rPr>
          <w:rFonts w:hint="eastAsia" w:ascii="宋体" w:hAnsi="宋体" w:cs="宋体"/>
          <w:color w:val="auto"/>
          <w:sz w:val="48"/>
          <w:szCs w:val="56"/>
          <w:highlight w:val="none"/>
        </w:rPr>
      </w:pPr>
      <w:bookmarkStart w:id="0" w:name="_Toc32435_WPSOffice_Type1"/>
      <w:r>
        <w:rPr>
          <w:rFonts w:hint="eastAsia" w:ascii="宋体" w:hAnsi="宋体" w:cs="宋体"/>
          <w:color w:val="auto"/>
          <w:sz w:val="48"/>
          <w:szCs w:val="56"/>
          <w:highlight w:val="none"/>
        </w:rPr>
        <w:t>目录</w:t>
      </w:r>
    </w:p>
    <w:p w14:paraId="1AF56E31">
      <w:pPr>
        <w:jc w:val="center"/>
        <w:rPr>
          <w:rFonts w:hint="eastAsia" w:ascii="宋体" w:hAnsi="宋体" w:cs="宋体"/>
          <w:color w:val="auto"/>
          <w:sz w:val="48"/>
          <w:szCs w:val="56"/>
          <w:highlight w:val="none"/>
        </w:rPr>
      </w:pPr>
    </w:p>
    <w:p w14:paraId="4EED60BC">
      <w:pPr>
        <w:jc w:val="center"/>
        <w:rPr>
          <w:rFonts w:hint="eastAsia" w:ascii="宋体" w:hAnsi="宋体" w:cs="宋体"/>
          <w:color w:val="auto"/>
          <w:sz w:val="48"/>
          <w:szCs w:val="56"/>
          <w:highlight w:val="none"/>
        </w:rPr>
      </w:pPr>
    </w:p>
    <w:p w14:paraId="1114AAB5">
      <w:pPr>
        <w:pStyle w:val="75"/>
        <w:tabs>
          <w:tab w:val="right" w:leader="dot" w:pos="9356"/>
        </w:tabs>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"第一章" </w:instrText>
      </w:r>
      <w:r>
        <w:rPr>
          <w:rFonts w:hint="eastAsia" w:ascii="宋体" w:hAnsi="宋体" w:cs="宋体"/>
          <w:color w:val="auto"/>
          <w:sz w:val="36"/>
          <w:szCs w:val="36"/>
          <w:highlight w:val="none"/>
        </w:rPr>
        <w:fldChar w:fldCharType="separate"/>
      </w:r>
      <w:r>
        <w:rPr>
          <w:rStyle w:val="42"/>
          <w:rFonts w:hint="eastAsia" w:ascii="宋体" w:hAnsi="宋体" w:cs="宋体"/>
          <w:color w:val="auto"/>
          <w:sz w:val="36"/>
          <w:szCs w:val="36"/>
          <w:highlight w:val="none"/>
          <w:u w:val="none"/>
        </w:rPr>
        <w:t>第一章  公开招标采购公告</w:t>
      </w:r>
      <w:r>
        <w:rPr>
          <w:rStyle w:val="42"/>
          <w:rFonts w:hint="eastAsia" w:ascii="宋体" w:hAnsi="宋体" w:cs="宋体"/>
          <w:color w:val="auto"/>
          <w:sz w:val="36"/>
          <w:szCs w:val="36"/>
          <w:highlight w:val="none"/>
          <w:u w:val="none"/>
        </w:rPr>
        <w:tab/>
      </w:r>
      <w:r>
        <w:rPr>
          <w:rStyle w:val="42"/>
          <w:rFonts w:hint="eastAsia" w:ascii="宋体" w:hAnsi="宋体" w:cs="宋体"/>
          <w:color w:val="auto"/>
          <w:sz w:val="36"/>
          <w:szCs w:val="36"/>
          <w:highlight w:val="none"/>
          <w:u w:val="none"/>
          <w:lang w:val="en-US" w:eastAsia="zh-CN"/>
        </w:rPr>
        <w:t>1</w:t>
      </w:r>
      <w:r>
        <w:rPr>
          <w:rFonts w:hint="eastAsia" w:ascii="宋体" w:hAnsi="宋体" w:cs="宋体"/>
          <w:color w:val="auto"/>
          <w:sz w:val="36"/>
          <w:szCs w:val="36"/>
          <w:highlight w:val="none"/>
        </w:rPr>
        <w:fldChar w:fldCharType="end"/>
      </w:r>
    </w:p>
    <w:p w14:paraId="347F648C">
      <w:pPr>
        <w:pStyle w:val="75"/>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"第二章"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第二章  招标需求</w:t>
      </w:r>
      <w:r>
        <w:rPr>
          <w:rStyle w:val="43"/>
          <w:rFonts w:hint="eastAsia" w:ascii="宋体" w:hAnsi="宋体" w:cs="宋体"/>
          <w:color w:val="auto"/>
          <w:sz w:val="36"/>
          <w:szCs w:val="36"/>
          <w:highlight w:val="none"/>
          <w:u w:val="none"/>
        </w:rPr>
        <w:tab/>
      </w:r>
      <w:r>
        <w:rPr>
          <w:rStyle w:val="43"/>
          <w:rFonts w:hint="eastAsia" w:ascii="宋体" w:hAnsi="宋体" w:cs="宋体"/>
          <w:color w:val="auto"/>
          <w:sz w:val="36"/>
          <w:szCs w:val="36"/>
          <w:highlight w:val="none"/>
          <w:u w:val="none"/>
          <w:lang w:val="en-US" w:eastAsia="zh-CN"/>
        </w:rPr>
        <w:t>5</w:t>
      </w:r>
      <w:r>
        <w:rPr>
          <w:rFonts w:hint="eastAsia" w:ascii="宋体" w:hAnsi="宋体" w:cs="宋体"/>
          <w:color w:val="auto"/>
          <w:sz w:val="36"/>
          <w:szCs w:val="36"/>
          <w:highlight w:val="none"/>
        </w:rPr>
        <w:fldChar w:fldCharType="end"/>
      </w:r>
    </w:p>
    <w:p w14:paraId="5B16DA7B">
      <w:pPr>
        <w:pStyle w:val="75"/>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"第三章"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第三章  投标人须知</w:t>
      </w:r>
      <w:r>
        <w:rPr>
          <w:rStyle w:val="43"/>
          <w:rFonts w:hint="eastAsia" w:ascii="宋体" w:hAnsi="宋体" w:cs="宋体"/>
          <w:color w:val="auto"/>
          <w:sz w:val="36"/>
          <w:szCs w:val="36"/>
          <w:highlight w:val="none"/>
          <w:u w:val="none"/>
        </w:rPr>
        <w:tab/>
      </w:r>
      <w:r>
        <w:rPr>
          <w:rStyle w:val="43"/>
          <w:rFonts w:hint="eastAsia" w:ascii="宋体" w:hAnsi="宋体" w:cs="宋体"/>
          <w:color w:val="auto"/>
          <w:sz w:val="36"/>
          <w:szCs w:val="36"/>
          <w:highlight w:val="none"/>
          <w:u w:val="none"/>
        </w:rPr>
        <w:t>1</w:t>
      </w:r>
      <w:r>
        <w:rPr>
          <w:rStyle w:val="43"/>
          <w:rFonts w:hint="eastAsia" w:ascii="宋体" w:hAnsi="宋体" w:cs="宋体"/>
          <w:color w:val="auto"/>
          <w:sz w:val="36"/>
          <w:szCs w:val="36"/>
          <w:highlight w:val="none"/>
          <w:u w:val="none"/>
          <w:lang w:val="en-US" w:eastAsia="zh-CN"/>
        </w:rPr>
        <w:t>5</w:t>
      </w:r>
      <w:r>
        <w:rPr>
          <w:rFonts w:hint="eastAsia" w:ascii="宋体" w:hAnsi="宋体" w:cs="宋体"/>
          <w:color w:val="auto"/>
          <w:sz w:val="36"/>
          <w:szCs w:val="36"/>
          <w:highlight w:val="none"/>
        </w:rPr>
        <w:fldChar w:fldCharType="end"/>
      </w:r>
    </w:p>
    <w:p w14:paraId="59992A93">
      <w:pPr>
        <w:pStyle w:val="75"/>
        <w:tabs>
          <w:tab w:val="right" w:leader="dot" w:pos="9356"/>
        </w:tabs>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"第四章" </w:instrText>
      </w:r>
      <w:r>
        <w:rPr>
          <w:rFonts w:hint="eastAsia" w:ascii="宋体" w:hAnsi="宋体" w:cs="宋体"/>
          <w:color w:val="auto"/>
          <w:sz w:val="36"/>
          <w:szCs w:val="36"/>
          <w:highlight w:val="none"/>
        </w:rPr>
        <w:fldChar w:fldCharType="separate"/>
      </w:r>
      <w:r>
        <w:rPr>
          <w:rStyle w:val="42"/>
          <w:rFonts w:hint="eastAsia" w:ascii="宋体" w:hAnsi="宋体" w:cs="宋体"/>
          <w:color w:val="auto"/>
          <w:sz w:val="36"/>
          <w:szCs w:val="36"/>
          <w:highlight w:val="none"/>
          <w:u w:val="none"/>
        </w:rPr>
        <w:t xml:space="preserve">第四章 </w:t>
      </w:r>
      <w:r>
        <w:rPr>
          <w:rStyle w:val="42"/>
          <w:rFonts w:hint="eastAsia" w:ascii="宋体" w:hAnsi="宋体" w:cs="宋体"/>
          <w:color w:val="auto"/>
          <w:sz w:val="36"/>
          <w:szCs w:val="36"/>
          <w:highlight w:val="none"/>
          <w:u w:val="none"/>
          <w:lang w:val="en-US" w:eastAsia="zh-CN"/>
        </w:rPr>
        <w:t xml:space="preserve"> </w:t>
      </w:r>
      <w:r>
        <w:rPr>
          <w:rStyle w:val="42"/>
          <w:rFonts w:hint="eastAsia" w:ascii="宋体" w:hAnsi="宋体" w:cs="宋体"/>
          <w:color w:val="auto"/>
          <w:sz w:val="36"/>
          <w:szCs w:val="36"/>
          <w:highlight w:val="none"/>
          <w:u w:val="none"/>
        </w:rPr>
        <w:t>评标办法及评分标准</w:t>
      </w:r>
      <w:r>
        <w:rPr>
          <w:rStyle w:val="42"/>
          <w:rFonts w:hint="eastAsia" w:ascii="宋体" w:hAnsi="宋体" w:cs="宋体"/>
          <w:color w:val="auto"/>
          <w:sz w:val="36"/>
          <w:szCs w:val="36"/>
          <w:highlight w:val="none"/>
          <w:u w:val="none"/>
        </w:rPr>
        <w:tab/>
      </w:r>
      <w:r>
        <w:rPr>
          <w:rStyle w:val="42"/>
          <w:rFonts w:hint="eastAsia" w:ascii="宋体" w:hAnsi="宋体" w:cs="宋体"/>
          <w:color w:val="auto"/>
          <w:sz w:val="36"/>
          <w:szCs w:val="36"/>
          <w:highlight w:val="none"/>
          <w:u w:val="none"/>
          <w:lang w:val="en-US" w:eastAsia="zh-CN"/>
        </w:rPr>
        <w:t>2</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8</w:t>
      </w:r>
    </w:p>
    <w:p w14:paraId="39EBE237">
      <w:pPr>
        <w:pStyle w:val="75"/>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"第五章"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 xml:space="preserve">第五章 </w:t>
      </w:r>
      <w:r>
        <w:rPr>
          <w:rStyle w:val="43"/>
          <w:rFonts w:hint="eastAsia" w:ascii="宋体" w:hAnsi="宋体" w:cs="宋体"/>
          <w:color w:val="auto"/>
          <w:sz w:val="36"/>
          <w:szCs w:val="36"/>
          <w:highlight w:val="none"/>
          <w:u w:val="none"/>
          <w:lang w:val="en-US" w:eastAsia="zh-CN"/>
        </w:rPr>
        <w:t xml:space="preserve"> </w:t>
      </w:r>
      <w:r>
        <w:rPr>
          <w:rStyle w:val="43"/>
          <w:rFonts w:hint="eastAsia" w:ascii="宋体" w:hAnsi="宋体" w:cs="宋体"/>
          <w:color w:val="auto"/>
          <w:sz w:val="36"/>
          <w:szCs w:val="36"/>
          <w:highlight w:val="none"/>
          <w:u w:val="none"/>
        </w:rPr>
        <w:t>合同格式（仅参考）</w:t>
      </w:r>
      <w:r>
        <w:rPr>
          <w:rStyle w:val="43"/>
          <w:rFonts w:hint="eastAsia" w:ascii="宋体" w:hAnsi="宋体" w:cs="宋体"/>
          <w:color w:val="auto"/>
          <w:sz w:val="36"/>
          <w:szCs w:val="36"/>
          <w:highlight w:val="none"/>
          <w:u w:val="none"/>
        </w:rPr>
        <w:tab/>
      </w:r>
      <w:r>
        <w:rPr>
          <w:rStyle w:val="43"/>
          <w:rFonts w:hint="eastAsia" w:ascii="宋体" w:hAnsi="宋体" w:cs="宋体"/>
          <w:color w:val="auto"/>
          <w:sz w:val="36"/>
          <w:szCs w:val="36"/>
          <w:highlight w:val="none"/>
          <w:u w:val="none"/>
        </w:rPr>
        <w:t>3</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2</w:t>
      </w:r>
    </w:p>
    <w:p w14:paraId="0E9300DF">
      <w:pPr>
        <w:pStyle w:val="75"/>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"第六章" </w:instrText>
      </w:r>
      <w:r>
        <w:rPr>
          <w:rFonts w:hint="eastAsia" w:ascii="宋体" w:hAnsi="宋体" w:cs="宋体"/>
          <w:color w:val="auto"/>
          <w:sz w:val="36"/>
          <w:szCs w:val="36"/>
          <w:highlight w:val="none"/>
        </w:rPr>
        <w:fldChar w:fldCharType="separate"/>
      </w:r>
      <w:r>
        <w:rPr>
          <w:rStyle w:val="42"/>
          <w:rFonts w:hint="eastAsia" w:ascii="宋体" w:hAnsi="宋体" w:cs="宋体"/>
          <w:color w:val="auto"/>
          <w:sz w:val="36"/>
          <w:szCs w:val="36"/>
          <w:highlight w:val="none"/>
          <w:u w:val="none"/>
        </w:rPr>
        <w:t>第六章　投标文件格式</w:t>
      </w:r>
      <w:r>
        <w:rPr>
          <w:rStyle w:val="42"/>
          <w:rFonts w:hint="eastAsia" w:ascii="宋体" w:hAnsi="宋体" w:cs="宋体"/>
          <w:color w:val="auto"/>
          <w:sz w:val="36"/>
          <w:szCs w:val="36"/>
          <w:highlight w:val="none"/>
          <w:u w:val="none"/>
        </w:rPr>
        <w:tab/>
      </w:r>
      <w:r>
        <w:rPr>
          <w:rStyle w:val="42"/>
          <w:rFonts w:hint="eastAsia" w:ascii="宋体" w:hAnsi="宋体" w:cs="宋体"/>
          <w:color w:val="auto"/>
          <w:sz w:val="36"/>
          <w:szCs w:val="36"/>
          <w:highlight w:val="none"/>
          <w:u w:val="none"/>
          <w:lang w:val="en-US" w:eastAsia="zh-CN"/>
        </w:rPr>
        <w:t>4</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6</w:t>
      </w:r>
    </w:p>
    <w:bookmarkEnd w:id="0"/>
    <w:p w14:paraId="2632A93C">
      <w:pPr>
        <w:pStyle w:val="20"/>
        <w:snapToGrid w:val="0"/>
        <w:spacing w:before="120" w:beforeLines="0" w:after="120" w:afterLines="0" w:line="240" w:lineRule="auto"/>
        <w:outlineLvl w:val="0"/>
        <w:rPr>
          <w:rFonts w:hAnsi="宋体" w:cs="宋体"/>
          <w:color w:val="auto"/>
          <w:sz w:val="30"/>
          <w:szCs w:val="30"/>
          <w:highlight w:val="none"/>
        </w:rPr>
      </w:pPr>
      <w:bookmarkStart w:id="1" w:name="_Toc10354_WPSOffice_Level1"/>
    </w:p>
    <w:p w14:paraId="6FD76201">
      <w:pPr>
        <w:pStyle w:val="20"/>
        <w:snapToGrid w:val="0"/>
        <w:spacing w:before="120" w:beforeLines="0" w:after="120" w:afterLines="0" w:line="240" w:lineRule="auto"/>
        <w:outlineLvl w:val="0"/>
        <w:rPr>
          <w:rFonts w:hAnsi="宋体" w:cs="宋体"/>
          <w:color w:val="auto"/>
          <w:sz w:val="30"/>
          <w:szCs w:val="30"/>
          <w:highlight w:val="none"/>
        </w:rPr>
      </w:pPr>
    </w:p>
    <w:p w14:paraId="0EE7D779">
      <w:pPr>
        <w:pStyle w:val="20"/>
        <w:snapToGrid w:val="0"/>
        <w:spacing w:before="120" w:beforeLines="0" w:after="120" w:afterLines="0" w:line="240" w:lineRule="auto"/>
        <w:outlineLvl w:val="0"/>
        <w:rPr>
          <w:rFonts w:hAnsi="宋体" w:cs="宋体"/>
          <w:color w:val="auto"/>
          <w:sz w:val="30"/>
          <w:szCs w:val="30"/>
          <w:highlight w:val="none"/>
        </w:rPr>
      </w:pPr>
    </w:p>
    <w:p w14:paraId="5D456DEB">
      <w:pPr>
        <w:pStyle w:val="20"/>
        <w:snapToGrid w:val="0"/>
        <w:spacing w:before="120" w:beforeLines="0" w:after="120" w:afterLines="0" w:line="240" w:lineRule="auto"/>
        <w:outlineLvl w:val="0"/>
        <w:rPr>
          <w:rFonts w:hAnsi="宋体" w:cs="宋体"/>
          <w:color w:val="auto"/>
          <w:sz w:val="30"/>
          <w:szCs w:val="30"/>
          <w:highlight w:val="none"/>
        </w:rPr>
      </w:pPr>
    </w:p>
    <w:p w14:paraId="3010F953">
      <w:pPr>
        <w:pStyle w:val="20"/>
        <w:snapToGrid w:val="0"/>
        <w:spacing w:before="120" w:beforeLines="0" w:after="120" w:afterLines="0" w:line="240" w:lineRule="auto"/>
        <w:outlineLvl w:val="0"/>
        <w:rPr>
          <w:rFonts w:hAnsi="宋体" w:cs="宋体"/>
          <w:color w:val="auto"/>
          <w:sz w:val="30"/>
          <w:szCs w:val="30"/>
          <w:highlight w:val="none"/>
        </w:rPr>
      </w:pPr>
    </w:p>
    <w:p w14:paraId="3D2508E7">
      <w:pPr>
        <w:pStyle w:val="20"/>
        <w:snapToGrid w:val="0"/>
        <w:spacing w:before="120" w:beforeLines="0" w:after="120" w:afterLines="0" w:line="240" w:lineRule="auto"/>
        <w:outlineLvl w:val="0"/>
        <w:rPr>
          <w:rFonts w:hAnsi="宋体" w:cs="宋体"/>
          <w:color w:val="auto"/>
          <w:sz w:val="30"/>
          <w:szCs w:val="30"/>
          <w:highlight w:val="none"/>
        </w:rPr>
      </w:pPr>
    </w:p>
    <w:p w14:paraId="013B1733">
      <w:pPr>
        <w:pStyle w:val="20"/>
        <w:snapToGrid w:val="0"/>
        <w:spacing w:before="120" w:beforeLines="0" w:after="120" w:afterLines="0" w:line="240" w:lineRule="auto"/>
        <w:outlineLvl w:val="0"/>
        <w:rPr>
          <w:rFonts w:hAnsi="宋体" w:cs="宋体"/>
          <w:color w:val="auto"/>
          <w:sz w:val="30"/>
          <w:szCs w:val="30"/>
          <w:highlight w:val="none"/>
        </w:rPr>
      </w:pPr>
    </w:p>
    <w:p w14:paraId="69EA3D6B">
      <w:pPr>
        <w:pStyle w:val="20"/>
        <w:snapToGrid w:val="0"/>
        <w:spacing w:before="120" w:beforeLines="0" w:after="120" w:afterLines="0" w:line="240" w:lineRule="auto"/>
        <w:outlineLvl w:val="0"/>
        <w:rPr>
          <w:rFonts w:hAnsi="宋体" w:cs="宋体"/>
          <w:color w:val="auto"/>
          <w:sz w:val="30"/>
          <w:szCs w:val="30"/>
          <w:highlight w:val="none"/>
        </w:rPr>
      </w:pPr>
    </w:p>
    <w:p w14:paraId="3CD5E393">
      <w:pPr>
        <w:pStyle w:val="21"/>
        <w:ind w:left="7000"/>
        <w:rPr>
          <w:color w:val="auto"/>
          <w:highlight w:val="none"/>
        </w:rPr>
      </w:pPr>
    </w:p>
    <w:p w14:paraId="000F7CAB">
      <w:pPr>
        <w:pStyle w:val="20"/>
        <w:snapToGrid w:val="0"/>
        <w:spacing w:before="120" w:beforeLines="0" w:after="120" w:afterLines="0" w:line="240" w:lineRule="auto"/>
        <w:outlineLvl w:val="0"/>
        <w:rPr>
          <w:rFonts w:hAnsi="宋体" w:cs="宋体"/>
          <w:color w:val="auto"/>
          <w:sz w:val="30"/>
          <w:szCs w:val="30"/>
          <w:highlight w:val="none"/>
        </w:rPr>
      </w:pPr>
    </w:p>
    <w:p w14:paraId="7243254C">
      <w:pPr>
        <w:pStyle w:val="20"/>
        <w:snapToGrid w:val="0"/>
        <w:spacing w:before="120" w:beforeLines="0" w:after="120" w:afterLines="0" w:line="240" w:lineRule="auto"/>
        <w:outlineLvl w:val="0"/>
        <w:rPr>
          <w:rFonts w:hAnsi="宋体" w:cs="宋体"/>
          <w:color w:val="auto"/>
          <w:sz w:val="30"/>
          <w:szCs w:val="30"/>
          <w:highlight w:val="none"/>
        </w:rPr>
      </w:pPr>
    </w:p>
    <w:p w14:paraId="4AEE2ECA">
      <w:pPr>
        <w:pStyle w:val="20"/>
        <w:snapToGrid w:val="0"/>
        <w:spacing w:before="120" w:beforeLines="0" w:after="120" w:afterLines="0" w:line="240" w:lineRule="auto"/>
        <w:outlineLvl w:val="0"/>
        <w:rPr>
          <w:rFonts w:hAnsi="宋体" w:cs="宋体"/>
          <w:color w:val="auto"/>
          <w:sz w:val="30"/>
          <w:szCs w:val="30"/>
          <w:highlight w:val="none"/>
        </w:rPr>
      </w:pPr>
    </w:p>
    <w:p w14:paraId="066BEB8C">
      <w:pPr>
        <w:pStyle w:val="20"/>
        <w:snapToGrid w:val="0"/>
        <w:spacing w:before="120" w:beforeLines="0" w:after="120" w:afterLines="0" w:line="240" w:lineRule="auto"/>
        <w:outlineLvl w:val="0"/>
        <w:rPr>
          <w:rFonts w:hAnsi="宋体" w:cs="宋体"/>
          <w:color w:val="auto"/>
          <w:sz w:val="30"/>
          <w:szCs w:val="30"/>
          <w:highlight w:val="none"/>
        </w:rPr>
      </w:pPr>
    </w:p>
    <w:p w14:paraId="326195DB">
      <w:pPr>
        <w:pStyle w:val="20"/>
        <w:snapToGrid w:val="0"/>
        <w:spacing w:before="120" w:beforeLines="0" w:after="120" w:afterLines="0" w:line="240" w:lineRule="auto"/>
        <w:outlineLvl w:val="0"/>
        <w:rPr>
          <w:rFonts w:hAnsi="宋体" w:cs="宋体"/>
          <w:color w:val="auto"/>
          <w:sz w:val="30"/>
          <w:szCs w:val="30"/>
          <w:highlight w:val="none"/>
        </w:rPr>
      </w:pPr>
    </w:p>
    <w:p w14:paraId="7DDF4F25">
      <w:pPr>
        <w:pStyle w:val="20"/>
        <w:snapToGrid w:val="0"/>
        <w:spacing w:before="120" w:beforeLines="0" w:after="120" w:afterLines="0" w:line="240" w:lineRule="auto"/>
        <w:outlineLvl w:val="0"/>
        <w:rPr>
          <w:rFonts w:hAnsi="宋体" w:cs="宋体"/>
          <w:color w:val="auto"/>
          <w:sz w:val="30"/>
          <w:szCs w:val="30"/>
          <w:highlight w:val="none"/>
        </w:rPr>
      </w:pPr>
    </w:p>
    <w:p w14:paraId="466E28F2">
      <w:pPr>
        <w:pStyle w:val="20"/>
        <w:snapToGrid w:val="0"/>
        <w:spacing w:before="120" w:beforeLines="0" w:after="120" w:afterLines="0" w:line="240" w:lineRule="auto"/>
        <w:outlineLvl w:val="0"/>
        <w:rPr>
          <w:rFonts w:hAnsi="宋体" w:cs="宋体"/>
          <w:color w:val="auto"/>
          <w:sz w:val="30"/>
          <w:szCs w:val="30"/>
          <w:highlight w:val="none"/>
        </w:rPr>
      </w:pPr>
    </w:p>
    <w:p w14:paraId="621E5B43">
      <w:pPr>
        <w:pStyle w:val="20"/>
        <w:snapToGrid w:val="0"/>
        <w:spacing w:before="120" w:beforeLines="0" w:after="120" w:afterLines="0" w:line="240" w:lineRule="auto"/>
        <w:outlineLvl w:val="0"/>
        <w:rPr>
          <w:rFonts w:hAnsi="宋体" w:cs="宋体"/>
          <w:color w:val="auto"/>
          <w:sz w:val="30"/>
          <w:szCs w:val="30"/>
          <w:highlight w:val="none"/>
        </w:rPr>
      </w:pPr>
    </w:p>
    <w:p w14:paraId="6B01CE97">
      <w:pPr>
        <w:pStyle w:val="20"/>
        <w:snapToGrid w:val="0"/>
        <w:spacing w:before="120" w:beforeLines="0" w:after="120" w:afterLines="0" w:line="240" w:lineRule="auto"/>
        <w:outlineLvl w:val="0"/>
        <w:rPr>
          <w:rFonts w:hAnsi="宋体" w:cs="宋体"/>
          <w:color w:val="auto"/>
          <w:sz w:val="30"/>
          <w:szCs w:val="30"/>
          <w:highlight w:val="none"/>
        </w:rPr>
      </w:pPr>
    </w:p>
    <w:p w14:paraId="66D690FB">
      <w:pPr>
        <w:pStyle w:val="20"/>
        <w:snapToGrid w:val="0"/>
        <w:spacing w:before="120" w:beforeLines="0" w:after="120" w:afterLines="0" w:line="240" w:lineRule="auto"/>
        <w:outlineLvl w:val="0"/>
        <w:rPr>
          <w:rFonts w:hAnsi="宋体" w:cs="宋体"/>
          <w:color w:val="auto"/>
          <w:sz w:val="30"/>
          <w:szCs w:val="30"/>
          <w:highlight w:val="none"/>
        </w:rPr>
      </w:pPr>
    </w:p>
    <w:p w14:paraId="01307EEA">
      <w:pPr>
        <w:pStyle w:val="20"/>
        <w:snapToGrid w:val="0"/>
        <w:spacing w:before="120" w:beforeLines="0" w:after="120" w:afterLines="0" w:line="240" w:lineRule="auto"/>
        <w:jc w:val="center"/>
        <w:outlineLvl w:val="0"/>
        <w:rPr>
          <w:rFonts w:hAnsi="宋体" w:cs="宋体"/>
          <w:color w:val="auto"/>
          <w:sz w:val="30"/>
          <w:szCs w:val="30"/>
          <w:highlight w:val="none"/>
        </w:rPr>
        <w:sectPr>
          <w:headerReference r:id="rId7" w:type="first"/>
          <w:footerReference r:id="rId9" w:type="first"/>
          <w:headerReference r:id="rId6" w:type="default"/>
          <w:footerReference r:id="rId8" w:type="default"/>
          <w:pgSz w:w="11906" w:h="16838"/>
          <w:pgMar w:top="1134" w:right="1587" w:bottom="1134" w:left="1587" w:header="851" w:footer="850" w:gutter="0"/>
          <w:pgNumType w:start="1"/>
          <w:cols w:space="720" w:num="1"/>
          <w:titlePg/>
          <w:docGrid w:linePitch="312" w:charSpace="0"/>
        </w:sectPr>
      </w:pPr>
      <w:bookmarkStart w:id="2" w:name="第一章"/>
    </w:p>
    <w:p w14:paraId="7A43F0D0">
      <w:pPr>
        <w:pStyle w:val="20"/>
        <w:snapToGrid w:val="0"/>
        <w:spacing w:before="120" w:beforeLines="0" w:after="120" w:afterLines="0" w:line="240" w:lineRule="auto"/>
        <w:jc w:val="center"/>
        <w:outlineLvl w:val="0"/>
        <w:rPr>
          <w:rFonts w:hAnsi="宋体" w:cs="宋体"/>
          <w:color w:val="auto"/>
          <w:sz w:val="30"/>
          <w:szCs w:val="30"/>
          <w:highlight w:val="none"/>
        </w:rPr>
      </w:pPr>
      <w:r>
        <w:rPr>
          <w:rFonts w:hAnsi="宋体" w:cs="宋体"/>
          <w:color w:val="auto"/>
          <w:sz w:val="30"/>
          <w:szCs w:val="30"/>
          <w:highlight w:val="none"/>
        </w:rPr>
        <w:t>第一章  公开招标采购公告</w:t>
      </w:r>
      <w:bookmarkEnd w:id="1"/>
      <w:bookmarkEnd w:id="2"/>
      <w:r>
        <w:rPr>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highlight w:val="none"/>
        </w:rPr>
        <w:fldChar w:fldCharType="begin"/>
      </w:r>
      <w:r>
        <w:rPr>
          <w:rFonts w:hAnsi="宋体" w:cs="宋体"/>
          <w:color w:val="auto"/>
          <w:sz w:val="30"/>
          <w:szCs w:val="30"/>
          <w:highlight w:val="none"/>
        </w:rPr>
        <w:instrText xml:space="preserve"> XE "</w:instrText>
      </w:r>
      <w:r>
        <w:rPr>
          <w:rFonts w:hAnsi="宋体" w:cs="宋体"/>
          <w:color w:val="auto"/>
          <w:highlight w:val="none"/>
        </w:rPr>
        <w:instrText xml:space="preserve">第一章  公开招标采购公告</w:instrText>
      </w:r>
      <w:r>
        <w:rPr>
          <w:rFonts w:hAnsi="宋体" w:cs="宋体"/>
          <w:color w:val="auto"/>
          <w:sz w:val="30"/>
          <w:szCs w:val="30"/>
          <w:highlight w:val="none"/>
        </w:rPr>
        <w:instrText xml:space="preserve">" </w:instrText>
      </w:r>
      <w:r>
        <w:rPr>
          <w:rFonts w:hAnsi="宋体" w:cs="宋体"/>
          <w:color w:val="auto"/>
          <w:sz w:val="30"/>
          <w:szCs w:val="30"/>
          <w:highlight w:val="none"/>
        </w:rPr>
        <w:fldChar w:fldCharType="end"/>
      </w:r>
    </w:p>
    <w:p w14:paraId="14F1612E">
      <w:pPr>
        <w:pStyle w:val="98"/>
        <w:widowControl w:val="0"/>
        <w:spacing w:beforeLines="0" w:after="0" w:afterLines="0"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参照</w:t>
      </w:r>
      <w:r>
        <w:rPr>
          <w:rFonts w:hint="eastAsia" w:ascii="宋体" w:hAnsi="宋体" w:cs="宋体"/>
          <w:color w:val="auto"/>
          <w:szCs w:val="24"/>
          <w:highlight w:val="none"/>
          <w:lang w:eastAsia="zh-CN"/>
        </w:rPr>
        <w:t>《中华人民共和国招标投标法》</w:t>
      </w:r>
      <w:r>
        <w:rPr>
          <w:rFonts w:hint="eastAsia" w:ascii="宋体" w:hAnsi="宋体" w:cs="宋体"/>
          <w:color w:val="auto"/>
          <w:szCs w:val="24"/>
          <w:highlight w:val="none"/>
        </w:rPr>
        <w:t>等规定，受采购人委托，现就</w:t>
      </w:r>
      <w:r>
        <w:rPr>
          <w:rFonts w:hint="eastAsia" w:ascii="宋体" w:hAnsi="宋体" w:cs="宋体"/>
          <w:color w:val="auto"/>
          <w:szCs w:val="24"/>
          <w:highlight w:val="none"/>
          <w:u w:val="single"/>
          <w:lang w:eastAsia="zh-CN"/>
        </w:rPr>
        <w:t>台州湾文旅综合体项目餐厅工程（家具采购）</w:t>
      </w:r>
      <w:r>
        <w:rPr>
          <w:rFonts w:hint="eastAsia" w:ascii="宋体" w:hAnsi="宋体" w:cs="宋体"/>
          <w:color w:val="auto"/>
          <w:szCs w:val="24"/>
          <w:highlight w:val="none"/>
        </w:rPr>
        <w:t>进行公开招标采购，欢迎合格供应商前来投标：</w:t>
      </w:r>
    </w:p>
    <w:p w14:paraId="099D5774">
      <w:pPr>
        <w:pStyle w:val="20"/>
        <w:tabs>
          <w:tab w:val="left" w:pos="1620"/>
        </w:tabs>
        <w:snapToGrid w:val="0"/>
        <w:spacing w:before="0" w:beforeLines="0" w:after="0" w:afterLines="0" w:line="360" w:lineRule="auto"/>
        <w:ind w:firstLine="482" w:firstLineChars="200"/>
        <w:rPr>
          <w:rFonts w:hint="eastAsia" w:hAnsi="宋体" w:eastAsia="宋体" w:cs="宋体"/>
          <w:b w:val="0"/>
          <w:bCs/>
          <w:color w:val="auto"/>
          <w:sz w:val="28"/>
          <w:highlight w:val="none"/>
          <w:lang w:val="en-US" w:eastAsia="zh-CN"/>
        </w:rPr>
      </w:pPr>
      <w:r>
        <w:rPr>
          <w:rFonts w:hAnsi="宋体" w:cs="宋体"/>
          <w:bCs/>
          <w:color w:val="auto"/>
          <w:highlight w:val="none"/>
        </w:rPr>
        <w:t>一、项目编号：QBJ2025038</w:t>
      </w:r>
      <w:r>
        <w:rPr>
          <w:rFonts w:hint="eastAsia" w:ascii="宋体" w:hAnsi="宋体" w:eastAsia="宋体" w:cs="宋体"/>
          <w:b w:val="0"/>
          <w:color w:val="auto"/>
          <w:kern w:val="2"/>
          <w:sz w:val="24"/>
          <w:szCs w:val="24"/>
          <w:highlight w:val="none"/>
          <w:lang w:val="en-US" w:eastAsia="zh-CN" w:bidi="ar-SA"/>
        </w:rPr>
        <w:tab/>
      </w:r>
    </w:p>
    <w:p w14:paraId="52704D0B">
      <w:pPr>
        <w:snapToGrid w:val="0"/>
        <w:spacing w:beforeLines="0" w:afterLines="0"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二、</w:t>
      </w:r>
      <w:r>
        <w:rPr>
          <w:rFonts w:hint="eastAsia" w:ascii="宋体" w:hAnsi="宋体" w:cs="宋体"/>
          <w:b/>
          <w:color w:val="auto"/>
          <w:sz w:val="24"/>
          <w:highlight w:val="none"/>
        </w:rPr>
        <w:t>采购组织类型：</w:t>
      </w:r>
      <w:r>
        <w:rPr>
          <w:rFonts w:hint="eastAsia" w:ascii="宋体" w:hAnsi="宋体" w:cs="宋体"/>
          <w:color w:val="auto"/>
          <w:sz w:val="24"/>
          <w:highlight w:val="none"/>
        </w:rPr>
        <w:t>分散采购委托代理</w:t>
      </w:r>
    </w:p>
    <w:p w14:paraId="3304E0A2">
      <w:pPr>
        <w:snapToGrid w:val="0"/>
        <w:spacing w:beforeLines="0" w:afterLines="0" w:line="360" w:lineRule="auto"/>
        <w:ind w:firstLine="482" w:firstLineChars="200"/>
        <w:rPr>
          <w:rFonts w:hint="eastAsia" w:ascii="宋体" w:hAnsi="宋体" w:cs="宋体"/>
          <w:color w:val="auto"/>
          <w:sz w:val="24"/>
          <w:szCs w:val="20"/>
          <w:highlight w:val="none"/>
        </w:rPr>
      </w:pPr>
      <w:r>
        <w:rPr>
          <w:rFonts w:hint="eastAsia" w:ascii="宋体" w:hAnsi="宋体" w:cs="宋体"/>
          <w:b/>
          <w:color w:val="auto"/>
          <w:sz w:val="24"/>
          <w:highlight w:val="none"/>
        </w:rPr>
        <w:t>三、采购方式：</w:t>
      </w:r>
      <w:r>
        <w:rPr>
          <w:rFonts w:hint="eastAsia" w:ascii="宋体" w:hAnsi="宋体" w:cs="宋体"/>
          <w:color w:val="auto"/>
          <w:sz w:val="24"/>
          <w:highlight w:val="none"/>
        </w:rPr>
        <w:t>公开招标</w:t>
      </w:r>
    </w:p>
    <w:p w14:paraId="2DA05BF4">
      <w:pPr>
        <w:snapToGrid w:val="0"/>
        <w:spacing w:beforeLines="0" w:afterLines="0" w:line="360" w:lineRule="auto"/>
        <w:ind w:firstLine="482" w:firstLineChars="200"/>
        <w:rPr>
          <w:rFonts w:hint="eastAsia" w:ascii="宋体" w:hAnsi="宋体" w:cs="宋体"/>
          <w:b/>
          <w:bCs/>
          <w:color w:val="auto"/>
          <w:sz w:val="24"/>
          <w:szCs w:val="20"/>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采购内容及数量</w:t>
      </w:r>
    </w:p>
    <w:tbl>
      <w:tblPr>
        <w:tblStyle w:val="37"/>
        <w:tblW w:w="105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
        <w:gridCol w:w="2081"/>
        <w:gridCol w:w="1216"/>
        <w:gridCol w:w="731"/>
        <w:gridCol w:w="700"/>
        <w:gridCol w:w="1314"/>
        <w:gridCol w:w="1230"/>
        <w:gridCol w:w="2488"/>
      </w:tblGrid>
      <w:tr w14:paraId="374CB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14:paraId="74B20181">
            <w:pPr>
              <w:keepNext w:val="0"/>
              <w:keepLines w:val="0"/>
              <w:suppressLineNumbers w:val="0"/>
              <w:snapToGrid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71C3A830">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674F03D">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简要技术要求</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C0EB5FE">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0CEB884">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单位</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221F488">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预算价（元）</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2AD70F6">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最高投标限价（元）</w:t>
            </w:r>
          </w:p>
        </w:tc>
        <w:tc>
          <w:tcPr>
            <w:tcW w:w="2488" w:type="dxa"/>
            <w:tcBorders>
              <w:top w:val="single" w:color="auto" w:sz="4" w:space="0"/>
              <w:left w:val="single" w:color="auto" w:sz="4" w:space="0"/>
              <w:bottom w:val="single" w:color="auto" w:sz="4" w:space="0"/>
              <w:right w:val="single" w:color="auto" w:sz="4" w:space="0"/>
            </w:tcBorders>
            <w:noWrap w:val="0"/>
            <w:vAlign w:val="center"/>
          </w:tcPr>
          <w:p w14:paraId="1530762C">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交货期</w:t>
            </w:r>
          </w:p>
        </w:tc>
      </w:tr>
      <w:tr w14:paraId="3FB76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783" w:type="dxa"/>
            <w:tcBorders>
              <w:top w:val="single" w:color="auto" w:sz="4" w:space="0"/>
              <w:left w:val="single" w:color="auto" w:sz="4" w:space="0"/>
              <w:right w:val="single" w:color="auto" w:sz="4" w:space="0"/>
            </w:tcBorders>
            <w:noWrap w:val="0"/>
            <w:vAlign w:val="center"/>
          </w:tcPr>
          <w:p w14:paraId="7B8DA5F6">
            <w:pPr>
              <w:keepNext w:val="0"/>
              <w:keepLines w:val="0"/>
              <w:suppressLineNumbers w:val="0"/>
              <w:snapToGrid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081" w:type="dxa"/>
            <w:tcBorders>
              <w:top w:val="single" w:color="auto" w:sz="4" w:space="0"/>
              <w:left w:val="single" w:color="auto" w:sz="4" w:space="0"/>
              <w:right w:val="single" w:color="auto" w:sz="4" w:space="0"/>
            </w:tcBorders>
            <w:noWrap w:val="0"/>
            <w:vAlign w:val="center"/>
          </w:tcPr>
          <w:p w14:paraId="696B1AD9">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台州湾文旅综合体项目餐厅工程（家具采购）</w:t>
            </w:r>
            <w:r>
              <w:rPr>
                <w:rFonts w:hint="eastAsia" w:ascii="宋体" w:hAnsi="宋体" w:cs="宋体"/>
                <w:bCs/>
                <w:color w:val="auto"/>
                <w:sz w:val="24"/>
                <w:highlight w:val="none"/>
                <w:lang w:eastAsia="zh-CN"/>
              </w:rPr>
              <w:tab/>
            </w:r>
            <w:r>
              <w:rPr>
                <w:rFonts w:hint="eastAsia" w:ascii="宋体" w:hAnsi="宋体" w:cs="宋体"/>
                <w:bCs/>
                <w:color w:val="auto"/>
                <w:sz w:val="24"/>
                <w:highlight w:val="none"/>
                <w:lang w:eastAsia="zh-CN"/>
              </w:rPr>
              <w:tab/>
            </w:r>
          </w:p>
        </w:tc>
        <w:tc>
          <w:tcPr>
            <w:tcW w:w="1216" w:type="dxa"/>
            <w:tcBorders>
              <w:top w:val="single" w:color="auto" w:sz="4" w:space="0"/>
              <w:left w:val="single" w:color="auto" w:sz="4" w:space="0"/>
              <w:right w:val="single" w:color="auto" w:sz="4" w:space="0"/>
            </w:tcBorders>
            <w:noWrap w:val="0"/>
            <w:vAlign w:val="center"/>
          </w:tcPr>
          <w:p w14:paraId="3AEC919B">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详见招标文件</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D7EB606">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B27348E">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批</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F1F84C9">
            <w:pPr>
              <w:keepNext w:val="0"/>
              <w:keepLines w:val="0"/>
              <w:suppressLineNumbers w:val="0"/>
              <w:spacing w:before="0" w:beforeLines="0" w:beforeAutospacing="0" w:after="0" w:afterLines="0" w:afterAutospacing="0" w:line="360" w:lineRule="auto"/>
              <w:ind w:left="0" w:right="0"/>
              <w:jc w:val="center"/>
              <w:rPr>
                <w:rFonts w:hint="default"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376977.7</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83421F3">
            <w:pPr>
              <w:keepNext w:val="0"/>
              <w:keepLines w:val="0"/>
              <w:suppressLineNumbers w:val="0"/>
              <w:spacing w:before="0" w:beforeLines="0" w:beforeAutospacing="0" w:after="0" w:afterLines="0" w:afterAutospacing="0" w:line="360" w:lineRule="auto"/>
              <w:ind w:left="0" w:right="0"/>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376977.7</w:t>
            </w:r>
          </w:p>
        </w:tc>
        <w:tc>
          <w:tcPr>
            <w:tcW w:w="2488" w:type="dxa"/>
            <w:tcBorders>
              <w:top w:val="single" w:color="auto" w:sz="4" w:space="0"/>
              <w:left w:val="single" w:color="auto" w:sz="4" w:space="0"/>
              <w:bottom w:val="single" w:color="auto" w:sz="4" w:space="0"/>
              <w:right w:val="single" w:color="auto" w:sz="4" w:space="0"/>
            </w:tcBorders>
            <w:noWrap w:val="0"/>
            <w:vAlign w:val="center"/>
          </w:tcPr>
          <w:p w14:paraId="79C71F4F">
            <w:pPr>
              <w:keepNext w:val="0"/>
              <w:keepLines w:val="0"/>
              <w:suppressLineNumbers w:val="0"/>
              <w:spacing w:before="0" w:beforeLines="0" w:beforeAutospacing="0" w:after="0" w:afterLines="0" w:afterAutospacing="0" w:line="360" w:lineRule="auto"/>
              <w:ind w:left="0" w:right="0"/>
              <w:rPr>
                <w:rFonts w:hint="eastAsia" w:ascii="宋体" w:hAnsi="宋体" w:cs="宋体"/>
                <w:bCs/>
                <w:color w:val="auto"/>
                <w:sz w:val="24"/>
                <w:highlight w:val="none"/>
              </w:rPr>
            </w:pPr>
            <w:r>
              <w:rPr>
                <w:rFonts w:hint="eastAsia" w:ascii="宋体" w:hAnsi="宋体" w:eastAsia="宋体" w:cs="宋体"/>
                <w:bCs/>
                <w:color w:val="auto"/>
                <w:sz w:val="24"/>
                <w:highlight w:val="none"/>
                <w:lang w:val="en-US" w:eastAsia="zh-CN"/>
              </w:rPr>
              <w:t>自合同签订之日起25天内完成供货、运输、安装、调试，且验收合格达到交付使用要求。</w:t>
            </w:r>
          </w:p>
        </w:tc>
      </w:tr>
    </w:tbl>
    <w:p w14:paraId="02A73E68">
      <w:pPr>
        <w:snapToGrid w:val="0"/>
        <w:spacing w:beforeLines="0" w:afterLines="0" w:line="360" w:lineRule="auto"/>
        <w:ind w:firstLine="482" w:firstLineChars="200"/>
        <w:rPr>
          <w:rFonts w:hint="eastAsia" w:ascii="宋体" w:hAnsi="宋体" w:cs="宋体"/>
          <w:b/>
          <w:bCs/>
          <w:color w:val="auto"/>
          <w:sz w:val="24"/>
          <w:szCs w:val="20"/>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w:t>
      </w:r>
      <w:r>
        <w:rPr>
          <w:rFonts w:hint="eastAsia" w:ascii="宋体" w:hAnsi="宋体" w:cs="宋体"/>
          <w:b/>
          <w:bCs/>
          <w:color w:val="auto"/>
          <w:sz w:val="24"/>
          <w:highlight w:val="none"/>
        </w:rPr>
        <w:t>合格投标人的资格要求：</w:t>
      </w:r>
    </w:p>
    <w:p w14:paraId="20E6294C">
      <w:pPr>
        <w:tabs>
          <w:tab w:val="left" w:pos="180"/>
          <w:tab w:val="left" w:pos="360"/>
          <w:tab w:val="left" w:pos="540"/>
          <w:tab w:val="left" w:pos="8280"/>
        </w:tabs>
        <w:autoSpaceDE w:val="0"/>
        <w:autoSpaceDN w:val="0"/>
        <w:adjustRightInd w:val="0"/>
        <w:spacing w:beforeLines="0" w:afterLines="0" w:line="360" w:lineRule="auto"/>
        <w:ind w:firstLine="480" w:firstLineChars="200"/>
        <w:jc w:val="left"/>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lang w:val="en-US" w:eastAsia="zh-CN"/>
        </w:rPr>
        <w:t>一</w:t>
      </w:r>
      <w:r>
        <w:rPr>
          <w:rFonts w:hint="eastAsia" w:ascii="宋体"/>
          <w:color w:val="auto"/>
          <w:sz w:val="24"/>
          <w:highlight w:val="none"/>
        </w:rPr>
        <w:t>）本项目不接受联合体投标。</w:t>
      </w:r>
    </w:p>
    <w:p w14:paraId="4582C7FE">
      <w:pPr>
        <w:pStyle w:val="13"/>
        <w:spacing w:beforeLines="0" w:after="0" w:line="360" w:lineRule="auto"/>
        <w:ind w:firstLine="480" w:firstLineChars="200"/>
        <w:rPr>
          <w:rFonts w:hint="eastAsia"/>
          <w:color w:val="auto"/>
          <w:highlight w:val="none"/>
        </w:rPr>
      </w:pPr>
      <w:r>
        <w:rPr>
          <w:rFonts w:hint="eastAsia" w:ascii="宋体"/>
          <w:color w:val="auto"/>
          <w:sz w:val="24"/>
          <w:highlight w:val="none"/>
        </w:rPr>
        <w:t>（</w:t>
      </w:r>
      <w:r>
        <w:rPr>
          <w:rFonts w:hint="eastAsia" w:ascii="宋体"/>
          <w:color w:val="auto"/>
          <w:sz w:val="24"/>
          <w:highlight w:val="none"/>
          <w:lang w:val="en-US" w:eastAsia="zh-CN"/>
        </w:rPr>
        <w:t>二</w:t>
      </w:r>
      <w:r>
        <w:rPr>
          <w:rFonts w:hint="eastAsia" w:ascii="宋体"/>
          <w:color w:val="auto"/>
          <w:sz w:val="24"/>
          <w:highlight w:val="none"/>
        </w:rPr>
        <w:t>）投标人特定资格要求：</w:t>
      </w:r>
      <w:r>
        <w:rPr>
          <w:rFonts w:hint="eastAsia" w:ascii="宋体"/>
          <w:color w:val="auto"/>
          <w:sz w:val="24"/>
          <w:highlight w:val="none"/>
          <w:lang w:val="en-US" w:eastAsia="zh-CN"/>
        </w:rPr>
        <w:t>具</w:t>
      </w:r>
      <w:r>
        <w:rPr>
          <w:rFonts w:hint="eastAsia" w:ascii="宋体"/>
          <w:color w:val="auto"/>
          <w:sz w:val="24"/>
          <w:highlight w:val="none"/>
        </w:rPr>
        <w:t>有良好履约能力及售后服务能力的所投产品的制造商或其唯一授权代理商</w:t>
      </w:r>
      <w:r>
        <w:rPr>
          <w:rFonts w:hint="eastAsia" w:ascii="宋体" w:hAnsi="宋体"/>
          <w:color w:val="auto"/>
          <w:sz w:val="24"/>
          <w:highlight w:val="none"/>
        </w:rPr>
        <w:t>。</w:t>
      </w:r>
    </w:p>
    <w:p w14:paraId="775337A9">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六、获取招标文件方式：</w:t>
      </w:r>
    </w:p>
    <w:p w14:paraId="7E3ADE10">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6D16ECCD">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七、招标答疑会</w:t>
      </w:r>
    </w:p>
    <w:p w14:paraId="6A1B964D">
      <w:pPr>
        <w:snapToGrid w:val="0"/>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w:t>
      </w:r>
    </w:p>
    <w:p w14:paraId="013949C0">
      <w:pPr>
        <w:snapToGrid w:val="0"/>
        <w:spacing w:beforeLines="0" w:afterLines="0" w:line="360" w:lineRule="auto"/>
        <w:ind w:firstLine="482" w:firstLineChars="200"/>
        <w:jc w:val="left"/>
        <w:rPr>
          <w:rFonts w:hint="eastAsia" w:ascii="宋体" w:hAnsi="宋体" w:cs="宋体"/>
          <w:color w:val="auto"/>
          <w:sz w:val="24"/>
          <w:szCs w:val="20"/>
          <w:highlight w:val="none"/>
        </w:rPr>
      </w:pPr>
      <w:r>
        <w:rPr>
          <w:rFonts w:hint="eastAsia" w:ascii="宋体" w:hAnsi="宋体" w:cs="宋体"/>
          <w:b/>
          <w:bCs/>
          <w:color w:val="auto"/>
          <w:sz w:val="24"/>
          <w:highlight w:val="none"/>
        </w:rPr>
        <w:t>八、投标截止及时间和地点</w:t>
      </w:r>
      <w:r>
        <w:rPr>
          <w:rFonts w:hint="eastAsia" w:ascii="宋体" w:hAnsi="宋体" w:cs="宋体"/>
          <w:color w:val="auto"/>
          <w:sz w:val="24"/>
          <w:highlight w:val="none"/>
        </w:rPr>
        <w:t>：</w:t>
      </w:r>
    </w:p>
    <w:p w14:paraId="504B54B8">
      <w:pPr>
        <w:pStyle w:val="8"/>
        <w:snapToGrid w:val="0"/>
        <w:spacing w:before="0" w:beforeLines="0" w:after="0" w:afterLines="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lang w:val="en-US" w:eastAsia="zh-CN"/>
        </w:rPr>
        <w:t>2025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04</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28</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u w:val="single"/>
          <w:lang w:val="en-US" w:eastAsia="zh-CN"/>
        </w:rPr>
        <w:t>10</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u w:val="single"/>
          <w:lang w:val="en-US" w:eastAsia="zh-CN"/>
        </w:rPr>
        <w:t>00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）进行在线提交；样品须在投标截止时间前送至台州市椒江区开发大道东梦想园区海虹街道一楼大厅</w:t>
      </w:r>
      <w:r>
        <w:rPr>
          <w:rStyle w:val="43"/>
          <w:rFonts w:hint="eastAsia" w:ascii="宋体" w:hAnsi="宋体" w:cs="宋体"/>
          <w:color w:val="auto"/>
          <w:sz w:val="24"/>
          <w:szCs w:val="24"/>
          <w:highlight w:val="none"/>
          <w:lang w:eastAsia="zh-CN"/>
        </w:rPr>
        <w:t>。</w:t>
      </w:r>
      <w:r>
        <w:rPr>
          <w:color w:val="auto"/>
          <w:sz w:val="24"/>
          <w:szCs w:val="24"/>
          <w:highlight w:val="none"/>
        </w:rPr>
        <w:fldChar w:fldCharType="end"/>
      </w:r>
      <w:r>
        <w:rPr>
          <w:rFonts w:hint="eastAsia"/>
          <w:color w:val="auto"/>
          <w:sz w:val="24"/>
          <w:szCs w:val="24"/>
          <w:highlight w:val="none"/>
          <w:lang w:val="en-US" w:eastAsia="zh-CN"/>
        </w:rPr>
        <w:t>样品递交时间：</w:t>
      </w:r>
      <w:r>
        <w:rPr>
          <w:rFonts w:hint="eastAsia" w:ascii="宋体" w:hAnsi="宋体" w:cs="宋体"/>
          <w:bCs/>
          <w:color w:val="auto"/>
          <w:kern w:val="0"/>
          <w:sz w:val="24"/>
          <w:highlight w:val="none"/>
          <w:u w:val="single"/>
          <w:lang w:val="en-US" w:eastAsia="zh-CN"/>
        </w:rPr>
        <w:t>2025</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u w:val="single"/>
          <w:lang w:val="en-US" w:eastAsia="zh-CN"/>
        </w:rPr>
        <w:t>04</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u w:val="single"/>
          <w:lang w:val="en-US" w:eastAsia="zh-CN"/>
        </w:rPr>
        <w:t>28</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u w:val="single"/>
          <w:lang w:val="en-US" w:eastAsia="zh-CN"/>
        </w:rPr>
        <w:t>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00</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10</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00</w:t>
      </w:r>
    </w:p>
    <w:p w14:paraId="41512D7F">
      <w:pPr>
        <w:pStyle w:val="8"/>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无需</w:t>
      </w:r>
      <w:r>
        <w:rPr>
          <w:rFonts w:hint="eastAsia" w:ascii="宋体" w:hAnsi="宋体" w:cs="宋体"/>
          <w:color w:val="auto"/>
          <w:sz w:val="24"/>
          <w:szCs w:val="24"/>
          <w:highlight w:val="none"/>
          <w:lang w:eastAsia="zh-CN"/>
        </w:rPr>
        <w:t>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6B406FA4">
      <w:pPr>
        <w:pStyle w:val="8"/>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04C3CA05">
      <w:pPr>
        <w:pStyle w:val="8"/>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7C293828">
      <w:pPr>
        <w:pStyle w:val="8"/>
        <w:snapToGrid w:val="0"/>
        <w:spacing w:before="0" w:beforeLines="0" w:after="0" w:afterLines="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联系人:蔡永正、章家炀，联系方式:13454667697、0576-88517791</w:t>
      </w:r>
      <w:r>
        <w:rPr>
          <w:rFonts w:hint="eastAsia" w:ascii="宋体" w:hAnsi="宋体" w:cs="宋体"/>
          <w:color w:val="auto"/>
          <w:sz w:val="24"/>
          <w:szCs w:val="24"/>
          <w:highlight w:val="none"/>
        </w:rPr>
        <w:t>）</w:t>
      </w:r>
    </w:p>
    <w:p w14:paraId="190D0E25">
      <w:pPr>
        <w:spacing w:beforeLines="0" w:afterLines="0" w:line="360" w:lineRule="auto"/>
        <w:ind w:firstLine="482" w:firstLineChars="200"/>
        <w:rPr>
          <w:rFonts w:hint="eastAsia" w:ascii="宋体" w:hAnsi="宋体" w:cs="宋体"/>
          <w:b/>
          <w:color w:val="auto"/>
          <w:sz w:val="24"/>
          <w:highlight w:val="none"/>
          <w:u w:val="single"/>
        </w:rPr>
      </w:pPr>
      <w:r>
        <w:rPr>
          <w:rFonts w:hint="eastAsia" w:ascii="宋体" w:hAnsi="宋体" w:cs="宋体"/>
          <w:b/>
          <w:color w:val="auto"/>
          <w:sz w:val="24"/>
          <w:highlight w:val="none"/>
          <w:u w:val="single"/>
        </w:rPr>
        <w:t>注：1、所有样品均不得有公司名称、品牌名称、商标标识等任何体现投标</w:t>
      </w:r>
      <w:r>
        <w:rPr>
          <w:rFonts w:hint="eastAsia" w:ascii="宋体" w:hAnsi="宋体" w:cs="宋体"/>
          <w:b/>
          <w:color w:val="auto"/>
          <w:sz w:val="24"/>
          <w:highlight w:val="none"/>
          <w:u w:val="single"/>
          <w:lang w:val="en-US" w:eastAsia="zh-CN"/>
        </w:rPr>
        <w:t>人</w:t>
      </w:r>
      <w:r>
        <w:rPr>
          <w:rFonts w:hint="eastAsia" w:ascii="宋体" w:hAnsi="宋体" w:cs="宋体"/>
          <w:b/>
          <w:color w:val="auto"/>
          <w:sz w:val="24"/>
          <w:highlight w:val="none"/>
          <w:u w:val="single"/>
        </w:rPr>
        <w:t>的信息，否则样品分作0分处理。</w:t>
      </w:r>
    </w:p>
    <w:p w14:paraId="073632E7">
      <w:pPr>
        <w:snapToGrid w:val="0"/>
        <w:spacing w:beforeLines="0" w:afterLines="0" w:line="360" w:lineRule="auto"/>
        <w:ind w:firstLine="482" w:firstLineChars="200"/>
        <w:rPr>
          <w:rFonts w:hint="eastAsia" w:ascii="宋体" w:hAnsi="宋体" w:cs="宋体"/>
          <w:color w:val="auto"/>
          <w:sz w:val="24"/>
          <w:szCs w:val="20"/>
          <w:highlight w:val="none"/>
        </w:rPr>
      </w:pPr>
      <w:r>
        <w:rPr>
          <w:rFonts w:hint="eastAsia" w:ascii="宋体" w:hAnsi="宋体" w:cs="宋体"/>
          <w:b/>
          <w:bCs/>
          <w:color w:val="auto"/>
          <w:sz w:val="24"/>
          <w:highlight w:val="none"/>
        </w:rPr>
        <w:t>九、开标时间及地点</w:t>
      </w:r>
      <w:r>
        <w:rPr>
          <w:rFonts w:hint="eastAsia" w:ascii="宋体" w:hAnsi="宋体" w:cs="宋体"/>
          <w:color w:val="auto"/>
          <w:sz w:val="24"/>
          <w:highlight w:val="none"/>
        </w:rPr>
        <w:t>：</w:t>
      </w:r>
    </w:p>
    <w:p w14:paraId="6DD7C344">
      <w:pPr>
        <w:snapToGrid w:val="0"/>
        <w:spacing w:beforeLines="0" w:afterLines="0"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开标时间与投标截止时间相同。（投标人代表一律不参加现场开标，开标过程中投标人、招标人可通过在线直播参与监督开标过程。直播网络地址：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43"/>
          <w:color w:val="auto"/>
          <w:highlight w:val="none"/>
        </w:rPr>
        <w:t>www.tzwztb.com/live/</w:t>
      </w:r>
      <w:r>
        <w:rPr>
          <w:color w:val="auto"/>
          <w:highlight w:val="none"/>
        </w:rPr>
        <w:fldChar w:fldCharType="end"/>
      </w:r>
      <w:r>
        <w:rPr>
          <w:color w:val="auto"/>
          <w:highlight w:val="none"/>
        </w:rPr>
        <w:t xml:space="preserve"> </w:t>
      </w:r>
      <w:r>
        <w:rPr>
          <w:rFonts w:hint="eastAsia"/>
          <w:color w:val="auto"/>
          <w:highlight w:val="none"/>
        </w:rPr>
        <w:t>。</w:t>
      </w:r>
      <w:r>
        <w:rPr>
          <w:rFonts w:hint="eastAsia" w:ascii="宋体" w:hAnsi="宋体" w:cs="宋体"/>
          <w:bCs/>
          <w:color w:val="auto"/>
          <w:kern w:val="0"/>
          <w:sz w:val="24"/>
          <w:highlight w:val="none"/>
        </w:rPr>
        <w:t xml:space="preserve"> </w:t>
      </w:r>
    </w:p>
    <w:p w14:paraId="10D50DCB">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w:t>
      </w:r>
      <w:r>
        <w:rPr>
          <w:rStyle w:val="40"/>
          <w:rFonts w:hint="eastAsia" w:ascii="宋体" w:hAnsi="宋体" w:eastAsia="宋体" w:cs="宋体"/>
          <w:i w:val="0"/>
          <w:iCs w:val="0"/>
          <w:caps w:val="0"/>
          <w:color w:val="auto"/>
          <w:spacing w:val="0"/>
          <w:sz w:val="24"/>
          <w:szCs w:val="24"/>
          <w:highlight w:val="none"/>
          <w:shd w:val="clear" w:color="auto" w:fill="FFFFFF"/>
        </w:rPr>
        <w:t>公告、公示媒体</w:t>
      </w:r>
      <w:r>
        <w:rPr>
          <w:rFonts w:hint="eastAsia" w:ascii="宋体" w:hAnsi="宋体" w:cs="宋体"/>
          <w:b/>
          <w:color w:val="auto"/>
          <w:kern w:val="0"/>
          <w:sz w:val="24"/>
          <w:highlight w:val="none"/>
        </w:rPr>
        <w:t>：</w:t>
      </w:r>
    </w:p>
    <w:p w14:paraId="07D85A19">
      <w:pPr>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（http://www.tzwztb.com）及“浙江省政府采购网”（http:// www.zjzfcg.gov.cn）。</w:t>
      </w:r>
    </w:p>
    <w:p w14:paraId="72B94B1F">
      <w:pPr>
        <w:numPr>
          <w:ilvl w:val="0"/>
          <w:numId w:val="0"/>
        </w:numPr>
        <w:snapToGrid w:val="0"/>
        <w:spacing w:beforeLines="0" w:afterLines="0"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kern w:val="2"/>
          <w:sz w:val="24"/>
          <w:szCs w:val="24"/>
          <w:highlight w:val="none"/>
          <w:lang w:val="en-US" w:eastAsia="zh-CN" w:bidi="ar-SA"/>
        </w:rPr>
        <w:t>十一、</w:t>
      </w:r>
      <w:r>
        <w:rPr>
          <w:rFonts w:hint="eastAsia" w:ascii="宋体" w:hAnsi="宋体" w:cs="宋体"/>
          <w:b/>
          <w:color w:val="auto"/>
          <w:sz w:val="24"/>
          <w:highlight w:val="none"/>
          <w:lang w:val="en-US" w:eastAsia="zh-CN"/>
        </w:rPr>
        <w:t>备注：</w:t>
      </w:r>
    </w:p>
    <w:p w14:paraId="700151C3">
      <w:pPr>
        <w:numPr>
          <w:ilvl w:val="0"/>
          <w:numId w:val="0"/>
        </w:numPr>
        <w:snapToGrid w:val="0"/>
        <w:spacing w:beforeLines="0" w:afterLines="0" w:line="360" w:lineRule="auto"/>
        <w:ind w:firstLine="482" w:firstLineChars="200"/>
        <w:rPr>
          <w:rFonts w:hint="default" w:ascii="宋体" w:hAnsi="宋体" w:cs="宋体"/>
          <w:b/>
          <w:color w:val="auto"/>
          <w:sz w:val="24"/>
          <w:highlight w:val="none"/>
          <w:lang w:val="en-US" w:eastAsia="zh-CN"/>
        </w:rPr>
      </w:pPr>
      <w:r>
        <w:rPr>
          <w:rFonts w:hint="default" w:ascii="宋体" w:hAnsi="宋体" w:cs="宋体"/>
          <w:b/>
          <w:color w:val="auto"/>
          <w:sz w:val="24"/>
          <w:highlight w:val="none"/>
          <w:lang w:val="en-US" w:eastAsia="zh-CN"/>
        </w:rPr>
        <w:t>本次开评标交易服务费，在评标结束后，由中标人支付给平台运营方。收费标准见台州湾新区小额工程电子交易平台官网首页通知公告（https://www.tzwztb.com/web/PubNews/viewinfo.aspx?nid=73）</w:t>
      </w:r>
    </w:p>
    <w:p w14:paraId="3BDE8631">
      <w:pPr>
        <w:snapToGrid w:val="0"/>
        <w:spacing w:beforeLines="0" w:afterLines="0"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、联系方式：</w:t>
      </w:r>
    </w:p>
    <w:p w14:paraId="392DBC7F">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（一）采购代理机构</w:t>
      </w:r>
    </w:p>
    <w:p w14:paraId="390A446E">
      <w:pPr>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代理机构名称：</w:t>
      </w:r>
      <w:r>
        <w:rPr>
          <w:rFonts w:hint="eastAsia" w:ascii="宋体" w:hAnsi="宋体" w:cs="宋体"/>
          <w:color w:val="auto"/>
          <w:sz w:val="24"/>
          <w:highlight w:val="none"/>
          <w:u w:val="single"/>
        </w:rPr>
        <w:t>台州市建设咨询有限公司</w:t>
      </w:r>
    </w:p>
    <w:p w14:paraId="6155BDA0">
      <w:pPr>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eastAsia="zh-CN"/>
        </w:rPr>
        <w:t>章家炀</w:t>
      </w:r>
      <w:r>
        <w:rPr>
          <w:rFonts w:hint="eastAsia" w:ascii="宋体" w:hAnsi="宋体" w:cs="宋体"/>
          <w:color w:val="auto"/>
          <w:sz w:val="24"/>
          <w:highlight w:val="none"/>
        </w:rPr>
        <w:t>　</w:t>
      </w:r>
    </w:p>
    <w:p w14:paraId="4775AD2E">
      <w:pPr>
        <w:spacing w:beforeLines="0" w:afterLines="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0576-88517791</w:t>
      </w:r>
    </w:p>
    <w:p w14:paraId="56877C60">
      <w:pPr>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浙江省台州市市府大道507号台州国际商务广场1幢（北门）11楼</w:t>
      </w:r>
      <w:r>
        <w:rPr>
          <w:rFonts w:hint="eastAsia" w:ascii="宋体" w:hAnsi="宋体" w:cs="宋体"/>
          <w:color w:val="auto"/>
          <w:sz w:val="24"/>
          <w:highlight w:val="none"/>
        </w:rPr>
        <w:t xml:space="preserve"> </w:t>
      </w:r>
    </w:p>
    <w:p w14:paraId="7C306998">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（二）采购人</w:t>
      </w:r>
    </w:p>
    <w:p w14:paraId="320E1483">
      <w:pPr>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single"/>
          <w:lang w:eastAsia="zh-CN"/>
        </w:rPr>
        <w:t>浙江台州湾文化旅游发展有限公司</w:t>
      </w:r>
      <w:r>
        <w:rPr>
          <w:rFonts w:hint="eastAsia" w:ascii="宋体" w:hAnsi="宋体" w:cs="宋体"/>
          <w:color w:val="auto"/>
          <w:sz w:val="24"/>
          <w:highlight w:val="none"/>
        </w:rPr>
        <w:t xml:space="preserve"> </w:t>
      </w:r>
    </w:p>
    <w:p w14:paraId="135F0E0F">
      <w:pPr>
        <w:spacing w:beforeLines="0" w:afterLines="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eastAsia="zh-CN"/>
        </w:rPr>
        <w:t>梁先生</w:t>
      </w:r>
      <w:r>
        <w:rPr>
          <w:rFonts w:hint="eastAsia" w:ascii="宋体" w:hAnsi="宋体" w:cs="宋体"/>
          <w:color w:val="auto"/>
          <w:sz w:val="24"/>
          <w:highlight w:val="none"/>
          <w:lang w:eastAsia="zh-CN"/>
        </w:rPr>
        <w:tab/>
      </w:r>
    </w:p>
    <w:p w14:paraId="315FF06C">
      <w:pPr>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0576-88217586</w:t>
      </w:r>
      <w:r>
        <w:rPr>
          <w:rFonts w:hint="eastAsia" w:ascii="宋体" w:hAnsi="宋体" w:cs="宋体"/>
          <w:color w:val="auto"/>
          <w:sz w:val="24"/>
          <w:highlight w:val="none"/>
          <w:lang w:eastAsia="zh-CN"/>
        </w:rPr>
        <w:tab/>
      </w:r>
      <w:r>
        <w:rPr>
          <w:rFonts w:hint="eastAsia" w:ascii="宋体" w:hAnsi="宋体" w:cs="宋体"/>
          <w:color w:val="auto"/>
          <w:sz w:val="24"/>
          <w:highlight w:val="none"/>
        </w:rPr>
        <w:t xml:space="preserve">  </w:t>
      </w:r>
    </w:p>
    <w:p w14:paraId="0A2BEE7D">
      <w:pPr>
        <w:pStyle w:val="13"/>
        <w:spacing w:beforeLines="0" w:after="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采购人地址：</w:t>
      </w:r>
      <w:r>
        <w:rPr>
          <w:rFonts w:hint="eastAsia" w:ascii="宋体" w:hAnsi="宋体" w:cs="宋体"/>
          <w:color w:val="auto"/>
          <w:sz w:val="24"/>
          <w:highlight w:val="none"/>
          <w:u w:val="single"/>
          <w:lang w:eastAsia="zh-CN"/>
        </w:rPr>
        <w:t>浙江省开发大道东段818号2幢1层103室</w:t>
      </w:r>
    </w:p>
    <w:p w14:paraId="516C6270">
      <w:pPr>
        <w:spacing w:line="360" w:lineRule="auto"/>
        <w:ind w:firstLine="482" w:firstLineChars="200"/>
        <w:rPr>
          <w:rFonts w:ascii="宋体" w:hAnsi="宋体" w:cs="宋体"/>
          <w:sz w:val="24"/>
          <w:highlight w:val="none"/>
          <w:u w:val="single"/>
        </w:rPr>
      </w:pPr>
      <w:r>
        <w:rPr>
          <w:rFonts w:hint="eastAsia" w:ascii="宋体" w:hAnsi="宋体" w:cs="宋体"/>
          <w:b/>
          <w:sz w:val="24"/>
          <w:highlight w:val="none"/>
        </w:rPr>
        <w:t>（三）同级监管机构</w:t>
      </w:r>
    </w:p>
    <w:p w14:paraId="46093110">
      <w:pPr>
        <w:widowControl/>
        <w:spacing w:line="336" w:lineRule="auto"/>
        <w:ind w:firstLine="600" w:firstLineChars="250"/>
        <w:jc w:val="left"/>
        <w:rPr>
          <w:rFonts w:ascii="宋体" w:hAnsi="宋体" w:cs="宋体"/>
          <w:kern w:val="0"/>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lang w:val="en-US" w:eastAsia="zh-CN"/>
        </w:rPr>
        <w:t>台州湾新区</w:t>
      </w:r>
      <w:r>
        <w:rPr>
          <w:rFonts w:hint="eastAsia" w:ascii="宋体" w:hAnsi="宋体" w:cs="宋体"/>
          <w:sz w:val="24"/>
          <w:highlight w:val="none"/>
          <w:u w:val="single"/>
        </w:rPr>
        <w:t>行政审批与投资服务局</w:t>
      </w:r>
    </w:p>
    <w:p w14:paraId="69AC0C80">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地 址：</w:t>
      </w:r>
      <w:r>
        <w:rPr>
          <w:rFonts w:hint="eastAsia" w:ascii="宋体" w:hAnsi="宋体" w:cs="宋体"/>
          <w:sz w:val="24"/>
          <w:highlight w:val="none"/>
          <w:u w:val="single"/>
        </w:rPr>
        <w:t>台州市甲南大道东段9号</w:t>
      </w:r>
    </w:p>
    <w:p w14:paraId="0868749A">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联系人：</w:t>
      </w:r>
      <w:r>
        <w:rPr>
          <w:rFonts w:hint="eastAsia" w:ascii="宋体" w:hAnsi="宋体" w:cs="宋体"/>
          <w:kern w:val="0"/>
          <w:sz w:val="24"/>
          <w:highlight w:val="none"/>
          <w:u w:val="single"/>
        </w:rPr>
        <w:t>邱先生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A4DF337">
      <w:pPr>
        <w:spacing w:beforeLines="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0576-88652630</w:t>
      </w:r>
      <w:bookmarkStart w:id="40" w:name="_GoBack"/>
      <w:bookmarkEnd w:id="40"/>
    </w:p>
    <w:p w14:paraId="26698B3F">
      <w:pPr>
        <w:spacing w:beforeLines="0" w:afterLines="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（四）台州湾新区小额工程电子交易平台</w:t>
      </w:r>
    </w:p>
    <w:p w14:paraId="758B4DCA">
      <w:pPr>
        <w:spacing w:beforeLines="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蔡永正、王明月</w:t>
      </w:r>
    </w:p>
    <w:p w14:paraId="7AA3C9CB">
      <w:pPr>
        <w:spacing w:beforeLines="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13454667697、13757680207</w:t>
      </w:r>
    </w:p>
    <w:p w14:paraId="17057F28">
      <w:pPr>
        <w:spacing w:beforeLines="0" w:afterLines="0" w:line="360" w:lineRule="auto"/>
        <w:ind w:firstLine="480" w:firstLineChars="200"/>
        <w:jc w:val="both"/>
        <w:rPr>
          <w:rFonts w:hint="eastAsia" w:ascii="宋体" w:hAnsi="宋体" w:cs="宋体"/>
          <w:color w:val="auto"/>
          <w:sz w:val="24"/>
          <w:highlight w:val="none"/>
          <w:lang w:eastAsia="zh-CN"/>
        </w:rPr>
      </w:pPr>
    </w:p>
    <w:p w14:paraId="761A203C">
      <w:pPr>
        <w:spacing w:beforeLines="0" w:afterLines="0" w:line="360" w:lineRule="auto"/>
        <w:ind w:firstLine="480" w:firstLineChars="20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浙江台州湾文化旅游发展有限公司</w:t>
      </w:r>
    </w:p>
    <w:p w14:paraId="72C6DE60">
      <w:pPr>
        <w:snapToGrid w:val="0"/>
        <w:spacing w:beforeLines="0" w:afterLines="0" w:line="360" w:lineRule="auto"/>
        <w:jc w:val="center"/>
        <w:rPr>
          <w:rFonts w:hint="eastAsia" w:ascii="宋体" w:hAnsi="宋体" w:cs="宋体"/>
          <w:color w:val="auto"/>
          <w:sz w:val="24"/>
          <w:szCs w:val="20"/>
          <w:highlight w:val="none"/>
        </w:rPr>
      </w:pPr>
      <w:r>
        <w:rPr>
          <w:rFonts w:hint="eastAsia" w:ascii="宋体" w:hAnsi="宋体" w:cs="宋体"/>
          <w:color w:val="auto"/>
          <w:sz w:val="24"/>
          <w:highlight w:val="none"/>
        </w:rPr>
        <w:t xml:space="preserve">                                                  台州市建设咨询有限公司</w:t>
      </w:r>
    </w:p>
    <w:p w14:paraId="114107AC">
      <w:pPr>
        <w:snapToGrid w:val="0"/>
        <w:spacing w:beforeLines="0" w:afterLines="0" w:line="360" w:lineRule="auto"/>
        <w:ind w:left="238" w:firstLine="4980" w:firstLineChars="2075"/>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rPr>
        <w:t>月</w:t>
      </w:r>
    </w:p>
    <w:p w14:paraId="1BA4FE49">
      <w:pPr>
        <w:pStyle w:val="20"/>
        <w:tabs>
          <w:tab w:val="left" w:pos="1620"/>
        </w:tabs>
        <w:snapToGrid w:val="0"/>
        <w:spacing w:before="120" w:beforeLines="0" w:after="120" w:afterLines="0"/>
        <w:jc w:val="center"/>
        <w:rPr>
          <w:rFonts w:hAnsi="宋体" w:cs="宋体"/>
          <w:color w:val="auto"/>
          <w:sz w:val="36"/>
          <w:szCs w:val="36"/>
          <w:highlight w:val="none"/>
        </w:rPr>
        <w:sectPr>
          <w:footerReference r:id="rId11" w:type="first"/>
          <w:footerReference r:id="rId10" w:type="default"/>
          <w:pgSz w:w="11906" w:h="16838"/>
          <w:pgMar w:top="1134" w:right="1587" w:bottom="1134" w:left="1587" w:header="851" w:footer="850" w:gutter="0"/>
          <w:pgNumType w:start="1"/>
          <w:cols w:space="720" w:num="1"/>
          <w:docGrid w:linePitch="312" w:charSpace="0"/>
        </w:sectPr>
      </w:pPr>
    </w:p>
    <w:p w14:paraId="4AC9CAE0">
      <w:pPr>
        <w:pStyle w:val="20"/>
        <w:numPr>
          <w:ilvl w:val="0"/>
          <w:numId w:val="4"/>
        </w:numPr>
        <w:tabs>
          <w:tab w:val="left" w:pos="1620"/>
        </w:tabs>
        <w:snapToGrid w:val="0"/>
        <w:spacing w:before="120" w:beforeLines="0" w:after="120" w:afterLines="0"/>
        <w:jc w:val="center"/>
        <w:rPr>
          <w:rFonts w:hAnsi="宋体"/>
          <w:color w:val="auto"/>
          <w:sz w:val="36"/>
          <w:szCs w:val="36"/>
          <w:highlight w:val="none"/>
        </w:rPr>
      </w:pPr>
      <w:bookmarkStart w:id="3" w:name="_Toc18554_WPSOffice_Level1"/>
      <w:bookmarkStart w:id="4" w:name="第二章"/>
      <w:r>
        <w:rPr>
          <w:rFonts w:hAnsi="宋体"/>
          <w:color w:val="auto"/>
          <w:sz w:val="36"/>
          <w:szCs w:val="36"/>
          <w:highlight w:val="none"/>
        </w:rPr>
        <w:t xml:space="preserve"> </w:t>
      </w:r>
      <w:r>
        <w:rPr>
          <w:rFonts w:hAnsi="宋体"/>
          <w:bCs/>
          <w:color w:val="auto"/>
          <w:sz w:val="36"/>
          <w:szCs w:val="36"/>
          <w:highlight w:val="none"/>
        </w:rPr>
        <w:t>招</w:t>
      </w:r>
      <w:r>
        <w:rPr>
          <w:rFonts w:hAnsi="宋体"/>
          <w:color w:val="auto"/>
          <w:sz w:val="36"/>
          <w:szCs w:val="36"/>
          <w:highlight w:val="none"/>
        </w:rPr>
        <w:t>标需求</w:t>
      </w:r>
      <w:bookmarkEnd w:id="3"/>
      <w:bookmarkEnd w:id="4"/>
    </w:p>
    <w:p w14:paraId="79BFF0F7">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215D858F">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37"/>
        <w:tblW w:w="141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2720"/>
        <w:gridCol w:w="1532"/>
        <w:gridCol w:w="731"/>
        <w:gridCol w:w="699"/>
        <w:gridCol w:w="1440"/>
        <w:gridCol w:w="1630"/>
        <w:gridCol w:w="4566"/>
      </w:tblGrid>
      <w:tr w14:paraId="6906F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C1F098E">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2720" w:type="dxa"/>
            <w:tcBorders>
              <w:top w:val="single" w:color="auto" w:sz="4" w:space="0"/>
              <w:left w:val="single" w:color="auto" w:sz="4" w:space="0"/>
              <w:bottom w:val="single" w:color="auto" w:sz="4" w:space="0"/>
              <w:right w:val="single" w:color="auto" w:sz="4" w:space="0"/>
            </w:tcBorders>
            <w:noWrap w:val="0"/>
            <w:vAlign w:val="center"/>
          </w:tcPr>
          <w:p w14:paraId="659EB957">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218FE32F">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简要技术要求</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23647AF">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0B6E529">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单位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8B7C69">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预算价（元）</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1C33864">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最高投标限价（元）</w:t>
            </w:r>
          </w:p>
        </w:tc>
        <w:tc>
          <w:tcPr>
            <w:tcW w:w="4566" w:type="dxa"/>
            <w:tcBorders>
              <w:top w:val="single" w:color="auto" w:sz="4" w:space="0"/>
              <w:left w:val="single" w:color="auto" w:sz="4" w:space="0"/>
              <w:bottom w:val="single" w:color="auto" w:sz="4" w:space="0"/>
              <w:right w:val="single" w:color="auto" w:sz="4" w:space="0"/>
            </w:tcBorders>
            <w:noWrap w:val="0"/>
            <w:vAlign w:val="center"/>
          </w:tcPr>
          <w:p w14:paraId="781D3517">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交货期</w:t>
            </w:r>
          </w:p>
        </w:tc>
      </w:tr>
      <w:tr w14:paraId="49B4C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837" w:type="dxa"/>
            <w:tcBorders>
              <w:top w:val="single" w:color="auto" w:sz="4" w:space="0"/>
              <w:left w:val="single" w:color="auto" w:sz="4" w:space="0"/>
              <w:right w:val="single" w:color="auto" w:sz="4" w:space="0"/>
            </w:tcBorders>
            <w:noWrap w:val="0"/>
            <w:vAlign w:val="center"/>
          </w:tcPr>
          <w:p w14:paraId="3C58590A">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720" w:type="dxa"/>
            <w:tcBorders>
              <w:top w:val="single" w:color="auto" w:sz="4" w:space="0"/>
              <w:left w:val="single" w:color="auto" w:sz="4" w:space="0"/>
              <w:right w:val="single" w:color="auto" w:sz="4" w:space="0"/>
            </w:tcBorders>
            <w:noWrap w:val="0"/>
            <w:vAlign w:val="center"/>
          </w:tcPr>
          <w:p w14:paraId="486D1B1F">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台州湾文旅综合体项目餐厅工程（家具采购）</w:t>
            </w:r>
            <w:r>
              <w:rPr>
                <w:rFonts w:hint="eastAsia" w:ascii="宋体" w:hAnsi="宋体" w:cs="宋体"/>
                <w:bCs/>
                <w:color w:val="auto"/>
                <w:sz w:val="24"/>
                <w:highlight w:val="none"/>
                <w:lang w:eastAsia="zh-CN"/>
              </w:rPr>
              <w:tab/>
            </w:r>
          </w:p>
        </w:tc>
        <w:tc>
          <w:tcPr>
            <w:tcW w:w="1532" w:type="dxa"/>
            <w:tcBorders>
              <w:top w:val="single" w:color="auto" w:sz="4" w:space="0"/>
              <w:left w:val="single" w:color="auto" w:sz="4" w:space="0"/>
              <w:right w:val="single" w:color="auto" w:sz="4" w:space="0"/>
            </w:tcBorders>
            <w:noWrap w:val="0"/>
            <w:vAlign w:val="center"/>
          </w:tcPr>
          <w:p w14:paraId="53897E56">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详见招标文件</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29F0CB7">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69DF6BA">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批</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D96A8F5">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376977.7</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E862760">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Calibri"/>
                <w:color w:val="auto"/>
                <w:sz w:val="24"/>
                <w:highlight w:val="none"/>
                <w:lang w:eastAsia="zh-CN"/>
              </w:rPr>
            </w:pPr>
            <w:r>
              <w:rPr>
                <w:rFonts w:hint="eastAsia" w:ascii="宋体" w:hAnsi="宋体" w:eastAsia="宋体" w:cs="Calibri"/>
                <w:color w:val="auto"/>
                <w:sz w:val="24"/>
                <w:highlight w:val="none"/>
                <w:lang w:eastAsia="zh-CN"/>
              </w:rPr>
              <w:t>376977.7</w:t>
            </w:r>
          </w:p>
        </w:tc>
        <w:tc>
          <w:tcPr>
            <w:tcW w:w="4566" w:type="dxa"/>
            <w:tcBorders>
              <w:top w:val="single" w:color="auto" w:sz="4" w:space="0"/>
              <w:left w:val="single" w:color="auto" w:sz="4" w:space="0"/>
              <w:bottom w:val="single" w:color="auto" w:sz="4" w:space="0"/>
              <w:right w:val="single" w:color="auto" w:sz="4" w:space="0"/>
            </w:tcBorders>
            <w:noWrap w:val="0"/>
            <w:vAlign w:val="center"/>
          </w:tcPr>
          <w:p w14:paraId="1D4CA470">
            <w:pPr>
              <w:keepNext w:val="0"/>
              <w:keepLines w:val="0"/>
              <w:suppressLineNumbers w:val="0"/>
              <w:spacing w:before="0" w:beforeAutospacing="0" w:after="0" w:afterAutospacing="0" w:line="440" w:lineRule="exact"/>
              <w:ind w:left="16" w:leftChars="0" w:right="0" w:hanging="16" w:hangingChars="7"/>
              <w:rPr>
                <w:rFonts w:hint="eastAsia" w:ascii="宋体" w:hAnsi="宋体" w:cs="宋体"/>
                <w:bCs/>
                <w:color w:val="auto"/>
                <w:sz w:val="24"/>
                <w:highlight w:val="none"/>
              </w:rPr>
            </w:pPr>
            <w:r>
              <w:rPr>
                <w:rFonts w:hint="eastAsia" w:ascii="宋体" w:hAnsi="宋体" w:eastAsia="宋体" w:cs="宋体"/>
                <w:bCs/>
                <w:color w:val="auto"/>
                <w:sz w:val="24"/>
                <w:highlight w:val="none"/>
                <w:lang w:val="en-US" w:eastAsia="zh-CN"/>
              </w:rPr>
              <w:t>自合同签订之日起25天内完成供货、运输、安装、调试，且验收合格达到交付使用要求。</w:t>
            </w:r>
          </w:p>
        </w:tc>
      </w:tr>
    </w:tbl>
    <w:p w14:paraId="482003D6">
      <w:pPr>
        <w:rPr>
          <w:color w:val="auto"/>
          <w:sz w:val="24"/>
          <w:highlight w:val="none"/>
        </w:rPr>
      </w:pPr>
    </w:p>
    <w:p w14:paraId="11335A5F">
      <w:pPr>
        <w:numPr>
          <w:ilvl w:val="0"/>
          <w:numId w:val="5"/>
        </w:numPr>
        <w:tabs>
          <w:tab w:val="left" w:pos="8280"/>
        </w:tabs>
        <w:autoSpaceDE w:val="0"/>
        <w:autoSpaceDN w:val="0"/>
        <w:adjustRightInd w:val="0"/>
        <w:spacing w:line="360" w:lineRule="auto"/>
        <w:ind w:right="25"/>
        <w:rPr>
          <w:rFonts w:hint="eastAsia"/>
          <w:b/>
          <w:color w:val="auto"/>
          <w:sz w:val="24"/>
          <w:highlight w:val="none"/>
        </w:rPr>
      </w:pPr>
      <w:r>
        <w:rPr>
          <w:rFonts w:hint="eastAsia"/>
          <w:b/>
          <w:color w:val="auto"/>
          <w:sz w:val="24"/>
          <w:highlight w:val="none"/>
        </w:rPr>
        <w:t>技术需求</w:t>
      </w:r>
    </w:p>
    <w:tbl>
      <w:tblPr>
        <w:tblStyle w:val="37"/>
        <w:tblW w:w="14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449"/>
        <w:gridCol w:w="4063"/>
        <w:gridCol w:w="3014"/>
        <w:gridCol w:w="3450"/>
        <w:gridCol w:w="1226"/>
        <w:gridCol w:w="698"/>
      </w:tblGrid>
      <w:tr w14:paraId="226C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75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2F66A13">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BA3F4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品名</w:t>
            </w:r>
          </w:p>
        </w:tc>
        <w:tc>
          <w:tcPr>
            <w:tcW w:w="406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C5B2B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参考图片</w:t>
            </w:r>
          </w:p>
        </w:tc>
        <w:tc>
          <w:tcPr>
            <w:tcW w:w="301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103345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产品规格</w:t>
            </w:r>
          </w:p>
        </w:tc>
        <w:tc>
          <w:tcPr>
            <w:tcW w:w="3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163F6E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产品材质要求，功能</w:t>
            </w:r>
          </w:p>
        </w:tc>
        <w:tc>
          <w:tcPr>
            <w:tcW w:w="12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65265C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数量</w:t>
            </w:r>
          </w:p>
        </w:tc>
        <w:tc>
          <w:tcPr>
            <w:tcW w:w="69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6F78AE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单位</w:t>
            </w:r>
          </w:p>
        </w:tc>
      </w:tr>
      <w:tr w14:paraId="6DD1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E58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51E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卡座</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4D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482600</wp:posOffset>
                  </wp:positionH>
                  <wp:positionV relativeFrom="paragraph">
                    <wp:posOffset>97790</wp:posOffset>
                  </wp:positionV>
                  <wp:extent cx="1385570" cy="1400175"/>
                  <wp:effectExtent l="0" t="0" r="5080" b="9525"/>
                  <wp:wrapNone/>
                  <wp:docPr id="61" name="Picture_1"/>
                  <wp:cNvGraphicFramePr/>
                  <a:graphic xmlns:a="http://schemas.openxmlformats.org/drawingml/2006/main">
                    <a:graphicData uri="http://schemas.openxmlformats.org/drawingml/2006/picture">
                      <pic:pic xmlns:pic="http://schemas.openxmlformats.org/drawingml/2006/picture">
                        <pic:nvPicPr>
                          <pic:cNvPr id="61" name="Picture_1"/>
                          <pic:cNvPicPr/>
                        </pic:nvPicPr>
                        <pic:blipFill>
                          <a:blip r:embed="rId17"/>
                          <a:stretch>
                            <a:fillRect/>
                          </a:stretch>
                        </pic:blipFill>
                        <pic:spPr>
                          <a:xfrm>
                            <a:off x="0" y="0"/>
                            <a:ext cx="1385570" cy="1400175"/>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3BB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36830*620*1020*450mm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坐深：525mm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(按现场实际)</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C0E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1.水性皮，符合国标，摩擦色牢度≥4级，耐光性大于5级。</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2.定型海绵：符合国标：密度（座面、其他部位）≥46.0kg/m³；回弹性能≥50%；</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3.浸渍胶膜纸饰面刨花板：符合国标；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4.PVC封边条：符合国标，厚度≥2mm,边缘直线度≤1.66mm/m；截面翘曲度≤0.2mm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5.铝材：符合国标，硬度≥3H。</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FA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8A0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1292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DFC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C46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餐桌</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F3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386715</wp:posOffset>
                  </wp:positionH>
                  <wp:positionV relativeFrom="paragraph">
                    <wp:posOffset>-179705</wp:posOffset>
                  </wp:positionV>
                  <wp:extent cx="1788160" cy="1153160"/>
                  <wp:effectExtent l="0" t="0" r="2540" b="8890"/>
                  <wp:wrapNone/>
                  <wp:docPr id="58" name="图片_11"/>
                  <wp:cNvGraphicFramePr/>
                  <a:graphic xmlns:a="http://schemas.openxmlformats.org/drawingml/2006/main">
                    <a:graphicData uri="http://schemas.openxmlformats.org/drawingml/2006/picture">
                      <pic:pic xmlns:pic="http://schemas.openxmlformats.org/drawingml/2006/picture">
                        <pic:nvPicPr>
                          <pic:cNvPr id="58" name="图片_11"/>
                          <pic:cNvPicPr/>
                        </pic:nvPicPr>
                        <pic:blipFill>
                          <a:blip r:embed="rId18"/>
                          <a:stretch>
                            <a:fillRect/>
                          </a:stretch>
                        </pic:blipFill>
                        <pic:spPr>
                          <a:xfrm>
                            <a:off x="0" y="0"/>
                            <a:ext cx="1788160" cy="115316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0912">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1400*800*760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6DE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2.下脚：白蜡木：符合国标；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3.木皮：符合国标，厚度≥0.8mm；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4.水性漆：符合国标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FF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70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4BA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2072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64C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9CE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餐桌</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FA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596265</wp:posOffset>
                  </wp:positionH>
                  <wp:positionV relativeFrom="paragraph">
                    <wp:posOffset>3810</wp:posOffset>
                  </wp:positionV>
                  <wp:extent cx="1313815" cy="1217295"/>
                  <wp:effectExtent l="0" t="0" r="635" b="1905"/>
                  <wp:wrapNone/>
                  <wp:docPr id="59" name="图片_17"/>
                  <wp:cNvGraphicFramePr/>
                  <a:graphic xmlns:a="http://schemas.openxmlformats.org/drawingml/2006/main">
                    <a:graphicData uri="http://schemas.openxmlformats.org/drawingml/2006/picture">
                      <pic:pic xmlns:pic="http://schemas.openxmlformats.org/drawingml/2006/picture">
                        <pic:nvPicPr>
                          <pic:cNvPr id="59" name="图片_17"/>
                          <pic:cNvPicPr/>
                        </pic:nvPicPr>
                        <pic:blipFill>
                          <a:blip r:embed="rId19"/>
                          <a:stretch>
                            <a:fillRect/>
                          </a:stretch>
                        </pic:blipFill>
                        <pic:spPr>
                          <a:xfrm>
                            <a:off x="0" y="0"/>
                            <a:ext cx="1313815" cy="1217295"/>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A63A">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800*800*760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A57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2.下脚：白蜡木：符合国标；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3.木皮：符合国标，厚度≥0.8mm；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4.水性漆：符合国标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D2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110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2A17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66C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196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餐桌</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EE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405765</wp:posOffset>
                  </wp:positionH>
                  <wp:positionV relativeFrom="paragraph">
                    <wp:posOffset>-125095</wp:posOffset>
                  </wp:positionV>
                  <wp:extent cx="1496695" cy="1386840"/>
                  <wp:effectExtent l="0" t="0" r="8255" b="3810"/>
                  <wp:wrapNone/>
                  <wp:docPr id="56" name="图片_8"/>
                  <wp:cNvGraphicFramePr/>
                  <a:graphic xmlns:a="http://schemas.openxmlformats.org/drawingml/2006/main">
                    <a:graphicData uri="http://schemas.openxmlformats.org/drawingml/2006/picture">
                      <pic:pic xmlns:pic="http://schemas.openxmlformats.org/drawingml/2006/picture">
                        <pic:nvPicPr>
                          <pic:cNvPr id="56" name="图片_8"/>
                          <pic:cNvPicPr/>
                        </pic:nvPicPr>
                        <pic:blipFill>
                          <a:blip r:embed="rId19"/>
                          <a:stretch>
                            <a:fillRect/>
                          </a:stretch>
                        </pic:blipFill>
                        <pic:spPr>
                          <a:xfrm>
                            <a:off x="0" y="0"/>
                            <a:ext cx="1496695" cy="138684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B99">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900*1200*760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4E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2.下脚：白蜡木：符合国标；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3.木皮：符合国标，厚度≥0.8mm；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4.水性漆：符合国标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9E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5E7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6274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CE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587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餐椅</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F8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600710</wp:posOffset>
                  </wp:positionH>
                  <wp:positionV relativeFrom="paragraph">
                    <wp:posOffset>140335</wp:posOffset>
                  </wp:positionV>
                  <wp:extent cx="1289050" cy="1397635"/>
                  <wp:effectExtent l="0" t="0" r="6350" b="12065"/>
                  <wp:wrapNone/>
                  <wp:docPr id="62" name="图片_6"/>
                  <wp:cNvGraphicFramePr/>
                  <a:graphic xmlns:a="http://schemas.openxmlformats.org/drawingml/2006/main">
                    <a:graphicData uri="http://schemas.openxmlformats.org/drawingml/2006/picture">
                      <pic:pic xmlns:pic="http://schemas.openxmlformats.org/drawingml/2006/picture">
                        <pic:nvPicPr>
                          <pic:cNvPr id="62" name="图片_6"/>
                          <pic:cNvPicPr/>
                        </pic:nvPicPr>
                        <pic:blipFill>
                          <a:blip r:embed="rId20"/>
                          <a:stretch>
                            <a:fillRect/>
                          </a:stretch>
                        </pic:blipFill>
                        <pic:spPr>
                          <a:xfrm>
                            <a:off x="0" y="0"/>
                            <a:ext cx="1289050" cy="1397635"/>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5741">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560*510*750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1B7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主体框架选用红橡木实木实木制作，采用出榫开槽实结构，粘合全部进口AB铁胶，表面经多次打磨环保油漆覆盖；</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D1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280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D3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30E5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622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8C6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单人位沙发</w:t>
            </w:r>
          </w:p>
        </w:tc>
        <w:tc>
          <w:tcPr>
            <w:tcW w:w="4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CED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0788">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920*830*810 mm</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FAF2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1)皮革:沙发整体使用聚氯乙烯（PVC）人造革,干/湿擦色牢度沾色≥4级,褪色≥4级,耐磨性（Ⅰ-1）80000次,（Ⅰ-2,Ⅰ-3）60000次表面无破裂,符合国标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2)海绵:采用优质回弹海绵,座面密度≥30kg/m3,其他部位≥20kg/m3,通过CA TB117-2013防火性能检测,符合国标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3)内框架:主材胶合板木架,落叶松实木弹簧木档,搭配钢制弹簧及弹力绷带,符合国标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4)沙发脚:尼龙（PA）材质,一体注塑成型,符合国标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90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947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1B4F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E19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320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1149985</wp:posOffset>
                  </wp:positionH>
                  <wp:positionV relativeFrom="paragraph">
                    <wp:posOffset>1313180</wp:posOffset>
                  </wp:positionV>
                  <wp:extent cx="2129790" cy="1096010"/>
                  <wp:effectExtent l="0" t="0" r="3810" b="8890"/>
                  <wp:wrapNone/>
                  <wp:docPr id="60" name="图片_5"/>
                  <wp:cNvGraphicFramePr/>
                  <a:graphic xmlns:a="http://schemas.openxmlformats.org/drawingml/2006/main">
                    <a:graphicData uri="http://schemas.openxmlformats.org/drawingml/2006/picture">
                      <pic:pic xmlns:pic="http://schemas.openxmlformats.org/drawingml/2006/picture">
                        <pic:nvPicPr>
                          <pic:cNvPr id="60" name="图片_5"/>
                          <pic:cNvPicPr/>
                        </pic:nvPicPr>
                        <pic:blipFill>
                          <a:blip r:embed="rId21"/>
                          <a:stretch>
                            <a:fillRect/>
                          </a:stretch>
                        </pic:blipFill>
                        <pic:spPr>
                          <a:xfrm>
                            <a:off x="0" y="0"/>
                            <a:ext cx="2129790" cy="1096010"/>
                          </a:xfrm>
                          <a:prstGeom prst="rect">
                            <a:avLst/>
                          </a:prstGeom>
                          <a:noFill/>
                          <a:ln>
                            <a:noFill/>
                          </a:ln>
                        </pic:spPr>
                      </pic:pic>
                    </a:graphicData>
                  </a:graphic>
                </wp:anchor>
              </w:drawing>
            </w:r>
            <w:r>
              <w:rPr>
                <w:rFonts w:hint="eastAsia" w:ascii="等线" w:hAnsi="等线" w:eastAsia="等线" w:cs="等线"/>
                <w:i w:val="0"/>
                <w:iCs w:val="0"/>
                <w:color w:val="000000"/>
                <w:kern w:val="0"/>
                <w:sz w:val="24"/>
                <w:szCs w:val="24"/>
                <w:highlight w:val="none"/>
                <w:u w:val="none"/>
                <w:lang w:val="en-US" w:eastAsia="zh-CN" w:bidi="ar"/>
              </w:rPr>
              <w:t>三人位沙发</w:t>
            </w:r>
          </w:p>
        </w:tc>
        <w:tc>
          <w:tcPr>
            <w:tcW w:w="4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34E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EFA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2000*830*810 mm</w:t>
            </w: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AF9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2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C48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2C25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6DD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9A5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茶几</w:t>
            </w:r>
          </w:p>
        </w:tc>
        <w:tc>
          <w:tcPr>
            <w:tcW w:w="4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BB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4E01">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700*700*420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D6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1)台面:厚度40mm,台面主要基材使用E0级中纤板,甲醛释放量≤0.05mg/m3,符合国标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2)木皮:选择木纹色配置,主要部件采用≥0.4mm天然木皮贴面,台面反面采用≥0.3mm科技木皮贴面,符合国标;选择非木纹色配置无木皮</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3)桌脚:门字型钢脚,表面静电粉末喷涂,壁厚1.5mm,符合国标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4)油漆:采用水性环保油漆，符合国标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工艺说明:</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1)涂装工艺:木纹色采用五底三面的半透涂装工艺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97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0E8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5524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FCF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3ED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茶几</w:t>
            </w:r>
          </w:p>
        </w:tc>
        <w:tc>
          <w:tcPr>
            <w:tcW w:w="4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24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4C2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700*700*420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30A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1)台面:厚度40mm,台面主要基材使用E0级中纤板,符合国标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2)木皮:选择木纹色配置,主要部件采用≥0.4mm天然木皮贴面,台面反面采用≥0.3mm科技木皮贴面,甲醛释放量≤1.5mg/L,符合国标;选择非木纹色配置无木皮</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3)桌脚:门字型钢脚,表面静电粉末喷涂,壁厚1.5mm,涂层耐腐蚀测试100h后无锈蚀、剥落、起皱,符合国标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4)油漆:采用水性环保油漆,符合国标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工艺说明:</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1)涂装工艺:木纹色采用五底三面的半透涂装工艺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1A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898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64B8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0F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6FC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电动餐桌</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B0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-53340</wp:posOffset>
                  </wp:positionV>
                  <wp:extent cx="2093595" cy="1383030"/>
                  <wp:effectExtent l="0" t="0" r="1905" b="7620"/>
                  <wp:wrapNone/>
                  <wp:docPr id="55" name="图片_12"/>
                  <wp:cNvGraphicFramePr/>
                  <a:graphic xmlns:a="http://schemas.openxmlformats.org/drawingml/2006/main">
                    <a:graphicData uri="http://schemas.openxmlformats.org/drawingml/2006/picture">
                      <pic:pic xmlns:pic="http://schemas.openxmlformats.org/drawingml/2006/picture">
                        <pic:nvPicPr>
                          <pic:cNvPr id="55" name="图片_12"/>
                          <pic:cNvPicPr/>
                        </pic:nvPicPr>
                        <pic:blipFill>
                          <a:blip r:embed="rId22"/>
                          <a:stretch>
                            <a:fillRect/>
                          </a:stretch>
                        </pic:blipFill>
                        <pic:spPr>
                          <a:xfrm>
                            <a:off x="0" y="0"/>
                            <a:ext cx="2093595" cy="138303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377D">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2400*750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07C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实木橡胶木框架，桌面，转盘和花板为实木多层板贴木皮拼花；围板做定制内凹造型，内部落地钢架结构，特制机芯，优质电机，转盘遥控控制，采用环保油漆（2.4米转盘为一层）</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91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C20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6345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EF3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81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餐椅</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45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562610</wp:posOffset>
                  </wp:positionH>
                  <wp:positionV relativeFrom="paragraph">
                    <wp:posOffset>173990</wp:posOffset>
                  </wp:positionV>
                  <wp:extent cx="1372235" cy="1399540"/>
                  <wp:effectExtent l="0" t="0" r="18415" b="10160"/>
                  <wp:wrapNone/>
                  <wp:docPr id="57" name="图片_1"/>
                  <wp:cNvGraphicFramePr/>
                  <a:graphic xmlns:a="http://schemas.openxmlformats.org/drawingml/2006/main">
                    <a:graphicData uri="http://schemas.openxmlformats.org/drawingml/2006/picture">
                      <pic:pic xmlns:pic="http://schemas.openxmlformats.org/drawingml/2006/picture">
                        <pic:nvPicPr>
                          <pic:cNvPr id="57" name="图片_1"/>
                          <pic:cNvPicPr/>
                        </pic:nvPicPr>
                        <pic:blipFill>
                          <a:blip r:embed="rId23"/>
                          <a:stretch>
                            <a:fillRect/>
                          </a:stretch>
                        </pic:blipFill>
                        <pic:spPr>
                          <a:xfrm>
                            <a:off x="0" y="0"/>
                            <a:ext cx="1372235" cy="139954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7CB5">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常规</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002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材质:实木框架/304#无指纹拉丝不锈钢/皮艺/高密度泡棉</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3A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24A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6FEE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C5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7B1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沙发一套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0B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D9B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 xml:space="preserve">兰花休闲椅  710*660*970(1个)  </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 xml:space="preserve">单人位 750*750*970（1个）  </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 xml:space="preserve">三人位  2000*750*970（1个）  </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 xml:space="preserve">双层长茶几  1300*700*450（1个）  </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双层方几 600*600*550  （1个）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C64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兰花休闲椅，单人位，双人位，三人位：</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实木白蜡木框架，高密度海绵，扪优质棉麻布料，采用环保油漆</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长茶几，边几：</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实木白蜡木框架，桌面为实木多层板贴木皮，采用环保油漆</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69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348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套</w:t>
            </w:r>
          </w:p>
        </w:tc>
      </w:tr>
      <w:tr w14:paraId="14BE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D27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A98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挂衣架</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81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757555</wp:posOffset>
                  </wp:positionH>
                  <wp:positionV relativeFrom="paragraph">
                    <wp:posOffset>76200</wp:posOffset>
                  </wp:positionV>
                  <wp:extent cx="1300480" cy="1511300"/>
                  <wp:effectExtent l="0" t="0" r="13970" b="12700"/>
                  <wp:wrapNone/>
                  <wp:docPr id="67" name="图片_3"/>
                  <wp:cNvGraphicFramePr/>
                  <a:graphic xmlns:a="http://schemas.openxmlformats.org/drawingml/2006/main">
                    <a:graphicData uri="http://schemas.openxmlformats.org/drawingml/2006/picture">
                      <pic:pic xmlns:pic="http://schemas.openxmlformats.org/drawingml/2006/picture">
                        <pic:nvPicPr>
                          <pic:cNvPr id="67" name="图片_3"/>
                          <pic:cNvPicPr/>
                        </pic:nvPicPr>
                        <pic:blipFill>
                          <a:blip r:embed="rId24"/>
                          <a:stretch>
                            <a:fillRect/>
                          </a:stretch>
                        </pic:blipFill>
                        <pic:spPr>
                          <a:xfrm>
                            <a:off x="0" y="0"/>
                            <a:ext cx="1300480" cy="151130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B254">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1000*350*1720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44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实木白蜡木框架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B1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878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个</w:t>
            </w:r>
          </w:p>
        </w:tc>
      </w:tr>
      <w:tr w14:paraId="7821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20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169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备餐柜</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59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452120</wp:posOffset>
                  </wp:positionH>
                  <wp:positionV relativeFrom="paragraph">
                    <wp:posOffset>-24765</wp:posOffset>
                  </wp:positionV>
                  <wp:extent cx="1570355" cy="1384300"/>
                  <wp:effectExtent l="0" t="0" r="10795" b="6350"/>
                  <wp:wrapNone/>
                  <wp:docPr id="64" name="图片_7"/>
                  <wp:cNvGraphicFramePr/>
                  <a:graphic xmlns:a="http://schemas.openxmlformats.org/drawingml/2006/main">
                    <a:graphicData uri="http://schemas.openxmlformats.org/drawingml/2006/picture">
                      <pic:pic xmlns:pic="http://schemas.openxmlformats.org/drawingml/2006/picture">
                        <pic:nvPicPr>
                          <pic:cNvPr id="64" name="图片_7"/>
                          <pic:cNvPicPr/>
                        </pic:nvPicPr>
                        <pic:blipFill>
                          <a:blip r:embed="rId25"/>
                          <a:stretch>
                            <a:fillRect/>
                          </a:stretch>
                        </pic:blipFill>
                        <pic:spPr>
                          <a:xfrm>
                            <a:off x="0" y="0"/>
                            <a:ext cx="1570355" cy="138430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4FF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1200*400*850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578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实木橡胶木框架，搭配实木多层板，采用环保油漆</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87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D48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个</w:t>
            </w:r>
          </w:p>
        </w:tc>
      </w:tr>
      <w:tr w14:paraId="72BB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9A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15</w:t>
            </w:r>
          </w:p>
        </w:tc>
        <w:tc>
          <w:tcPr>
            <w:tcW w:w="1449" w:type="dxa"/>
            <w:tcBorders>
              <w:top w:val="single" w:color="000000" w:sz="4" w:space="0"/>
              <w:left w:val="nil"/>
              <w:bottom w:val="single" w:color="000000" w:sz="4" w:space="0"/>
              <w:right w:val="single" w:color="000000" w:sz="4" w:space="0"/>
            </w:tcBorders>
            <w:shd w:val="clear" w:color="auto" w:fill="auto"/>
            <w:vAlign w:val="center"/>
          </w:tcPr>
          <w:p w14:paraId="7467602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洗衣房等候凳</w:t>
            </w:r>
          </w:p>
        </w:tc>
        <w:tc>
          <w:tcPr>
            <w:tcW w:w="4063" w:type="dxa"/>
            <w:tcBorders>
              <w:top w:val="single" w:color="000000" w:sz="4" w:space="0"/>
              <w:left w:val="nil"/>
              <w:bottom w:val="single" w:color="000000" w:sz="4" w:space="0"/>
              <w:right w:val="single" w:color="000000" w:sz="4" w:space="0"/>
            </w:tcBorders>
            <w:shd w:val="clear" w:color="auto" w:fill="auto"/>
            <w:vAlign w:val="center"/>
          </w:tcPr>
          <w:p w14:paraId="483E98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lang w:val="en-US" w:eastAsia="zh-CN" w:bidi="ar"/>
              </w:rPr>
              <w:drawing>
                <wp:anchor distT="0" distB="0" distL="114300" distR="114300" simplePos="0" relativeHeight="251659264" behindDoc="0" locked="0" layoutInCell="1" allowOverlap="1">
                  <wp:simplePos x="0" y="0"/>
                  <wp:positionH relativeFrom="column">
                    <wp:posOffset>296545</wp:posOffset>
                  </wp:positionH>
                  <wp:positionV relativeFrom="paragraph">
                    <wp:posOffset>43180</wp:posOffset>
                  </wp:positionV>
                  <wp:extent cx="1961515" cy="1068070"/>
                  <wp:effectExtent l="0" t="0" r="635" b="17780"/>
                  <wp:wrapNone/>
                  <wp:docPr id="65" name="图片_9"/>
                  <wp:cNvGraphicFramePr/>
                  <a:graphic xmlns:a="http://schemas.openxmlformats.org/drawingml/2006/main">
                    <a:graphicData uri="http://schemas.openxmlformats.org/drawingml/2006/picture">
                      <pic:pic xmlns:pic="http://schemas.openxmlformats.org/drawingml/2006/picture">
                        <pic:nvPicPr>
                          <pic:cNvPr id="65" name="图片_9"/>
                          <pic:cNvPicPr/>
                        </pic:nvPicPr>
                        <pic:blipFill>
                          <a:blip r:embed="rId26"/>
                          <a:stretch>
                            <a:fillRect/>
                          </a:stretch>
                        </pic:blipFill>
                        <pic:spPr>
                          <a:xfrm>
                            <a:off x="0" y="0"/>
                            <a:ext cx="1961515" cy="106807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2E58">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1600*400*400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3D4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松木材质，清漆防水</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9B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00E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条</w:t>
            </w:r>
          </w:p>
        </w:tc>
      </w:tr>
      <w:tr w14:paraId="3B0A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4C5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16</w:t>
            </w:r>
          </w:p>
        </w:tc>
        <w:tc>
          <w:tcPr>
            <w:tcW w:w="1449" w:type="dxa"/>
            <w:tcBorders>
              <w:top w:val="single" w:color="000000" w:sz="4" w:space="0"/>
              <w:left w:val="nil"/>
              <w:bottom w:val="single" w:color="000000" w:sz="4" w:space="0"/>
              <w:right w:val="single" w:color="000000" w:sz="4" w:space="0"/>
            </w:tcBorders>
            <w:shd w:val="clear" w:color="auto" w:fill="auto"/>
            <w:noWrap/>
            <w:vAlign w:val="center"/>
          </w:tcPr>
          <w:p w14:paraId="695923E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洗衣房操作台、熨衣台</w:t>
            </w:r>
          </w:p>
        </w:tc>
        <w:tc>
          <w:tcPr>
            <w:tcW w:w="4063" w:type="dxa"/>
            <w:tcBorders>
              <w:top w:val="single" w:color="000000" w:sz="4" w:space="0"/>
              <w:left w:val="nil"/>
              <w:bottom w:val="single" w:color="000000" w:sz="4" w:space="0"/>
              <w:right w:val="single" w:color="000000" w:sz="4" w:space="0"/>
            </w:tcBorders>
            <w:shd w:val="clear" w:color="auto" w:fill="auto"/>
            <w:noWrap/>
            <w:vAlign w:val="center"/>
          </w:tcPr>
          <w:p w14:paraId="12399F6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418465</wp:posOffset>
                  </wp:positionH>
                  <wp:positionV relativeFrom="paragraph">
                    <wp:posOffset>57150</wp:posOffset>
                  </wp:positionV>
                  <wp:extent cx="1421130" cy="1052195"/>
                  <wp:effectExtent l="0" t="0" r="7620" b="14605"/>
                  <wp:wrapNone/>
                  <wp:docPr id="66" name="图片_4"/>
                  <wp:cNvGraphicFramePr/>
                  <a:graphic xmlns:a="http://schemas.openxmlformats.org/drawingml/2006/main">
                    <a:graphicData uri="http://schemas.openxmlformats.org/drawingml/2006/picture">
                      <pic:pic xmlns:pic="http://schemas.openxmlformats.org/drawingml/2006/picture">
                        <pic:nvPicPr>
                          <pic:cNvPr id="66" name="图片_4"/>
                          <pic:cNvPicPr/>
                        </pic:nvPicPr>
                        <pic:blipFill>
                          <a:blip r:embed="rId27"/>
                          <a:stretch>
                            <a:fillRect/>
                          </a:stretch>
                        </pic:blipFill>
                        <pic:spPr>
                          <a:xfrm>
                            <a:off x="0" y="0"/>
                            <a:ext cx="1421130" cy="1052195"/>
                          </a:xfrm>
                          <a:prstGeom prst="rect">
                            <a:avLst/>
                          </a:prstGeom>
                          <a:noFill/>
                          <a:ln>
                            <a:noFill/>
                          </a:ln>
                        </pic:spPr>
                      </pic:pic>
                    </a:graphicData>
                  </a:graphic>
                </wp:anchor>
              </w:drawing>
            </w:r>
            <w:r>
              <w:rPr>
                <w:rFonts w:hint="eastAsia" w:ascii="等线" w:hAnsi="等线" w:eastAsia="等线" w:cs="等线"/>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435610</wp:posOffset>
                  </wp:positionH>
                  <wp:positionV relativeFrom="paragraph">
                    <wp:posOffset>1258570</wp:posOffset>
                  </wp:positionV>
                  <wp:extent cx="1255395" cy="1254760"/>
                  <wp:effectExtent l="0" t="0" r="1905" b="2540"/>
                  <wp:wrapNone/>
                  <wp:docPr id="54" name="图片_20"/>
                  <wp:cNvGraphicFramePr/>
                  <a:graphic xmlns:a="http://schemas.openxmlformats.org/drawingml/2006/main">
                    <a:graphicData uri="http://schemas.openxmlformats.org/drawingml/2006/picture">
                      <pic:pic xmlns:pic="http://schemas.openxmlformats.org/drawingml/2006/picture">
                        <pic:nvPicPr>
                          <pic:cNvPr id="54" name="图片_20"/>
                          <pic:cNvPicPr/>
                        </pic:nvPicPr>
                        <pic:blipFill>
                          <a:blip r:embed="rId28"/>
                          <a:stretch>
                            <a:fillRect/>
                          </a:stretch>
                        </pic:blipFill>
                        <pic:spPr>
                          <a:xfrm>
                            <a:off x="0" y="0"/>
                            <a:ext cx="1255395" cy="125476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B54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2700*650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F52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1)防火饰面板:面材采用优质三聚氰胺浸胶工艺,符合国标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2)PVC封边条:表面耐光色牢度≥4级;表面耐龟裂性≥2级;符合国标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3)塑胶件:符合国标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含熨衣板</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0F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6F4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套</w:t>
            </w:r>
          </w:p>
        </w:tc>
      </w:tr>
      <w:tr w14:paraId="5D0F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24F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17</w:t>
            </w:r>
          </w:p>
        </w:tc>
        <w:tc>
          <w:tcPr>
            <w:tcW w:w="1449" w:type="dxa"/>
            <w:tcBorders>
              <w:top w:val="single" w:color="000000" w:sz="4" w:space="0"/>
              <w:left w:val="nil"/>
              <w:bottom w:val="single" w:color="000000" w:sz="4" w:space="0"/>
              <w:right w:val="single" w:color="000000" w:sz="4" w:space="0"/>
            </w:tcBorders>
            <w:shd w:val="clear" w:color="auto" w:fill="auto"/>
            <w:noWrap/>
            <w:vAlign w:val="center"/>
          </w:tcPr>
          <w:p w14:paraId="422729E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洗衣房衣柜组</w:t>
            </w:r>
          </w:p>
        </w:tc>
        <w:tc>
          <w:tcPr>
            <w:tcW w:w="4063" w:type="dxa"/>
            <w:tcBorders>
              <w:top w:val="single" w:color="000000" w:sz="4" w:space="0"/>
              <w:left w:val="nil"/>
              <w:bottom w:val="single" w:color="000000" w:sz="4" w:space="0"/>
              <w:right w:val="single" w:color="000000" w:sz="4" w:space="0"/>
            </w:tcBorders>
            <w:shd w:val="clear" w:color="auto" w:fill="auto"/>
            <w:noWrap/>
            <w:vAlign w:val="center"/>
          </w:tcPr>
          <w:p w14:paraId="43545CE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7B8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2600*650*3800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D60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1)柜体:主体面材采用浸渍胶膜纸,表面稳定性好,层次感优,耐污抗磨性强;基材采用E0级多</w:t>
            </w:r>
            <w:r>
              <w:rPr>
                <w:rFonts w:hint="eastAsia" w:ascii="等线" w:hAnsi="等线" w:eastAsia="等线" w:cs="等线"/>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-3564890</wp:posOffset>
                  </wp:positionH>
                  <wp:positionV relativeFrom="paragraph">
                    <wp:posOffset>30480</wp:posOffset>
                  </wp:positionV>
                  <wp:extent cx="669925" cy="2329815"/>
                  <wp:effectExtent l="0" t="0" r="15875" b="13335"/>
                  <wp:wrapNone/>
                  <wp:docPr id="53" name="图片_10"/>
                  <wp:cNvGraphicFramePr/>
                  <a:graphic xmlns:a="http://schemas.openxmlformats.org/drawingml/2006/main">
                    <a:graphicData uri="http://schemas.openxmlformats.org/drawingml/2006/picture">
                      <pic:pic xmlns:pic="http://schemas.openxmlformats.org/drawingml/2006/picture">
                        <pic:nvPicPr>
                          <pic:cNvPr id="53" name="图片_10"/>
                          <pic:cNvPicPr/>
                        </pic:nvPicPr>
                        <pic:blipFill>
                          <a:blip r:embed="rId29"/>
                          <a:stretch>
                            <a:fillRect/>
                          </a:stretch>
                        </pic:blipFill>
                        <pic:spPr>
                          <a:xfrm>
                            <a:off x="0" y="0"/>
                            <a:ext cx="669925" cy="2329815"/>
                          </a:xfrm>
                          <a:prstGeom prst="rect">
                            <a:avLst/>
                          </a:prstGeom>
                          <a:noFill/>
                          <a:ln>
                            <a:noFill/>
                          </a:ln>
                        </pic:spPr>
                      </pic:pic>
                    </a:graphicData>
                  </a:graphic>
                </wp:anchor>
              </w:drawing>
            </w:r>
            <w:r>
              <w:rPr>
                <w:rFonts w:hint="eastAsia" w:ascii="等线" w:hAnsi="等线" w:eastAsia="等线" w:cs="等线"/>
                <w:i w:val="0"/>
                <w:iCs w:val="0"/>
                <w:color w:val="000000"/>
                <w:kern w:val="0"/>
                <w:sz w:val="24"/>
                <w:szCs w:val="24"/>
                <w:highlight w:val="none"/>
                <w:u w:val="none"/>
                <w:lang w:val="en-US" w:eastAsia="zh-CN" w:bidi="ar"/>
              </w:rPr>
              <w:t>层板,符合国标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2)封边:柜体采用优质PVC封边条,厚度1mm,耐光色牢度≥4级,耐龟裂性≥2级,耐磨性能30r,符合国标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3)门板:基材采用E0级E0级多层板,表面采用浸渍胶膜纸,符合国标;四周封边采用1MM同色PVC封边</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工艺说明:</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1)封边工艺:板件采用Z封边工艺,Z字型一次成型,美观无胶缝</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C0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6D0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套</w:t>
            </w:r>
          </w:p>
        </w:tc>
      </w:tr>
      <w:tr w14:paraId="155B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9A99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18</w:t>
            </w:r>
          </w:p>
        </w:tc>
        <w:tc>
          <w:tcPr>
            <w:tcW w:w="1449" w:type="dxa"/>
            <w:vMerge w:val="restart"/>
            <w:tcBorders>
              <w:top w:val="single" w:color="000000" w:sz="4" w:space="0"/>
              <w:left w:val="nil"/>
              <w:bottom w:val="single" w:color="000000" w:sz="4" w:space="0"/>
              <w:right w:val="single" w:color="000000" w:sz="4" w:space="0"/>
            </w:tcBorders>
            <w:shd w:val="clear" w:color="auto" w:fill="auto"/>
            <w:noWrap/>
            <w:vAlign w:val="center"/>
          </w:tcPr>
          <w:p w14:paraId="2E0D8E6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窗帘</w:t>
            </w:r>
          </w:p>
        </w:tc>
        <w:tc>
          <w:tcPr>
            <w:tcW w:w="4063" w:type="dxa"/>
            <w:vMerge w:val="restart"/>
            <w:tcBorders>
              <w:top w:val="single" w:color="000000" w:sz="4" w:space="0"/>
              <w:left w:val="nil"/>
              <w:bottom w:val="single" w:color="000000" w:sz="4" w:space="0"/>
              <w:right w:val="single" w:color="000000" w:sz="4" w:space="0"/>
            </w:tcBorders>
            <w:shd w:val="clear" w:color="auto" w:fill="auto"/>
            <w:noWrap/>
            <w:vAlign w:val="center"/>
          </w:tcPr>
          <w:p w14:paraId="06E8B98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479425</wp:posOffset>
                  </wp:positionH>
                  <wp:positionV relativeFrom="paragraph">
                    <wp:posOffset>633095</wp:posOffset>
                  </wp:positionV>
                  <wp:extent cx="1549400" cy="1498600"/>
                  <wp:effectExtent l="0" t="0" r="12700" b="6350"/>
                  <wp:wrapNone/>
                  <wp:docPr id="52" name="图片_4_SpCnt_1"/>
                  <wp:cNvGraphicFramePr/>
                  <a:graphic xmlns:a="http://schemas.openxmlformats.org/drawingml/2006/main">
                    <a:graphicData uri="http://schemas.openxmlformats.org/drawingml/2006/picture">
                      <pic:pic xmlns:pic="http://schemas.openxmlformats.org/drawingml/2006/picture">
                        <pic:nvPicPr>
                          <pic:cNvPr id="52" name="图片_4_SpCnt_1"/>
                          <pic:cNvPicPr/>
                        </pic:nvPicPr>
                        <pic:blipFill>
                          <a:blip r:embed="rId30"/>
                          <a:stretch>
                            <a:fillRect/>
                          </a:stretch>
                        </pic:blipFill>
                        <pic:spPr>
                          <a:xfrm>
                            <a:off x="0" y="0"/>
                            <a:ext cx="1549400" cy="149860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包厢和卡座</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BA2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1）布加纱双层窗帘，内层半遮光白纱；外层为浅灰色麻布料；2）配双层铝合金轨道；褶皱系数2.0考虑，窗帘遮光率＞75%；3）工程量为14.45米，具体需根据现场重新核实定制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6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 xml:space="preserve">14.45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1B2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米</w:t>
            </w:r>
          </w:p>
        </w:tc>
      </w:tr>
      <w:tr w14:paraId="0E82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1A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449"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A2BF839">
            <w:pPr>
              <w:keepNext w:val="0"/>
              <w:keepLines w:val="0"/>
              <w:suppressLineNumbers w:val="0"/>
              <w:spacing w:before="0" w:beforeAutospacing="0" w:after="0" w:afterAutospacing="0"/>
              <w:ind w:left="0" w:right="0"/>
              <w:jc w:val="center"/>
              <w:rPr>
                <w:rFonts w:hint="eastAsia" w:ascii="等线" w:hAnsi="等线" w:eastAsia="等线" w:cs="等线"/>
                <w:i w:val="0"/>
                <w:iCs w:val="0"/>
                <w:color w:val="000000"/>
                <w:sz w:val="22"/>
                <w:szCs w:val="22"/>
                <w:highlight w:val="none"/>
                <w:u w:val="none"/>
              </w:rPr>
            </w:pPr>
          </w:p>
        </w:tc>
        <w:tc>
          <w:tcPr>
            <w:tcW w:w="406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641B10C">
            <w:pPr>
              <w:keepNext w:val="0"/>
              <w:keepLines w:val="0"/>
              <w:suppressLineNumbers w:val="0"/>
              <w:spacing w:before="0" w:beforeAutospacing="0" w:after="0" w:afterAutospacing="0"/>
              <w:ind w:left="0" w:right="0"/>
              <w:jc w:val="center"/>
              <w:rPr>
                <w:rFonts w:hint="eastAsia" w:ascii="等线" w:hAnsi="等线" w:eastAsia="等线" w:cs="等线"/>
                <w:i w:val="0"/>
                <w:iCs w:val="0"/>
                <w:color w:val="000000"/>
                <w:sz w:val="22"/>
                <w:szCs w:val="2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3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大厅</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B12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1）加厚灰纱卷帘，加厚加密涤纶，遮光率99%以上；2）配POM高密拉珠；3）防尘铝合金制罩套；4）阻燃级别B2；5）工程量为274.2平方米，具体需根据现场重新核实定制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59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 xml:space="preserve">274.20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BF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平方米</w:t>
            </w:r>
          </w:p>
        </w:tc>
      </w:tr>
    </w:tbl>
    <w:p w14:paraId="4E229C02">
      <w:pPr>
        <w:pStyle w:val="89"/>
        <w:rPr>
          <w:rFonts w:hint="eastAsia"/>
          <w:color w:val="auto"/>
          <w:sz w:val="20"/>
          <w:szCs w:val="21"/>
          <w:highlight w:val="none"/>
        </w:rPr>
      </w:pPr>
    </w:p>
    <w:p w14:paraId="73AB2072">
      <w:pPr>
        <w:adjustRightInd w:val="0"/>
        <w:snapToGrid w:val="0"/>
        <w:spacing w:line="360" w:lineRule="auto"/>
        <w:ind w:firstLine="442" w:firstLineChars="200"/>
        <w:rPr>
          <w:rFonts w:hint="eastAsia" w:ascii="宋体" w:hAnsi="宋体" w:eastAsia="宋体"/>
          <w:b/>
          <w:color w:val="auto"/>
          <w:sz w:val="22"/>
          <w:szCs w:val="22"/>
          <w:highlight w:val="none"/>
          <w:lang w:eastAsia="zh-CN"/>
        </w:rPr>
      </w:pPr>
      <w:bookmarkStart w:id="5" w:name="_Toc28376_WPSOffice_Level1"/>
      <w:bookmarkStart w:id="6" w:name="第三章"/>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注：本项目采购内容中采购图片、产品规格仅做参考</w:t>
      </w:r>
      <w:r>
        <w:rPr>
          <w:rFonts w:hint="eastAsia" w:ascii="宋体" w:hAnsi="宋体"/>
          <w:b/>
          <w:color w:val="auto"/>
          <w:sz w:val="22"/>
          <w:szCs w:val="22"/>
          <w:highlight w:val="none"/>
          <w:lang w:eastAsia="zh-CN"/>
        </w:rPr>
        <w:t>）</w:t>
      </w:r>
    </w:p>
    <w:p w14:paraId="42964EB6">
      <w:pPr>
        <w:adjustRightInd w:val="0"/>
        <w:snapToGrid w:val="0"/>
        <w:spacing w:line="360" w:lineRule="auto"/>
        <w:ind w:firstLine="442" w:firstLineChars="200"/>
        <w:rPr>
          <w:rFonts w:ascii="宋体" w:hAnsi="宋体"/>
          <w:b/>
          <w:color w:val="auto"/>
          <w:sz w:val="24"/>
          <w:highlight w:val="none"/>
        </w:rPr>
      </w:pPr>
      <w:r>
        <w:rPr>
          <w:rFonts w:hint="eastAsia" w:ascii="宋体" w:hAnsi="宋体"/>
          <w:b/>
          <w:color w:val="auto"/>
          <w:sz w:val="22"/>
          <w:szCs w:val="22"/>
          <w:highlight w:val="none"/>
        </w:rPr>
        <w:t>采购要求和验收相关说明</w:t>
      </w:r>
    </w:p>
    <w:p w14:paraId="58761DFD">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1、货物（包括零部件）必须符合国家质量检测标准、符合上表清单中的规格、材质等要求。家具的颜色最终现场确定，中标人在制作前应提供产品颜色的色卡供采购人选择确认；家具上若涉及强、弱电布线、开孔等工作，以现场实际情况为准，并负责完成安装摆放；清单所列招标产品的规格是为便于各投标单位报价，最终提供产品规格需根据现场实际情况确定。根据实际需要，在项目实施过程中，产品数量发生变动需调整的，产品全费用综合单价按中标价执行。</w:t>
      </w:r>
    </w:p>
    <w:p w14:paraId="6965A9E9">
      <w:pPr>
        <w:spacing w:line="380" w:lineRule="exact"/>
        <w:ind w:firstLine="480" w:firstLineChars="200"/>
        <w:rPr>
          <w:rFonts w:hint="eastAsia" w:ascii="宋体" w:hAnsi="宋体" w:cs="仿宋_GB2312"/>
          <w:color w:val="auto"/>
          <w:sz w:val="24"/>
          <w:highlight w:val="none"/>
        </w:rPr>
      </w:pPr>
      <w:r>
        <w:rPr>
          <w:rFonts w:hint="eastAsia" w:ascii="宋体" w:hAnsi="宋体"/>
          <w:color w:val="auto"/>
          <w:sz w:val="24"/>
          <w:highlight w:val="none"/>
        </w:rPr>
        <w:t>2、</w:t>
      </w:r>
      <w:r>
        <w:rPr>
          <w:rFonts w:hint="eastAsia" w:ascii="宋体" w:hAnsi="宋体" w:cs="仿宋_GB2312"/>
          <w:color w:val="auto"/>
          <w:sz w:val="24"/>
          <w:highlight w:val="none"/>
        </w:rPr>
        <w:t>关于内部材质验收方法：</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可能对其中部分产品采取破坏性试验，以检验是不是完全按照招标文件要求、投标文件响应及投标样品标准生产提供。如验收结果完全符合，则由</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承担该部分损失；如验收结果不符合，则</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有权要求中标人更换该批次货物，并</w:t>
      </w:r>
      <w:r>
        <w:rPr>
          <w:rFonts w:hint="eastAsia" w:ascii="宋体" w:hAnsi="宋体" w:cs="仿宋_GB2312"/>
          <w:color w:val="auto"/>
          <w:sz w:val="24"/>
          <w:highlight w:val="none"/>
          <w:lang w:val="en-US" w:eastAsia="zh-CN"/>
        </w:rPr>
        <w:t>且</w:t>
      </w:r>
      <w:r>
        <w:rPr>
          <w:rFonts w:hint="eastAsia" w:ascii="宋体" w:hAnsi="宋体" w:cs="仿宋_GB2312"/>
          <w:color w:val="auto"/>
          <w:sz w:val="24"/>
          <w:highlight w:val="none"/>
        </w:rPr>
        <w:t>中标人须赔偿该批次货物50%的金额予采购</w:t>
      </w:r>
      <w:r>
        <w:rPr>
          <w:rFonts w:hint="eastAsia" w:ascii="宋体" w:hAnsi="宋体" w:cs="仿宋_GB2312"/>
          <w:color w:val="auto"/>
          <w:sz w:val="24"/>
          <w:highlight w:val="none"/>
          <w:lang w:val="en-US" w:eastAsia="zh-CN"/>
        </w:rPr>
        <w:t>人</w:t>
      </w:r>
      <w:r>
        <w:rPr>
          <w:rFonts w:hint="eastAsia" w:ascii="宋体" w:hAnsi="宋体" w:cs="仿宋_GB2312"/>
          <w:color w:val="auto"/>
          <w:sz w:val="24"/>
          <w:highlight w:val="none"/>
        </w:rPr>
        <w:t>。</w:t>
      </w:r>
    </w:p>
    <w:p w14:paraId="7530676E">
      <w:pPr>
        <w:spacing w:line="380" w:lineRule="exact"/>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3、关于五金等零部件验收方法：五金配件等配置</w:t>
      </w:r>
      <w:r>
        <w:rPr>
          <w:rFonts w:hint="eastAsia" w:ascii="宋体" w:hAnsi="宋体" w:cs="仿宋_GB2312"/>
          <w:color w:val="auto"/>
          <w:sz w:val="24"/>
          <w:highlight w:val="none"/>
          <w:lang w:val="en-US" w:eastAsia="zh-CN"/>
        </w:rPr>
        <w:t>采购人</w:t>
      </w:r>
      <w:r>
        <w:rPr>
          <w:rFonts w:hint="eastAsia" w:ascii="宋体" w:hAnsi="宋体" w:cs="仿宋_GB2312"/>
          <w:color w:val="auto"/>
          <w:sz w:val="24"/>
          <w:highlight w:val="none"/>
        </w:rPr>
        <w:t>会根据招标文件要求、投标文件响应及投标样品标准验收。如验收结果不符合，则</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有权要求中标人更换该批次货物的五金配件，并相应索要造成的损失。</w:t>
      </w:r>
    </w:p>
    <w:p w14:paraId="2EEA4EF3">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中标人</w:t>
      </w:r>
      <w:r>
        <w:rPr>
          <w:rFonts w:hint="eastAsia" w:ascii="宋体" w:hAnsi="宋体"/>
          <w:color w:val="auto"/>
          <w:sz w:val="24"/>
          <w:highlight w:val="none"/>
        </w:rPr>
        <w:t>将货物送至</w:t>
      </w:r>
      <w:r>
        <w:rPr>
          <w:rFonts w:hint="eastAsia" w:ascii="宋体" w:hAnsi="宋体"/>
          <w:color w:val="auto"/>
          <w:sz w:val="24"/>
          <w:highlight w:val="none"/>
          <w:lang w:eastAsia="zh-CN"/>
        </w:rPr>
        <w:t>采购人</w:t>
      </w:r>
      <w:r>
        <w:rPr>
          <w:rFonts w:hint="eastAsia" w:ascii="宋体" w:hAnsi="宋体"/>
          <w:color w:val="auto"/>
          <w:sz w:val="24"/>
          <w:highlight w:val="none"/>
        </w:rPr>
        <w:t>安装完毕，并经招标人验收，如果</w:t>
      </w:r>
      <w:r>
        <w:rPr>
          <w:rFonts w:hint="eastAsia" w:ascii="宋体" w:hAnsi="宋体"/>
          <w:color w:val="auto"/>
          <w:sz w:val="24"/>
          <w:highlight w:val="none"/>
          <w:lang w:eastAsia="zh-CN"/>
        </w:rPr>
        <w:t>中标人</w:t>
      </w:r>
      <w:r>
        <w:rPr>
          <w:rFonts w:hint="eastAsia" w:ascii="宋体" w:hAnsi="宋体"/>
          <w:color w:val="auto"/>
          <w:sz w:val="24"/>
          <w:highlight w:val="none"/>
        </w:rPr>
        <w:t>提供的产品与投标文件中承诺的产品用材不一致，则</w:t>
      </w:r>
      <w:r>
        <w:rPr>
          <w:rFonts w:hint="eastAsia" w:ascii="宋体" w:hAnsi="宋体"/>
          <w:color w:val="auto"/>
          <w:sz w:val="24"/>
          <w:highlight w:val="none"/>
          <w:lang w:eastAsia="zh-CN"/>
        </w:rPr>
        <w:t>中标人</w:t>
      </w:r>
      <w:r>
        <w:rPr>
          <w:rFonts w:hint="eastAsia" w:ascii="宋体" w:hAnsi="宋体"/>
          <w:color w:val="auto"/>
          <w:sz w:val="24"/>
          <w:highlight w:val="none"/>
        </w:rPr>
        <w:t>必须接受无条件退货，并赔偿由此造成的损失。经</w:t>
      </w:r>
      <w:r>
        <w:rPr>
          <w:rFonts w:hint="eastAsia" w:ascii="宋体" w:hAnsi="宋体"/>
          <w:color w:val="auto"/>
          <w:sz w:val="24"/>
          <w:highlight w:val="none"/>
          <w:lang w:eastAsia="zh-CN"/>
        </w:rPr>
        <w:t>采购人</w:t>
      </w:r>
      <w:r>
        <w:rPr>
          <w:rFonts w:hint="eastAsia" w:ascii="宋体" w:hAnsi="宋体"/>
          <w:color w:val="auto"/>
          <w:sz w:val="24"/>
          <w:highlight w:val="none"/>
        </w:rPr>
        <w:t xml:space="preserve">对产品验收合格后，双方共同签署验收单，验收标准应符合有关规定。  </w:t>
      </w:r>
    </w:p>
    <w:p w14:paraId="24EDF0A2">
      <w:pPr>
        <w:pStyle w:val="20"/>
        <w:spacing w:before="120" w:after="120" w:line="380" w:lineRule="exact"/>
        <w:ind w:firstLine="482" w:firstLineChars="200"/>
        <w:rPr>
          <w:rFonts w:hAnsi="宋体"/>
          <w:color w:val="auto"/>
          <w:highlight w:val="none"/>
        </w:rPr>
      </w:pPr>
      <w:r>
        <w:rPr>
          <w:rFonts w:hAnsi="宋体"/>
          <w:color w:val="auto"/>
          <w:highlight w:val="none"/>
        </w:rPr>
        <w:t>5、中标人在原材料进厂后，货物制造过程中</w:t>
      </w:r>
      <w:r>
        <w:rPr>
          <w:rFonts w:hint="eastAsia" w:hAnsi="宋体"/>
          <w:color w:val="auto"/>
          <w:highlight w:val="none"/>
          <w:lang w:val="en-US" w:eastAsia="zh-CN"/>
        </w:rPr>
        <w:t>采购人</w:t>
      </w:r>
      <w:r>
        <w:rPr>
          <w:rFonts w:hAnsi="宋体"/>
          <w:color w:val="auto"/>
          <w:highlight w:val="none"/>
        </w:rPr>
        <w:t>有权到工厂进行监制、考察，或在发货前派人赴工厂进行预验收，</w:t>
      </w:r>
      <w:r>
        <w:rPr>
          <w:rFonts w:hint="eastAsia" w:hAnsi="宋体"/>
          <w:color w:val="auto"/>
          <w:highlight w:val="none"/>
          <w:lang w:eastAsia="zh-CN"/>
        </w:rPr>
        <w:t>中标人</w:t>
      </w:r>
      <w:r>
        <w:rPr>
          <w:rFonts w:hAnsi="宋体"/>
          <w:color w:val="auto"/>
          <w:highlight w:val="none"/>
        </w:rPr>
        <w:t>应予以积极配合并对监制或预验收工作提供方便。</w:t>
      </w:r>
    </w:p>
    <w:p w14:paraId="39376431">
      <w:pPr>
        <w:pStyle w:val="95"/>
        <w:spacing w:before="120" w:beforeLines="50" w:after="120" w:afterLines="50" w:line="380" w:lineRule="exact"/>
        <w:ind w:firstLine="480"/>
        <w:textAlignment w:val="center"/>
        <w:rPr>
          <w:rFonts w:hint="eastAsia" w:ascii="宋体" w:hAnsi="宋体"/>
          <w:color w:val="auto"/>
          <w:sz w:val="24"/>
          <w:szCs w:val="24"/>
          <w:highlight w:val="none"/>
        </w:rPr>
      </w:pPr>
      <w:r>
        <w:rPr>
          <w:rFonts w:hint="eastAsia" w:ascii="宋体" w:hAnsi="宋体"/>
          <w:color w:val="auto"/>
          <w:sz w:val="24"/>
          <w:szCs w:val="24"/>
          <w:highlight w:val="none"/>
        </w:rPr>
        <w:t>6、中标后</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需要调整方案，在不改变材质的情况下，无条件按</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要求实施，全费用综合单价不高于原全费用综合单价。</w:t>
      </w:r>
    </w:p>
    <w:p w14:paraId="1EB665F3">
      <w:pPr>
        <w:pStyle w:val="20"/>
        <w:snapToGrid w:val="0"/>
        <w:spacing w:before="120" w:beforeLines="0" w:after="120" w:afterLines="0" w:line="360" w:lineRule="auto"/>
        <w:outlineLvl w:val="0"/>
        <w:rPr>
          <w:rFonts w:hAnsi="宋体" w:cs="宋体"/>
          <w:bCs/>
          <w:color w:val="auto"/>
          <w:highlight w:val="none"/>
        </w:rPr>
      </w:pPr>
      <w:r>
        <w:rPr>
          <w:rFonts w:hAnsi="宋体" w:cs="宋体"/>
          <w:bCs/>
          <w:color w:val="auto"/>
          <w:highlight w:val="none"/>
        </w:rPr>
        <w:t>三、商务需求表</w:t>
      </w:r>
    </w:p>
    <w:tbl>
      <w:tblPr>
        <w:tblStyle w:val="37"/>
        <w:tblW w:w="146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7"/>
        <w:gridCol w:w="12622"/>
      </w:tblGrid>
      <w:tr w14:paraId="7117C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97" w:type="dxa"/>
            <w:tcBorders>
              <w:top w:val="single" w:color="auto" w:sz="4" w:space="0"/>
              <w:left w:val="single" w:color="auto" w:sz="4" w:space="0"/>
              <w:bottom w:val="single" w:color="auto" w:sz="4" w:space="0"/>
              <w:right w:val="single" w:color="auto" w:sz="4" w:space="0"/>
            </w:tcBorders>
            <w:noWrap w:val="0"/>
            <w:vAlign w:val="center"/>
          </w:tcPr>
          <w:p w14:paraId="31ACDCD7">
            <w:pPr>
              <w:keepNext w:val="0"/>
              <w:keepLines w:val="0"/>
              <w:suppressLineNumbers w:val="0"/>
              <w:snapToGrid w:val="0"/>
              <w:spacing w:before="0" w:beforeAutospacing="0" w:after="0" w:afterAutospacing="0" w:line="360" w:lineRule="auto"/>
              <w:ind w:left="0" w:right="0"/>
              <w:rPr>
                <w:rFonts w:hint="eastAsia" w:ascii="宋体" w:hAnsi="宋体" w:cs="宋体"/>
                <w:bCs/>
                <w:color w:val="auto"/>
                <w:sz w:val="24"/>
                <w:highlight w:val="none"/>
              </w:rPr>
            </w:pPr>
            <w:r>
              <w:rPr>
                <w:rFonts w:hint="eastAsia" w:ascii="宋体" w:hAnsi="宋体" w:cs="宋体"/>
                <w:bCs/>
                <w:color w:val="auto"/>
                <w:sz w:val="24"/>
                <w:highlight w:val="none"/>
              </w:rPr>
              <w:t>质保期</w:t>
            </w:r>
          </w:p>
        </w:tc>
        <w:tc>
          <w:tcPr>
            <w:tcW w:w="12622" w:type="dxa"/>
            <w:tcBorders>
              <w:top w:val="single" w:color="auto" w:sz="4" w:space="0"/>
              <w:left w:val="single" w:color="auto" w:sz="4" w:space="0"/>
              <w:bottom w:val="single" w:color="auto" w:sz="4" w:space="0"/>
              <w:right w:val="single" w:color="auto" w:sz="4" w:space="0"/>
            </w:tcBorders>
            <w:noWrap w:val="0"/>
            <w:vAlign w:val="center"/>
          </w:tcPr>
          <w:p w14:paraId="195CD168">
            <w:pPr>
              <w:keepNext w:val="0"/>
              <w:keepLines w:val="0"/>
              <w:suppressLineNumbers w:val="0"/>
              <w:snapToGrid w:val="0"/>
              <w:spacing w:before="0" w:beforeAutospacing="0" w:after="0" w:afterAutospacing="0" w:line="360" w:lineRule="auto"/>
              <w:ind w:left="0" w:right="0"/>
              <w:rPr>
                <w:rFonts w:hint="eastAsia" w:ascii="宋体" w:hAnsi="宋体" w:cs="宋体"/>
                <w:bCs/>
                <w:color w:val="auto"/>
                <w:sz w:val="24"/>
                <w:highlight w:val="none"/>
              </w:rPr>
            </w:pPr>
            <w:r>
              <w:rPr>
                <w:rFonts w:hint="eastAsia" w:ascii="宋体" w:hAnsi="宋体" w:cs="宋体"/>
                <w:bCs/>
                <w:color w:val="auto"/>
                <w:sz w:val="24"/>
                <w:highlight w:val="none"/>
              </w:rPr>
              <w:t>该验收合格并办理项目移交次日起</w:t>
            </w:r>
            <w:r>
              <w:rPr>
                <w:rFonts w:hint="eastAsia" w:ascii="宋体" w:hAnsi="宋体" w:cs="宋体"/>
                <w:bCs/>
                <w:color w:val="auto"/>
                <w:sz w:val="24"/>
                <w:highlight w:val="none"/>
                <w:lang w:val="en-US" w:eastAsia="zh-CN"/>
              </w:rPr>
              <w:t>不少于</w:t>
            </w:r>
            <w:r>
              <w:rPr>
                <w:rFonts w:hint="eastAsia" w:ascii="宋体" w:hAnsi="宋体" w:cs="宋体"/>
                <w:bCs/>
                <w:color w:val="auto"/>
                <w:sz w:val="24"/>
                <w:highlight w:val="none"/>
              </w:rPr>
              <w:t>3年。</w:t>
            </w:r>
          </w:p>
        </w:tc>
      </w:tr>
      <w:tr w14:paraId="3EC7F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997" w:type="dxa"/>
            <w:tcBorders>
              <w:top w:val="single" w:color="auto" w:sz="4" w:space="0"/>
              <w:left w:val="single" w:color="auto" w:sz="4" w:space="0"/>
              <w:bottom w:val="single" w:color="auto" w:sz="4" w:space="0"/>
              <w:right w:val="single" w:color="auto" w:sz="4" w:space="0"/>
            </w:tcBorders>
            <w:noWrap w:val="0"/>
            <w:vAlign w:val="center"/>
          </w:tcPr>
          <w:p w14:paraId="5D4BD8A2">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交货时间及地点</w:t>
            </w:r>
          </w:p>
        </w:tc>
        <w:tc>
          <w:tcPr>
            <w:tcW w:w="12622" w:type="dxa"/>
            <w:tcBorders>
              <w:top w:val="single" w:color="auto" w:sz="4" w:space="0"/>
              <w:left w:val="single" w:color="auto" w:sz="4" w:space="0"/>
              <w:bottom w:val="single" w:color="auto" w:sz="4" w:space="0"/>
              <w:right w:val="single" w:color="auto" w:sz="4" w:space="0"/>
            </w:tcBorders>
            <w:noWrap w:val="0"/>
            <w:vAlign w:val="center"/>
          </w:tcPr>
          <w:p w14:paraId="5FF2FBA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rPr>
              <w:t>供货及安装工期：</w:t>
            </w:r>
            <w:r>
              <w:rPr>
                <w:rFonts w:hint="eastAsia" w:ascii="宋体" w:hAnsi="宋体" w:cs="宋体"/>
                <w:color w:val="auto"/>
                <w:sz w:val="24"/>
                <w:highlight w:val="none"/>
                <w:lang w:val="en-US" w:eastAsia="zh-CN"/>
              </w:rPr>
              <w:t>自合同签订之日起25天内完成供货、运输、安装、调试，且验收合格达到交付使用要求。</w:t>
            </w:r>
          </w:p>
          <w:p w14:paraId="22C00BB7">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交货地点：</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 xml:space="preserve">人指定地点。    </w:t>
            </w:r>
          </w:p>
        </w:tc>
      </w:tr>
      <w:tr w14:paraId="6DC53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97" w:type="dxa"/>
            <w:tcBorders>
              <w:top w:val="single" w:color="auto" w:sz="4" w:space="0"/>
              <w:left w:val="single" w:color="auto" w:sz="4" w:space="0"/>
              <w:bottom w:val="single" w:color="auto" w:sz="4" w:space="0"/>
              <w:right w:val="single" w:color="auto" w:sz="4" w:space="0"/>
            </w:tcBorders>
            <w:noWrap w:val="0"/>
            <w:vAlign w:val="center"/>
          </w:tcPr>
          <w:p w14:paraId="600108E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2622" w:type="dxa"/>
            <w:tcBorders>
              <w:top w:val="single" w:color="auto" w:sz="4" w:space="0"/>
              <w:left w:val="single" w:color="auto" w:sz="4" w:space="0"/>
              <w:bottom w:val="single" w:color="auto" w:sz="4" w:space="0"/>
              <w:right w:val="single" w:color="auto" w:sz="4" w:space="0"/>
            </w:tcBorders>
            <w:noWrap w:val="0"/>
            <w:vAlign w:val="center"/>
          </w:tcPr>
          <w:p w14:paraId="6FEC802D">
            <w:pPr>
              <w:keepNext w:val="0"/>
              <w:keepLines w:val="0"/>
              <w:suppressLineNumbers w:val="0"/>
              <w:snapToGrid w:val="0"/>
              <w:spacing w:before="0" w:beforeAutospacing="0" w:after="0" w:afterAutospacing="0" w:line="360" w:lineRule="auto"/>
              <w:ind w:left="0" w:right="0"/>
              <w:rPr>
                <w:rFonts w:hint="eastAsia" w:ascii="宋体" w:hAnsi="宋体" w:cs="宋体"/>
                <w:b/>
                <w:color w:val="auto"/>
                <w:sz w:val="24"/>
                <w:highlight w:val="none"/>
              </w:rPr>
            </w:pPr>
            <w:r>
              <w:rPr>
                <w:rFonts w:hint="eastAsia" w:ascii="宋体" w:hAnsi="宋体" w:cs="宋体"/>
                <w:color w:val="auto"/>
                <w:sz w:val="24"/>
                <w:highlight w:val="none"/>
              </w:rPr>
              <w:t>见合同条款</w:t>
            </w:r>
          </w:p>
        </w:tc>
      </w:tr>
      <w:tr w14:paraId="792FD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997" w:type="dxa"/>
            <w:tcBorders>
              <w:top w:val="single" w:color="auto" w:sz="4" w:space="0"/>
              <w:left w:val="single" w:color="auto" w:sz="4" w:space="0"/>
              <w:bottom w:val="single" w:color="auto" w:sz="4" w:space="0"/>
              <w:right w:val="single" w:color="auto" w:sz="4" w:space="0"/>
            </w:tcBorders>
            <w:noWrap w:val="0"/>
            <w:vAlign w:val="center"/>
          </w:tcPr>
          <w:p w14:paraId="37F23874">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eastAsia="宋体" w:cs="宋体"/>
                <w:color w:val="auto"/>
                <w:sz w:val="24"/>
                <w:highlight w:val="none"/>
              </w:rPr>
              <w:t>履约保证金的收取及退还</w:t>
            </w:r>
          </w:p>
        </w:tc>
        <w:tc>
          <w:tcPr>
            <w:tcW w:w="12622" w:type="dxa"/>
            <w:tcBorders>
              <w:top w:val="single" w:color="auto" w:sz="4" w:space="0"/>
              <w:left w:val="single" w:color="auto" w:sz="4" w:space="0"/>
              <w:bottom w:val="single" w:color="auto" w:sz="4" w:space="0"/>
              <w:right w:val="single" w:color="auto" w:sz="4" w:space="0"/>
            </w:tcBorders>
            <w:noWrap w:val="0"/>
            <w:vAlign w:val="center"/>
          </w:tcPr>
          <w:p w14:paraId="5995034D">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eastAsia="宋体" w:cs="宋体"/>
                <w:color w:val="auto"/>
                <w:sz w:val="24"/>
                <w:highlight w:val="none"/>
              </w:rPr>
              <w:t>在中标通知书发出7日内</w:t>
            </w:r>
            <w:r>
              <w:rPr>
                <w:rFonts w:hint="eastAsia" w:ascii="宋体" w:hAnsi="宋体" w:eastAsia="宋体" w:cs="宋体"/>
                <w:color w:val="auto"/>
                <w:sz w:val="24"/>
                <w:highlight w:val="none"/>
                <w:lang w:val="en-US" w:eastAsia="zh-CN"/>
              </w:rPr>
              <w:t>向招标人缴纳合同履约保证金（中标价的1%），缴纳方式可选择：转帐、电汇、银行汇票或保函（见索即付）。如以银行转账、电汇或银行汇票形式递交履约保证金的，则应将履约保证金一次性汇入（或转入）招标人指定帐户，在合同履行完毕（验收合格且付清全部货款）后</w:t>
            </w:r>
            <w:r>
              <w:rPr>
                <w:rFonts w:hint="eastAsia" w:ascii="宋体" w:hAnsi="宋体" w:cs="宋体"/>
                <w:color w:val="auto"/>
                <w:sz w:val="24"/>
                <w:highlight w:val="none"/>
              </w:rPr>
              <w:t>5日内无息退还</w:t>
            </w:r>
            <w:r>
              <w:rPr>
                <w:rFonts w:hint="eastAsia" w:ascii="宋体" w:hAnsi="宋体" w:eastAsia="宋体" w:cs="宋体"/>
                <w:color w:val="auto"/>
                <w:sz w:val="24"/>
                <w:highlight w:val="none"/>
                <w:lang w:val="en-US" w:eastAsia="zh-CN"/>
              </w:rPr>
              <w:t>。如采取保函形式，保函文件中必须包含中标单位企业的信息，包含但不限于企业名称、保证方式、保证金额、保函获得时间、保证项目名称、保函有效期限、保费标准、费用支付账户（基本账户）等，保函有效期不少于1年。</w:t>
            </w:r>
          </w:p>
        </w:tc>
      </w:tr>
    </w:tbl>
    <w:p w14:paraId="75CE7D4D">
      <w:pPr>
        <w:autoSpaceDE w:val="0"/>
        <w:autoSpaceDN w:val="0"/>
        <w:adjustRightInd w:val="0"/>
        <w:rPr>
          <w:rFonts w:hint="eastAsia" w:ascii="宋体" w:hAnsi="宋体" w:cs="宋体"/>
          <w:color w:val="auto"/>
          <w:sz w:val="24"/>
          <w:highlight w:val="none"/>
        </w:rPr>
        <w:sectPr>
          <w:pgSz w:w="16838" w:h="11905" w:orient="landscape"/>
          <w:pgMar w:top="1587" w:right="1134" w:bottom="1587" w:left="1134" w:header="851" w:footer="850" w:gutter="0"/>
          <w:cols w:space="720" w:num="1"/>
          <w:titlePg/>
          <w:docGrid w:linePitch="312" w:charSpace="0"/>
        </w:sectPr>
      </w:pPr>
    </w:p>
    <w:p w14:paraId="591721D6">
      <w:pPr>
        <w:snapToGrid w:val="0"/>
        <w:spacing w:before="120" w:beforeLines="50" w:after="120" w:afterLines="50"/>
        <w:jc w:val="center"/>
        <w:rPr>
          <w:rFonts w:ascii="宋体" w:hAnsi="宋体"/>
          <w:color w:val="auto"/>
          <w:sz w:val="30"/>
          <w:szCs w:val="30"/>
          <w:highlight w:val="none"/>
        </w:rPr>
      </w:pPr>
      <w:r>
        <w:rPr>
          <w:rFonts w:ascii="宋体" w:hAnsi="宋体"/>
          <w:color w:val="auto"/>
          <w:sz w:val="30"/>
          <w:szCs w:val="30"/>
          <w:highlight w:val="none"/>
        </w:rPr>
        <w:t>第三章  投标人须知</w:t>
      </w:r>
      <w:bookmarkEnd w:id="5"/>
    </w:p>
    <w:bookmarkEnd w:id="6"/>
    <w:p w14:paraId="7A5F8037">
      <w:pPr>
        <w:snapToGrid w:val="0"/>
        <w:spacing w:before="120" w:beforeLines="50" w:after="120" w:afterLines="50"/>
        <w:ind w:left="238"/>
        <w:jc w:val="center"/>
        <w:outlineLvl w:val="1"/>
        <w:rPr>
          <w:rFonts w:ascii="宋体" w:hAnsi="宋体"/>
          <w:b/>
          <w:color w:val="auto"/>
          <w:szCs w:val="28"/>
          <w:highlight w:val="none"/>
        </w:rPr>
      </w:pPr>
      <w:r>
        <w:rPr>
          <w:rFonts w:hint="eastAsia" w:ascii="宋体" w:hAnsi="宋体"/>
          <w:b/>
          <w:color w:val="auto"/>
          <w:szCs w:val="28"/>
          <w:highlight w:val="none"/>
        </w:rPr>
        <w:t>前 附 表</w:t>
      </w:r>
    </w:p>
    <w:tbl>
      <w:tblPr>
        <w:tblStyle w:val="37"/>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F5CC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B4C5630">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934C8CA">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内容、要求</w:t>
            </w:r>
          </w:p>
        </w:tc>
      </w:tr>
      <w:tr w14:paraId="70AEF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3198CA1">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861FFBB">
            <w:pPr>
              <w:keepNext w:val="0"/>
              <w:keepLines w:val="0"/>
              <w:suppressLineNumbers w:val="0"/>
              <w:snapToGrid w:val="0"/>
              <w:spacing w:before="0" w:beforeAutospacing="0" w:after="0" w:afterAutospacing="0"/>
              <w:ind w:left="1200" w:right="0" w:hanging="1200" w:hangingChars="50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台州湾文旅综合体项目餐厅工程（家具采购）</w:t>
            </w: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ab/>
            </w:r>
            <w:r>
              <w:rPr>
                <w:rFonts w:hint="eastAsia" w:ascii="宋体" w:hAnsi="宋体" w:cs="宋体"/>
                <w:color w:val="auto"/>
                <w:sz w:val="24"/>
                <w:highlight w:val="none"/>
              </w:rPr>
              <w:t xml:space="preserve"> </w:t>
            </w:r>
          </w:p>
        </w:tc>
      </w:tr>
      <w:tr w14:paraId="35950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AB22A95">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2D11D9A">
            <w:pPr>
              <w:keepNext w:val="0"/>
              <w:keepLines w:val="0"/>
              <w:suppressLineNumbers w:val="0"/>
              <w:snapToGrid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采购内容及数量：详见第二章“招标需求”</w:t>
            </w:r>
          </w:p>
        </w:tc>
      </w:tr>
      <w:tr w14:paraId="56B5D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E2F539D">
            <w:pPr>
              <w:keepNext w:val="0"/>
              <w:keepLines w:val="0"/>
              <w:suppressLineNumbers w:val="0"/>
              <w:snapToGrid w:val="0"/>
              <w:spacing w:before="0" w:beforeAutospacing="0" w:after="0" w:afterAutospacing="0" w:line="4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CF9F4AF">
            <w:pPr>
              <w:pStyle w:val="33"/>
              <w:keepNext w:val="0"/>
              <w:keepLines w:val="0"/>
              <w:suppressLineNumbers w:val="0"/>
              <w:spacing w:before="0" w:beforeAutospacing="0" w:after="0" w:afterAutospacing="0" w:line="400" w:lineRule="exact"/>
              <w:ind w:left="0" w:right="0"/>
              <w:rPr>
                <w:rFonts w:cs="宋体"/>
                <w:color w:val="auto"/>
                <w:highlight w:val="none"/>
              </w:rPr>
            </w:pPr>
            <w:r>
              <w:rPr>
                <w:rFonts w:cs="Calibri"/>
                <w:color w:val="auto"/>
                <w:highlight w:val="none"/>
              </w:rPr>
              <w:t>▲</w:t>
            </w:r>
            <w:r>
              <w:rPr>
                <w:rFonts w:cs="Arial"/>
                <w:color w:val="auto"/>
                <w:kern w:val="2"/>
                <w:highlight w:val="none"/>
              </w:rPr>
              <w:t>交货期：</w:t>
            </w:r>
            <w:r>
              <w:rPr>
                <w:rFonts w:hint="eastAsia" w:ascii="宋体" w:hAnsi="宋体" w:cs="宋体"/>
                <w:color w:val="auto"/>
                <w:sz w:val="24"/>
                <w:highlight w:val="none"/>
                <w:lang w:val="en-US" w:eastAsia="zh-CN"/>
              </w:rPr>
              <w:t>自合同签订之日起25天内完成供货、运输、安装、调试，且验收合格达到交付使用要求。</w:t>
            </w:r>
          </w:p>
        </w:tc>
      </w:tr>
      <w:tr w14:paraId="2958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74E0589">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C2CFD01">
            <w:pPr>
              <w:keepNext w:val="0"/>
              <w:keepLines w:val="0"/>
              <w:suppressLineNumbers w:val="0"/>
              <w:snapToGrid w:val="0"/>
              <w:spacing w:before="0" w:beforeAutospacing="0" w:after="0" w:afterAutospacing="0"/>
              <w:ind w:left="0" w:right="0"/>
              <w:rPr>
                <w:rFonts w:hint="eastAsia" w:ascii="Calibri" w:hAnsi="Calibri" w:cs="Calibri"/>
                <w:color w:val="auto"/>
                <w:sz w:val="24"/>
                <w:highlight w:val="none"/>
              </w:rPr>
            </w:pPr>
            <w:r>
              <w:rPr>
                <w:rFonts w:hint="eastAsia" w:ascii="Calibri" w:hAnsi="Calibri" w:cs="Calibri"/>
                <w:color w:val="auto"/>
                <w:sz w:val="24"/>
                <w:highlight w:val="none"/>
              </w:rPr>
              <w:t>投标报价及费用：</w:t>
            </w:r>
          </w:p>
          <w:p w14:paraId="124C7284">
            <w:pPr>
              <w:keepNext w:val="0"/>
              <w:keepLines w:val="0"/>
              <w:suppressLineNumbers w:val="0"/>
              <w:snapToGrid w:val="0"/>
              <w:spacing w:before="0" w:beforeAutospacing="0" w:after="0" w:afterAutospacing="0"/>
              <w:ind w:left="0" w:right="0"/>
              <w:rPr>
                <w:rFonts w:hint="eastAsia" w:ascii="Calibri" w:hAnsi="Calibri" w:cs="Calibri"/>
                <w:color w:val="auto"/>
                <w:sz w:val="24"/>
                <w:highlight w:val="none"/>
              </w:rPr>
            </w:pPr>
            <w:r>
              <w:rPr>
                <w:rFonts w:hint="eastAsia" w:ascii="Calibri" w:hAnsi="Calibri" w:cs="Calibri"/>
                <w:color w:val="auto"/>
                <w:sz w:val="24"/>
                <w:highlight w:val="none"/>
              </w:rPr>
              <w:t>1、本项目投标应以人民币报价；</w:t>
            </w:r>
          </w:p>
          <w:p w14:paraId="026A6C7E">
            <w:pPr>
              <w:keepNext w:val="0"/>
              <w:keepLines w:val="0"/>
              <w:suppressLineNumbers w:val="0"/>
              <w:snapToGrid w:val="0"/>
              <w:spacing w:before="0" w:beforeAutospacing="0" w:after="0" w:afterAutospacing="0"/>
              <w:ind w:left="0" w:right="0"/>
              <w:rPr>
                <w:rFonts w:hint="eastAsia" w:ascii="Calibri" w:hAnsi="Calibri" w:cs="Calibri"/>
                <w:color w:val="auto"/>
                <w:sz w:val="24"/>
                <w:highlight w:val="none"/>
              </w:rPr>
            </w:pPr>
            <w:r>
              <w:rPr>
                <w:rFonts w:hint="eastAsia" w:ascii="Calibri" w:hAnsi="Calibri" w:cs="Calibri"/>
                <w:color w:val="auto"/>
                <w:sz w:val="24"/>
                <w:highlight w:val="none"/>
              </w:rPr>
              <w:t xml:space="preserve">2、不论投标结果如何，投标人均应自行承担所有与投标有关的全部费用； </w:t>
            </w:r>
          </w:p>
        </w:tc>
      </w:tr>
      <w:tr w14:paraId="21A61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0AA11F4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FFD3284">
            <w:pPr>
              <w:keepNext w:val="0"/>
              <w:keepLines w:val="0"/>
              <w:suppressLineNumbers w:val="0"/>
              <w:snapToGrid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现场踏勘：本项目不设置现场踏勘。</w:t>
            </w:r>
          </w:p>
        </w:tc>
      </w:tr>
      <w:tr w14:paraId="52499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1EED31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277C20C">
            <w:pPr>
              <w:keepNext w:val="0"/>
              <w:keepLines w:val="0"/>
              <w:suppressLineNumbers w:val="0"/>
              <w:snapToGrid w:val="0"/>
              <w:spacing w:before="0" w:beforeAutospacing="0" w:after="0" w:afterAutospacing="0"/>
              <w:ind w:left="0" w:right="0"/>
              <w:rPr>
                <w:rFonts w:hint="eastAsia" w:ascii="宋体" w:hAnsi="宋体" w:cs="宋体"/>
                <w:color w:val="auto"/>
                <w:sz w:val="24"/>
                <w:highlight w:val="none"/>
              </w:rPr>
            </w:pPr>
            <w:r>
              <w:rPr>
                <w:rFonts w:hint="eastAsia" w:ascii="宋体" w:hAnsi="宋体" w:cs="Calibri"/>
                <w:bCs/>
                <w:color w:val="auto"/>
                <w:sz w:val="24"/>
                <w:highlight w:val="none"/>
                <w:lang w:bidi="ar"/>
              </w:rPr>
              <w:t>招标文件的澄清：投标人获取招标文件后，若有问题需要澄清，应自招标文件发布在交易场所（发布招标公告的媒体上）3日内，通过台州湾新区小额工程电子交易平台（</w:t>
            </w:r>
            <w:r>
              <w:rPr>
                <w:rFonts w:hint="eastAsia" w:ascii="宋体" w:hAnsi="宋体" w:cs="宋体"/>
                <w:color w:val="auto"/>
                <w:sz w:val="24"/>
                <w:highlight w:val="none"/>
              </w:rPr>
              <w:t>http://www.tzwztb.com</w:t>
            </w:r>
            <w:r>
              <w:rPr>
                <w:rFonts w:hint="eastAsia" w:ascii="宋体" w:hAnsi="宋体" w:cs="Calibri"/>
                <w:bCs/>
                <w:color w:val="auto"/>
                <w:sz w:val="24"/>
                <w:highlight w:val="none"/>
                <w:lang w:bidi="ar"/>
              </w:rPr>
              <w:t>)</w:t>
            </w:r>
            <w:r>
              <w:rPr>
                <w:rFonts w:hint="eastAsia" w:ascii="宋体" w:hAnsi="宋体" w:cs="Calibri"/>
                <w:bCs/>
                <w:color w:val="auto"/>
                <w:sz w:val="24"/>
                <w:highlight w:val="none"/>
                <w:lang w:val="en-US" w:eastAsia="zh-CN" w:bidi="ar"/>
              </w:rPr>
              <w:t>和</w:t>
            </w:r>
            <w:r>
              <w:rPr>
                <w:rFonts w:hint="eastAsia" w:ascii="宋体" w:hAnsi="宋体" w:cs="宋体"/>
                <w:color w:val="auto"/>
                <w:sz w:val="24"/>
                <w:highlight w:val="none"/>
              </w:rPr>
              <w:t>浙江省政府采购网”（http:// www.zjzfcg.gov.cn）</w:t>
            </w:r>
            <w:r>
              <w:rPr>
                <w:rFonts w:hint="eastAsia" w:ascii="宋体" w:hAnsi="宋体" w:cs="Calibri"/>
                <w:bCs/>
                <w:color w:val="auto"/>
                <w:sz w:val="24"/>
                <w:highlight w:val="none"/>
                <w:lang w:bidi="ar"/>
              </w:rPr>
              <w:t>向招标人（招标代理）提出。</w:t>
            </w:r>
          </w:p>
        </w:tc>
      </w:tr>
      <w:tr w14:paraId="618D2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E503DE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5FC739B">
            <w:pPr>
              <w:keepNext w:val="0"/>
              <w:keepLines w:val="0"/>
              <w:suppressLineNumbers w:val="0"/>
              <w:snapToGrid w:val="0"/>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sz w:val="24"/>
                <w:highlight w:val="none"/>
              </w:rPr>
              <w:t>投标截止时间及地点：</w:t>
            </w:r>
            <w:r>
              <w:rPr>
                <w:rFonts w:hint="eastAsia" w:ascii="宋体" w:hAnsi="宋体" w:cs="宋体"/>
                <w:color w:val="auto"/>
                <w:sz w:val="24"/>
                <w:highlight w:val="none"/>
                <w:u w:val="single"/>
              </w:rPr>
              <w:t>见招标公告；</w:t>
            </w:r>
          </w:p>
        </w:tc>
      </w:tr>
      <w:tr w14:paraId="5BAE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A2A8BC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3DBAD3C">
            <w:pPr>
              <w:keepNext w:val="0"/>
              <w:keepLines w:val="0"/>
              <w:suppressLineNumbers w:val="0"/>
              <w:snapToGrid w:val="0"/>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sz w:val="24"/>
                <w:highlight w:val="none"/>
              </w:rPr>
              <w:t>开标时间及地点：</w:t>
            </w:r>
            <w:r>
              <w:rPr>
                <w:rFonts w:hint="eastAsia" w:ascii="宋体" w:hAnsi="宋体" w:cs="宋体"/>
                <w:color w:val="auto"/>
                <w:sz w:val="24"/>
                <w:highlight w:val="none"/>
                <w:u w:val="single"/>
              </w:rPr>
              <w:t>见招标公告；</w:t>
            </w:r>
            <w:r>
              <w:rPr>
                <w:rFonts w:hint="eastAsia" w:ascii="宋体" w:hAnsi="宋体" w:cs="宋体"/>
                <w:color w:val="auto"/>
                <w:sz w:val="24"/>
                <w:highlight w:val="none"/>
              </w:rPr>
              <w:t xml:space="preserve"> </w:t>
            </w:r>
          </w:p>
        </w:tc>
      </w:tr>
      <w:tr w14:paraId="213B9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FD4841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C86920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auto"/>
                <w:sz w:val="24"/>
                <w:highlight w:val="none"/>
              </w:rPr>
            </w:pPr>
            <w:r>
              <w:rPr>
                <w:rFonts w:hint="eastAsia" w:ascii="宋体" w:hAnsi="宋体" w:cs="宋体"/>
                <w:color w:val="auto"/>
                <w:sz w:val="24"/>
                <w:highlight w:val="none"/>
              </w:rPr>
              <w:t>评标办法及评分标准：详见本招标文件第四章《评标办法及评分标准》</w:t>
            </w:r>
          </w:p>
        </w:tc>
      </w:tr>
      <w:tr w14:paraId="146D8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668CD5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1408B89">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宋体" w:hAnsi="宋体" w:cs="宋体"/>
                <w:color w:val="auto"/>
                <w:sz w:val="24"/>
                <w:highlight w:val="none"/>
              </w:rPr>
              <w:t>▲投标有效期：自投标截止日起 90 天投标文件应保持有效</w:t>
            </w:r>
            <w:r>
              <w:rPr>
                <w:rFonts w:hint="eastAsia" w:ascii="宋体" w:hAnsi="宋体" w:cs="宋体"/>
                <w:color w:val="auto"/>
                <w:sz w:val="24"/>
                <w:highlight w:val="none"/>
              </w:rPr>
              <w:tab/>
            </w:r>
          </w:p>
        </w:tc>
      </w:tr>
      <w:tr w14:paraId="6C34C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D1846EC">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476CB64">
            <w:pPr>
              <w:keepNext w:val="0"/>
              <w:keepLines w:val="0"/>
              <w:suppressLineNumbers w:val="0"/>
              <w:autoSpaceDE w:val="0"/>
              <w:autoSpaceDN w:val="0"/>
              <w:snapToGrid w:val="0"/>
              <w:spacing w:before="0" w:beforeAutospacing="0" w:after="0" w:afterAutospacing="0" w:line="360" w:lineRule="exact"/>
              <w:ind w:left="0" w:right="0"/>
              <w:textAlignment w:val="bottom"/>
              <w:rPr>
                <w:rFonts w:hint="eastAsia" w:ascii="宋体" w:hAnsi="宋体" w:cs="宋体"/>
                <w:color w:val="auto"/>
                <w:sz w:val="24"/>
                <w:highlight w:val="none"/>
              </w:rPr>
            </w:pPr>
            <w:r>
              <w:rPr>
                <w:rFonts w:hint="eastAsia" w:ascii="宋体" w:hAnsi="宋体" w:cs="宋体"/>
                <w:color w:val="auto"/>
                <w:sz w:val="24"/>
                <w:highlight w:val="none"/>
              </w:rPr>
              <w:t>实质性条款：带▲是实质性条款，投标人不得负偏离，否则为无效标。</w:t>
            </w:r>
          </w:p>
        </w:tc>
      </w:tr>
      <w:tr w14:paraId="164ED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2734F5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F4E190A">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auto"/>
                <w:sz w:val="24"/>
                <w:highlight w:val="none"/>
              </w:rPr>
            </w:pPr>
            <w:r>
              <w:rPr>
                <w:rFonts w:hint="eastAsia" w:ascii="宋体" w:hAnsi="宋体" w:cs="宋体"/>
                <w:color w:val="auto"/>
                <w:sz w:val="24"/>
                <w:highlight w:val="none"/>
              </w:rPr>
              <w:t>签订合同时间：中标通知书发出后30日内。</w:t>
            </w:r>
          </w:p>
        </w:tc>
      </w:tr>
      <w:tr w14:paraId="41F7E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48D6CA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A4D43C2">
            <w:pPr>
              <w:pStyle w:val="8"/>
              <w:keepNext w:val="0"/>
              <w:keepLines w:val="0"/>
              <w:suppressLineNumbers w:val="0"/>
              <w:snapToGrid w:val="0"/>
              <w:spacing w:before="120" w:beforeAutospacing="0" w:after="120" w:afterAutospacing="0"/>
              <w:ind w:left="0" w:right="0" w:firstLine="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投标文件递交要求：</w:t>
            </w:r>
          </w:p>
          <w:p w14:paraId="663AEFEC">
            <w:pPr>
              <w:pStyle w:val="8"/>
              <w:keepNext w:val="0"/>
              <w:keepLines w:val="0"/>
              <w:suppressLineNumbers w:val="0"/>
              <w:snapToGrid w:val="0"/>
              <w:spacing w:before="120" w:beforeAutospacing="0" w:after="120" w:afterAutospacing="0"/>
              <w:ind w:left="0" w:righ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1、投标人无需到开标现场，电子投标文件上传至台州湾新区小额工程电子交易平台。如遇有问题的请联系蔡先生，13454667697；王女士，13757680207。</w:t>
            </w:r>
          </w:p>
          <w:p w14:paraId="51F69028">
            <w:pPr>
              <w:pStyle w:val="8"/>
              <w:keepNext w:val="0"/>
              <w:keepLines w:val="0"/>
              <w:suppressLineNumbers w:val="0"/>
              <w:snapToGrid w:val="0"/>
              <w:spacing w:before="120" w:beforeAutospacing="0" w:after="120" w:afterAutospacing="0"/>
              <w:ind w:left="0" w:righ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2、电子投标文件上传步骤：</w:t>
            </w:r>
          </w:p>
          <w:p w14:paraId="55E42A5F">
            <w:pPr>
              <w:pStyle w:val="8"/>
              <w:keepNext w:val="0"/>
              <w:keepLines w:val="0"/>
              <w:suppressLineNumbers w:val="0"/>
              <w:snapToGrid w:val="0"/>
              <w:spacing w:before="120" w:beforeAutospacing="0" w:after="120" w:afterAutospacing="0"/>
              <w:ind w:left="0" w:righ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台州湾新区小额工程电子交易平台（网址：http://www.tzwztb.com/）；</w:t>
            </w:r>
          </w:p>
          <w:p w14:paraId="7239E807">
            <w:pPr>
              <w:pStyle w:val="8"/>
              <w:keepNext w:val="0"/>
              <w:keepLines w:val="0"/>
              <w:suppressLineNumbers w:val="0"/>
              <w:snapToGrid w:val="0"/>
              <w:spacing w:before="120" w:beforeAutospacing="0" w:after="120" w:afterAutospacing="0"/>
              <w:ind w:left="0"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 投标人应提前办好ca锁（办理网址：http://www.tseal.cn/tcloud/common.xhtml?projId=295），绑定平台账户。</w:t>
            </w:r>
          </w:p>
          <w:p w14:paraId="01451FE5">
            <w:pPr>
              <w:pStyle w:val="8"/>
              <w:keepNext w:val="0"/>
              <w:keepLines w:val="0"/>
              <w:suppressLineNumbers w:val="0"/>
              <w:snapToGrid w:val="0"/>
              <w:spacing w:before="120" w:beforeAutospacing="0" w:after="120" w:afterAutospacing="0"/>
              <w:ind w:left="0" w:righ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3)点击“电子投标文件制作工具”，进入制作页面，签章并加密上传电子投标文件。</w:t>
            </w:r>
          </w:p>
        </w:tc>
      </w:tr>
      <w:tr w14:paraId="358A0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8"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79F122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4295A4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auto"/>
                <w:sz w:val="24"/>
                <w:highlight w:val="none"/>
              </w:rPr>
            </w:pPr>
            <w:r>
              <w:rPr>
                <w:rFonts w:hint="eastAsia" w:ascii="宋体" w:hAnsi="宋体" w:cs="宋体"/>
                <w:b/>
                <w:color w:val="auto"/>
                <w:sz w:val="24"/>
                <w:highlight w:val="none"/>
              </w:rPr>
              <w:t>本工程为电子招投标，电子投标文件格式中注明盖章的，均应按要求使用CA锁加盖公章和法定代表人章。(电子文件应签章齐全，办理 CA 证书的投标人可采用单位电子公章代替单位公章，法定代表人电子章代替法定代表人签字，在投标文件编制工具中签章)</w:t>
            </w:r>
          </w:p>
        </w:tc>
      </w:tr>
      <w:tr w14:paraId="0B1AF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D37E5D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AF79B24">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auto"/>
                <w:sz w:val="24"/>
                <w:highlight w:val="none"/>
              </w:rPr>
            </w:pPr>
            <w:r>
              <w:rPr>
                <w:rFonts w:hint="eastAsia" w:ascii="宋体" w:hAnsi="宋体" w:cs="宋体"/>
                <w:color w:val="auto"/>
                <w:sz w:val="24"/>
                <w:highlight w:val="none"/>
              </w:rPr>
              <w:t>解释：本招标文件的解释权属于采购单位。</w:t>
            </w:r>
          </w:p>
        </w:tc>
      </w:tr>
    </w:tbl>
    <w:p w14:paraId="21846F73">
      <w:pPr>
        <w:pStyle w:val="20"/>
        <w:snapToGrid w:val="0"/>
        <w:spacing w:before="0" w:beforeLines="0" w:after="0" w:afterLines="0" w:line="360" w:lineRule="auto"/>
        <w:jc w:val="left"/>
        <w:rPr>
          <w:rFonts w:hAnsi="宋体" w:cs="宋体"/>
          <w:b w:val="0"/>
          <w:color w:val="auto"/>
          <w:highlight w:val="none"/>
        </w:rPr>
      </w:pPr>
      <w:r>
        <w:rPr>
          <w:rFonts w:hAnsi="宋体"/>
          <w:b w:val="0"/>
          <w:color w:val="auto"/>
          <w:sz w:val="30"/>
          <w:szCs w:val="30"/>
          <w:highlight w:val="none"/>
        </w:rPr>
        <w:br w:type="page"/>
      </w:r>
      <w:bookmarkStart w:id="7" w:name="第四章"/>
      <w:r>
        <w:rPr>
          <w:rFonts w:hAnsi="宋体" w:cs="宋体"/>
          <w:b w:val="0"/>
          <w:color w:val="auto"/>
          <w:highlight w:val="none"/>
        </w:rPr>
        <w:t>一、总  则</w:t>
      </w:r>
    </w:p>
    <w:p w14:paraId="2D42F608">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（一） 适用范围</w:t>
      </w:r>
    </w:p>
    <w:p w14:paraId="1B166AB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50F8739D">
      <w:pPr>
        <w:snapToGrid w:val="0"/>
        <w:spacing w:line="360" w:lineRule="auto"/>
        <w:ind w:firstLine="354" w:firstLineChars="147"/>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（二）定义</w:t>
      </w:r>
    </w:p>
    <w:p w14:paraId="73F135F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1.采购单位系指组织本次招标的代理机构（“招标人”）和采购人。</w:t>
      </w:r>
    </w:p>
    <w:p w14:paraId="0C2AC38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4498A9F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406F8F2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4.“服务”系指招标文件规定投标人须承担的安装、调试、技术协助、校准、培训、技术指导以及其他类似的义务。</w:t>
      </w:r>
    </w:p>
    <w:p w14:paraId="5EE0BB5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4B0F75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6.“书面形式”包括信函、传真、电报等。</w:t>
      </w:r>
    </w:p>
    <w:p w14:paraId="1C66304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7.“▲”系指实质性要求条款。</w:t>
      </w:r>
    </w:p>
    <w:p w14:paraId="24505ED4">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（三）招标方式</w:t>
      </w:r>
    </w:p>
    <w:p w14:paraId="74E4B6B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本次招标采用公开招标方式进行。</w:t>
      </w:r>
    </w:p>
    <w:p w14:paraId="148B0054">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）投标费用</w:t>
      </w:r>
      <w:r>
        <w:rPr>
          <w:rFonts w:hint="eastAsia" w:ascii="宋体" w:hAnsi="宋体" w:cs="宋体"/>
          <w:b/>
          <w:color w:val="auto"/>
          <w:sz w:val="24"/>
          <w:highlight w:val="none"/>
          <w:lang w:bidi="ar"/>
        </w:rPr>
        <w:t>及结算</w:t>
      </w:r>
    </w:p>
    <w:p w14:paraId="00F10D45">
      <w:pPr>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1）不论投标结果如何，投标人均应自行承担所有与投标有关的全部费用。</w:t>
      </w:r>
    </w:p>
    <w:p w14:paraId="02468F0E">
      <w:pPr>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2）投标时工程量按照招标文件中提供的工程量进行投标报价，结算时数量按实结算。</w:t>
      </w:r>
    </w:p>
    <w:p w14:paraId="36D6275D">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）联合体投标</w:t>
      </w:r>
    </w:p>
    <w:p w14:paraId="341C7D37">
      <w:pPr>
        <w:snapToGrid w:val="0"/>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本项目不接受联合体投标。</w:t>
      </w:r>
    </w:p>
    <w:p w14:paraId="46CFB887">
      <w:pPr>
        <w:snapToGrid w:val="0"/>
        <w:spacing w:line="360" w:lineRule="auto"/>
        <w:ind w:firstLine="472" w:firstLineChars="196"/>
        <w:jc w:val="left"/>
        <w:rPr>
          <w:rFonts w:hint="eastAsia"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14:paraId="610680E0">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6F703A3A">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）特别说明：</w:t>
      </w:r>
    </w:p>
    <w:p w14:paraId="375352AD">
      <w:pPr>
        <w:pStyle w:val="20"/>
        <w:snapToGrid w:val="0"/>
        <w:spacing w:before="0" w:beforeLines="0" w:after="0" w:afterLines="0" w:line="360" w:lineRule="auto"/>
        <w:ind w:left="3" w:leftChars="1" w:firstLine="480" w:firstLineChars="200"/>
        <w:jc w:val="left"/>
        <w:rPr>
          <w:rFonts w:hAnsi="宋体" w:cs="宋体"/>
          <w:b w:val="0"/>
          <w:color w:val="auto"/>
          <w:kern w:val="0"/>
          <w:highlight w:val="none"/>
        </w:rPr>
      </w:pPr>
      <w:r>
        <w:rPr>
          <w:rFonts w:hAnsi="宋体" w:cs="宋体"/>
          <w:b w:val="0"/>
          <w:bCs/>
          <w:color w:val="auto"/>
          <w:kern w:val="0"/>
          <w:highlight w:val="none"/>
        </w:rPr>
        <w:t>1、</w:t>
      </w:r>
      <w:r>
        <w:rPr>
          <w:rFonts w:hAnsi="宋体" w:cs="宋体"/>
          <w:b w:val="0"/>
          <w:color w:val="auto"/>
          <w:kern w:val="0"/>
          <w:highlight w:val="none"/>
        </w:rPr>
        <w:t>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14:paraId="12325DDB">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2、投标人投标所使用的资格、信誉、荣誉、业绩与企业认证必须为本法人所拥有。投标人投标所使用的采购项目实施人员必须为本法人员工。</w:t>
      </w:r>
    </w:p>
    <w:p w14:paraId="71C34135">
      <w:pPr>
        <w:pStyle w:val="20"/>
        <w:snapToGrid w:val="0"/>
        <w:spacing w:before="0" w:beforeLines="0" w:after="0" w:afterLines="0" w:line="360" w:lineRule="auto"/>
        <w:ind w:left="3" w:leftChars="1" w:firstLine="480" w:firstLineChars="200"/>
        <w:jc w:val="left"/>
        <w:rPr>
          <w:rFonts w:hAnsi="宋体" w:cs="宋体"/>
          <w:b w:val="0"/>
          <w:bCs/>
          <w:color w:val="auto"/>
          <w:highlight w:val="none"/>
        </w:rPr>
      </w:pPr>
      <w:r>
        <w:rPr>
          <w:rFonts w:hAnsi="宋体" w:cs="宋体"/>
          <w:b w:val="0"/>
          <w:bCs/>
          <w:color w:val="auto"/>
          <w:highlight w:val="none"/>
        </w:rPr>
        <w:t>3、投标人应仔细阅读招标文件的所有内容，按照招标文件的要求提交投标文件，并对所提供的全部资料的真实性承担法律责任。</w:t>
      </w:r>
    </w:p>
    <w:p w14:paraId="18FE60DE">
      <w:pPr>
        <w:pStyle w:val="95"/>
        <w:snapToGrid w:val="0"/>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4、投标人在投标活动中提供任何虚假材料,其投标无效，并报监管部门查处；中标后发现的,根据</w:t>
      </w:r>
      <w:r>
        <w:rPr>
          <w:rFonts w:hint="eastAsia" w:ascii="宋体" w:hAnsi="宋体" w:cs="宋体"/>
          <w:color w:val="auto"/>
          <w:sz w:val="24"/>
          <w:szCs w:val="24"/>
          <w:highlight w:val="none"/>
          <w:lang w:eastAsia="zh-CN"/>
        </w:rPr>
        <w:t>《中华人民共和国招标投标法》</w:t>
      </w:r>
      <w:r>
        <w:rPr>
          <w:rFonts w:hint="eastAsia" w:ascii="宋体" w:hAnsi="宋体" w:cs="宋体"/>
          <w:color w:val="auto"/>
          <w:sz w:val="24"/>
          <w:szCs w:val="24"/>
          <w:highlight w:val="none"/>
        </w:rPr>
        <w:t>，有违法所得的，并处没收违法所得，情节严重的，由工商行政管理机关吊销营业执照；构成犯罪的，依法追究刑事责任。</w:t>
      </w:r>
    </w:p>
    <w:p w14:paraId="5501D5C8">
      <w:pPr>
        <w:pStyle w:val="20"/>
        <w:snapToGrid w:val="0"/>
        <w:spacing w:before="0" w:beforeLines="0" w:after="0" w:afterLines="0" w:line="360" w:lineRule="auto"/>
        <w:ind w:firstLine="472" w:firstLineChars="196"/>
        <w:jc w:val="left"/>
        <w:outlineLvl w:val="1"/>
        <w:rPr>
          <w:rFonts w:hAnsi="宋体" w:cs="宋体"/>
          <w:color w:val="auto"/>
          <w:highlight w:val="none"/>
        </w:rPr>
      </w:pPr>
      <w:r>
        <w:rPr>
          <w:rFonts w:hAnsi="宋体" w:cs="宋体"/>
          <w:color w:val="auto"/>
          <w:highlight w:val="none"/>
        </w:rPr>
        <w:t>（</w:t>
      </w:r>
      <w:r>
        <w:rPr>
          <w:rFonts w:hint="eastAsia" w:hAnsi="宋体" w:cs="宋体"/>
          <w:color w:val="auto"/>
          <w:highlight w:val="none"/>
          <w:lang w:val="en-US" w:eastAsia="zh-CN"/>
        </w:rPr>
        <w:t>八</w:t>
      </w:r>
      <w:r>
        <w:rPr>
          <w:rFonts w:hAnsi="宋体" w:cs="宋体"/>
          <w:color w:val="auto"/>
          <w:highlight w:val="none"/>
        </w:rPr>
        <w:t>）质疑和投诉</w:t>
      </w:r>
    </w:p>
    <w:p w14:paraId="77986002">
      <w:pPr>
        <w:pStyle w:val="20"/>
        <w:snapToGrid w:val="0"/>
        <w:spacing w:before="0" w:beforeLines="0" w:after="0" w:afterLines="0" w:line="360" w:lineRule="auto"/>
        <w:ind w:firstLine="482" w:firstLineChars="200"/>
        <w:jc w:val="left"/>
        <w:rPr>
          <w:rFonts w:hint="eastAsia" w:hAnsi="宋体" w:cs="宋体"/>
          <w:bCs/>
          <w:color w:val="auto"/>
          <w:highlight w:val="none"/>
        </w:rPr>
      </w:pPr>
      <w:r>
        <w:rPr>
          <w:rFonts w:hint="eastAsia" w:hAnsi="宋体" w:cs="宋体"/>
          <w:bCs/>
          <w:color w:val="auto"/>
          <w:highlight w:val="none"/>
        </w:rPr>
        <w:t>1.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p>
    <w:p w14:paraId="3F25E75D">
      <w:pPr>
        <w:pStyle w:val="20"/>
        <w:snapToGrid w:val="0"/>
        <w:spacing w:before="0" w:beforeLines="0" w:after="0" w:afterLines="0" w:line="360" w:lineRule="auto"/>
        <w:ind w:firstLine="482" w:firstLineChars="200"/>
        <w:jc w:val="left"/>
        <w:rPr>
          <w:rFonts w:hAnsi="宋体" w:cs="宋体"/>
          <w:bCs/>
          <w:color w:val="auto"/>
          <w:highlight w:val="none"/>
        </w:rPr>
      </w:pPr>
      <w:r>
        <w:rPr>
          <w:rFonts w:hint="eastAsia" w:hAnsi="宋体" w:cs="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5016BA1">
      <w:pPr>
        <w:pStyle w:val="20"/>
        <w:snapToGrid w:val="0"/>
        <w:spacing w:before="0" w:beforeLines="0" w:after="0" w:afterLines="0" w:line="360" w:lineRule="auto"/>
        <w:jc w:val="left"/>
        <w:rPr>
          <w:rFonts w:hAnsi="宋体" w:cs="宋体"/>
          <w:b w:val="0"/>
          <w:color w:val="auto"/>
          <w:highlight w:val="none"/>
        </w:rPr>
      </w:pPr>
      <w:r>
        <w:rPr>
          <w:rFonts w:hAnsi="宋体" w:cs="宋体"/>
          <w:b w:val="0"/>
          <w:color w:val="auto"/>
          <w:highlight w:val="none"/>
        </w:rPr>
        <w:t>二、招标文件</w:t>
      </w:r>
    </w:p>
    <w:p w14:paraId="6007EAAE">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（一）招标文件的构成。本招标文件由以下部份组成：</w:t>
      </w:r>
    </w:p>
    <w:p w14:paraId="544E58C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1.招标公告</w:t>
      </w:r>
    </w:p>
    <w:p w14:paraId="58509C1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2.招标需求</w:t>
      </w:r>
    </w:p>
    <w:p w14:paraId="5E2FED1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3.投标人须知</w:t>
      </w:r>
    </w:p>
    <w:p w14:paraId="57F128B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4.评标办法及标准</w:t>
      </w:r>
    </w:p>
    <w:p w14:paraId="59585D6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5合同主要条款</w:t>
      </w:r>
    </w:p>
    <w:p w14:paraId="4D0913F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14:paraId="34F91DC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563F4373">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65557FE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5F1F2D4F">
      <w:pPr>
        <w:pStyle w:val="7"/>
        <w:widowControl w:val="0"/>
        <w:tabs>
          <w:tab w:val="clear" w:pos="454"/>
          <w:tab w:val="clear" w:pos="900"/>
        </w:tabs>
        <w:snapToGrid w:val="0"/>
        <w:spacing w:after="0" w:afterLines="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 xml:space="preserve">（三）招标文件的澄清与修改 </w:t>
      </w:r>
    </w:p>
    <w:p w14:paraId="1F231646">
      <w:pPr>
        <w:pStyle w:val="20"/>
        <w:snapToGrid w:val="0"/>
        <w:spacing w:before="0" w:beforeLines="0" w:after="0" w:afterLines="0" w:line="360" w:lineRule="auto"/>
        <w:ind w:firstLine="482" w:firstLineChars="200"/>
        <w:jc w:val="left"/>
        <w:rPr>
          <w:rFonts w:hAnsi="宋体" w:cs="宋体"/>
          <w:color w:val="auto"/>
          <w:highlight w:val="none"/>
        </w:rPr>
      </w:pPr>
      <w:r>
        <w:rPr>
          <w:rFonts w:hAnsi="宋体" w:cs="宋体"/>
          <w:color w:val="auto"/>
          <w:highlight w:val="none"/>
        </w:rPr>
        <w:t>1. 投标人获取招标文件后，若有问题需要澄清，应自招标文件发布在交易场所（发布招标公告的媒体上）</w:t>
      </w:r>
      <w:r>
        <w:rPr>
          <w:rFonts w:hint="eastAsia" w:hAnsi="宋体" w:cs="宋体"/>
          <w:color w:val="auto"/>
          <w:highlight w:val="none"/>
          <w:lang w:eastAsia="zh-CN"/>
        </w:rPr>
        <w:t>、</w:t>
      </w:r>
      <w:r>
        <w:rPr>
          <w:rFonts w:hint="eastAsia" w:ascii="宋体" w:hAnsi="宋体" w:cs="宋体"/>
          <w:color w:val="auto"/>
          <w:sz w:val="24"/>
          <w:highlight w:val="none"/>
        </w:rPr>
        <w:t>浙江省政府采购网”（http:// www.zjzfcg.gov.cn）</w:t>
      </w:r>
      <w:r>
        <w:rPr>
          <w:rFonts w:hAnsi="宋体" w:cs="宋体"/>
          <w:color w:val="auto"/>
          <w:highlight w:val="none"/>
        </w:rPr>
        <w:t>3日内，通过台州湾新区小额工程电子交易平台（http://www.tzwztb.com/)向招标人（招标代理）提出。招标人的答复将发布在台州湾新区小额工程电子交易平台（http://www.tzwztb.com/)</w:t>
      </w:r>
      <w:r>
        <w:rPr>
          <w:rFonts w:hint="eastAsia" w:hAnsi="宋体" w:cs="宋体"/>
          <w:color w:val="auto"/>
          <w:highlight w:val="none"/>
          <w:lang w:eastAsia="zh-CN"/>
        </w:rPr>
        <w:t>、</w:t>
      </w:r>
      <w:r>
        <w:rPr>
          <w:rFonts w:hint="eastAsia" w:ascii="宋体" w:hAnsi="宋体" w:cs="宋体"/>
          <w:color w:val="auto"/>
          <w:sz w:val="24"/>
          <w:highlight w:val="none"/>
        </w:rPr>
        <w:t>浙江省政府采购网”（http:// www.zjzfcg.gov.cn）</w:t>
      </w:r>
      <w:r>
        <w:rPr>
          <w:rFonts w:hAnsi="宋体" w:cs="宋体"/>
          <w:color w:val="auto"/>
          <w:highlight w:val="none"/>
        </w:rPr>
        <w:t>。如在该时间后提出问题需要澄清的，招标人不作答复。招标人及招标代理机构的任何工作人员对投标人所作的任何口头解释、介绍、答复，只能供投标人参考，对招标人无任何约束力。</w:t>
      </w:r>
      <w:r>
        <w:rPr>
          <w:rFonts w:hAnsi="宋体" w:cs="宋体"/>
          <w:bCs/>
          <w:color w:val="auto"/>
          <w:highlight w:val="none"/>
        </w:rPr>
        <w:t>投标人应认真阅读本招标文件，发现其中有误或有不合理要求的，投标人必须在前附表规定的时间内以书面形式要求</w:t>
      </w:r>
      <w:r>
        <w:rPr>
          <w:rFonts w:hint="eastAsia" w:hAnsi="宋体" w:cs="宋体"/>
          <w:bCs/>
          <w:color w:val="auto"/>
          <w:highlight w:val="none"/>
          <w:lang w:val="en-US" w:eastAsia="zh-CN"/>
        </w:rPr>
        <w:t>采购人</w:t>
      </w:r>
      <w:r>
        <w:rPr>
          <w:rFonts w:hAnsi="宋体" w:cs="宋体"/>
          <w:bCs/>
          <w:color w:val="auto"/>
          <w:highlight w:val="none"/>
        </w:rPr>
        <w:t>澄清</w:t>
      </w:r>
      <w:r>
        <w:rPr>
          <w:rFonts w:hAnsi="宋体" w:cs="宋体"/>
          <w:color w:val="auto"/>
          <w:highlight w:val="none"/>
        </w:rPr>
        <w:t>。采购代理机构对已发出的招标文件进行必要澄清、答复、修改或补充的，应当在招标文件要求提交投标文件截止时间5日前，发布更正公告，并以书面形式通知所有招标文件收受人。</w:t>
      </w:r>
    </w:p>
    <w:p w14:paraId="03D160FF">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2.采购代理机构必须以书面形式答复投标人要求澄清的问题，并将不包含问题来源的答复书面通知所有购买招标文件的投标人；除书面答复以外的其他澄清方式及澄清内容均无效。</w:t>
      </w:r>
    </w:p>
    <w:p w14:paraId="3FC64A45">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3.招标文件澄清、答复、修改、补充的内容为招标文件的组成部分。当招标文件与招标文件的答复、澄清、修改、补充通知就同一内容的表述不一致时，以最后发出的书面文件为准。</w:t>
      </w:r>
    </w:p>
    <w:p w14:paraId="3B0E5970">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4.招标文件的澄清、答复、修改或补充都应该通过本代理机构以法定形式发布，采购人非通过本机构，不得擅自澄清、答复、修改或补充招标文件。</w:t>
      </w:r>
    </w:p>
    <w:p w14:paraId="3DA77626">
      <w:pPr>
        <w:pStyle w:val="20"/>
        <w:snapToGrid w:val="0"/>
        <w:spacing w:before="0" w:beforeLines="0" w:after="0" w:afterLines="0" w:line="360" w:lineRule="auto"/>
        <w:jc w:val="left"/>
        <w:rPr>
          <w:rFonts w:hAnsi="宋体" w:cs="宋体"/>
          <w:b w:val="0"/>
          <w:color w:val="auto"/>
          <w:highlight w:val="none"/>
        </w:rPr>
      </w:pPr>
      <w:r>
        <w:rPr>
          <w:rFonts w:hAnsi="宋体" w:cs="宋体"/>
          <w:b w:val="0"/>
          <w:color w:val="auto"/>
          <w:highlight w:val="none"/>
        </w:rPr>
        <w:t>三、投标文件的编制</w:t>
      </w:r>
    </w:p>
    <w:p w14:paraId="4D388C18">
      <w:pPr>
        <w:snapToGrid w:val="0"/>
        <w:spacing w:line="360" w:lineRule="auto"/>
        <w:ind w:firstLine="470" w:firstLineChars="196"/>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（一）投标文件的组成</w:t>
      </w:r>
    </w:p>
    <w:p w14:paraId="4D8342DE">
      <w:pPr>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技术资信</w:t>
      </w:r>
      <w:r>
        <w:rPr>
          <w:rFonts w:hint="eastAsia" w:ascii="宋体" w:hAnsi="宋体" w:cs="宋体"/>
          <w:bCs/>
          <w:color w:val="auto"/>
          <w:kern w:val="0"/>
          <w:sz w:val="24"/>
          <w:highlight w:val="none"/>
        </w:rPr>
        <w:t>标</w:t>
      </w:r>
    </w:p>
    <w:p w14:paraId="2622621C">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（1）诚信投标承诺书（格式见附件）；</w:t>
      </w:r>
    </w:p>
    <w:p w14:paraId="22BCB7FC">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（2）营业执照副本</w:t>
      </w:r>
      <w:r>
        <w:rPr>
          <w:rFonts w:hint="eastAsia" w:ascii="宋体" w:hAnsi="宋体" w:cs="宋体"/>
          <w:bCs/>
          <w:color w:val="auto"/>
          <w:sz w:val="24"/>
          <w:highlight w:val="none"/>
          <w:lang w:val="en-US" w:eastAsia="zh-CN" w:bidi="ar"/>
        </w:rPr>
        <w:t>扫描件</w:t>
      </w:r>
      <w:r>
        <w:rPr>
          <w:rFonts w:hint="eastAsia" w:ascii="宋体" w:hAnsi="宋体" w:cs="宋体"/>
          <w:bCs/>
          <w:color w:val="auto"/>
          <w:sz w:val="24"/>
          <w:highlight w:val="none"/>
          <w:lang w:bidi="ar"/>
        </w:rPr>
        <w:t>；</w:t>
      </w:r>
    </w:p>
    <w:p w14:paraId="73FCFF0C">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（3）类似项目业绩一览表（格式见附件）；</w:t>
      </w:r>
    </w:p>
    <w:p w14:paraId="7AA541C6">
      <w:pPr>
        <w:snapToGrid w:val="0"/>
        <w:spacing w:line="360" w:lineRule="auto"/>
        <w:ind w:firstLine="470" w:firstLineChars="196"/>
        <w:jc w:val="left"/>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4</w:t>
      </w:r>
      <w:r>
        <w:rPr>
          <w:rFonts w:hint="eastAsia" w:ascii="宋体" w:hAnsi="宋体" w:cs="宋体"/>
          <w:bCs/>
          <w:color w:val="auto"/>
          <w:sz w:val="24"/>
          <w:highlight w:val="none"/>
          <w:lang w:eastAsia="zh-CN" w:bidi="ar"/>
        </w:rPr>
        <w:t>）代理商提供投标产品制造商（厂家）针对本项目的唯一代理授权书（如代理商投标，须提供）</w:t>
      </w:r>
      <w:r>
        <w:rPr>
          <w:rFonts w:hint="eastAsia" w:ascii="宋体" w:hAnsi="宋体" w:cs="宋体"/>
          <w:bCs/>
          <w:color w:val="auto"/>
          <w:sz w:val="24"/>
          <w:highlight w:val="none"/>
          <w:lang w:bidi="ar"/>
        </w:rPr>
        <w:t>；</w:t>
      </w:r>
    </w:p>
    <w:p w14:paraId="6B4B9DBD">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w:t>
      </w:r>
      <w:r>
        <w:rPr>
          <w:rFonts w:hint="eastAsia" w:ascii="宋体" w:hAnsi="宋体" w:cs="宋体"/>
          <w:bCs/>
          <w:color w:val="auto"/>
          <w:sz w:val="24"/>
          <w:highlight w:val="none"/>
          <w:lang w:val="en-US" w:eastAsia="zh-CN" w:bidi="ar"/>
        </w:rPr>
        <w:t>5</w:t>
      </w:r>
      <w:r>
        <w:rPr>
          <w:rFonts w:hint="eastAsia" w:ascii="宋体" w:hAnsi="宋体" w:cs="宋体"/>
          <w:bCs/>
          <w:color w:val="auto"/>
          <w:sz w:val="24"/>
          <w:highlight w:val="none"/>
          <w:lang w:bidi="ar"/>
        </w:rPr>
        <w:t>）质保期承诺表（格式见附件）；</w:t>
      </w:r>
    </w:p>
    <w:p w14:paraId="190F193E">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w:t>
      </w:r>
      <w:r>
        <w:rPr>
          <w:rFonts w:hint="eastAsia" w:ascii="宋体" w:hAnsi="宋体" w:cs="宋体"/>
          <w:bCs/>
          <w:color w:val="auto"/>
          <w:sz w:val="24"/>
          <w:highlight w:val="none"/>
          <w:lang w:val="en-US" w:eastAsia="zh-CN" w:bidi="ar"/>
        </w:rPr>
        <w:t>6</w:t>
      </w:r>
      <w:r>
        <w:rPr>
          <w:rFonts w:hint="eastAsia" w:ascii="宋体" w:hAnsi="宋体" w:cs="宋体"/>
          <w:bCs/>
          <w:color w:val="auto"/>
          <w:sz w:val="24"/>
          <w:highlight w:val="none"/>
          <w:lang w:bidi="ar"/>
        </w:rPr>
        <w:t>）技术需求响应表（格式见附件）；</w:t>
      </w:r>
    </w:p>
    <w:p w14:paraId="41C6ED32">
      <w:pPr>
        <w:snapToGrid w:val="0"/>
        <w:spacing w:line="360" w:lineRule="auto"/>
        <w:ind w:firstLine="470" w:firstLineChars="196"/>
        <w:jc w:val="left"/>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7</w:t>
      </w:r>
      <w:r>
        <w:rPr>
          <w:rFonts w:hint="eastAsia" w:ascii="宋体" w:hAnsi="宋体" w:cs="宋体"/>
          <w:bCs/>
          <w:color w:val="auto"/>
          <w:sz w:val="24"/>
          <w:highlight w:val="none"/>
          <w:lang w:eastAsia="zh-CN" w:bidi="ar"/>
        </w:rPr>
        <w:t>）法定代表人身份证明</w:t>
      </w:r>
      <w:r>
        <w:rPr>
          <w:rFonts w:hint="eastAsia" w:ascii="宋体" w:hAnsi="宋体" w:cs="宋体"/>
          <w:bCs/>
          <w:color w:val="auto"/>
          <w:sz w:val="24"/>
          <w:highlight w:val="none"/>
          <w:lang w:val="en-US" w:eastAsia="zh-CN" w:bidi="ar"/>
        </w:rPr>
        <w:t>或法定代表人授权书</w:t>
      </w:r>
      <w:r>
        <w:rPr>
          <w:rFonts w:hint="eastAsia" w:ascii="宋体" w:hAnsi="宋体" w:cs="宋体"/>
          <w:bCs/>
          <w:color w:val="auto"/>
          <w:sz w:val="24"/>
          <w:highlight w:val="none"/>
          <w:lang w:bidi="ar"/>
        </w:rPr>
        <w:t>（格式见附件）</w:t>
      </w:r>
    </w:p>
    <w:p w14:paraId="7B044187">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w:t>
      </w:r>
      <w:r>
        <w:rPr>
          <w:rFonts w:hint="eastAsia" w:ascii="宋体" w:hAnsi="宋体" w:cs="宋体"/>
          <w:bCs/>
          <w:color w:val="auto"/>
          <w:sz w:val="24"/>
          <w:highlight w:val="none"/>
          <w:lang w:val="en-US" w:eastAsia="zh-CN" w:bidi="ar"/>
        </w:rPr>
        <w:t>8</w:t>
      </w:r>
      <w:r>
        <w:rPr>
          <w:rFonts w:hint="eastAsia" w:ascii="宋体" w:hAnsi="宋体" w:cs="宋体"/>
          <w:bCs/>
          <w:color w:val="auto"/>
          <w:sz w:val="24"/>
          <w:highlight w:val="none"/>
          <w:lang w:bidi="ar"/>
        </w:rPr>
        <w:t>）对应评标办法应提供的材料和投标人认为应提供的其他证明文件的</w:t>
      </w:r>
      <w:r>
        <w:rPr>
          <w:rFonts w:hint="eastAsia" w:ascii="宋体" w:hAnsi="宋体" w:cs="宋体"/>
          <w:bCs/>
          <w:color w:val="auto"/>
          <w:sz w:val="24"/>
          <w:highlight w:val="none"/>
          <w:lang w:val="en-US" w:eastAsia="zh-CN" w:bidi="ar"/>
        </w:rPr>
        <w:t>扫描件</w:t>
      </w:r>
      <w:r>
        <w:rPr>
          <w:rFonts w:hint="eastAsia" w:ascii="宋体" w:hAnsi="宋体" w:cs="宋体"/>
          <w:bCs/>
          <w:color w:val="auto"/>
          <w:sz w:val="24"/>
          <w:highlight w:val="none"/>
          <w:lang w:bidi="ar"/>
        </w:rPr>
        <w:t>（如有）。</w:t>
      </w:r>
    </w:p>
    <w:p w14:paraId="2D4E66EA">
      <w:pPr>
        <w:snapToGrid w:val="0"/>
        <w:spacing w:line="360" w:lineRule="auto"/>
        <w:ind w:firstLine="470" w:firstLineChars="196"/>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kern w:val="0"/>
          <w:sz w:val="24"/>
          <w:highlight w:val="none"/>
        </w:rPr>
        <w:t>商务标</w:t>
      </w:r>
    </w:p>
    <w:p w14:paraId="41A1BED8">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（1）投标函（格式见附件）；</w:t>
      </w:r>
    </w:p>
    <w:p w14:paraId="3FED6C5B">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（2）投标报价明细表（格式见附件）。</w:t>
      </w:r>
    </w:p>
    <w:p w14:paraId="01F332EA">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注：以上内容均需在台州湾新区小额工程电子交易平台投标工具（在线网页版）中对应处自行上传后生成，添加的内容须为清晰的电子文档，同时加盖公司电子公章。</w:t>
      </w:r>
    </w:p>
    <w:p w14:paraId="149F503F">
      <w:pPr>
        <w:snapToGrid w:val="0"/>
        <w:spacing w:line="360" w:lineRule="auto"/>
        <w:ind w:firstLine="470" w:firstLineChars="196"/>
        <w:jc w:val="left"/>
        <w:rPr>
          <w:rFonts w:hint="eastAsia" w:ascii="宋体" w:hAnsi="宋体" w:eastAsia="宋体" w:cs="宋体"/>
          <w:bCs/>
          <w:color w:val="auto"/>
          <w:sz w:val="24"/>
          <w:highlight w:val="none"/>
          <w:lang w:eastAsia="zh-CN" w:bidi="ar"/>
        </w:rPr>
      </w:pPr>
      <w:r>
        <w:rPr>
          <w:rFonts w:hint="eastAsia" w:ascii="宋体" w:hAnsi="宋体" w:eastAsia="宋体" w:cs="宋体"/>
          <w:bCs/>
          <w:color w:val="auto"/>
          <w:sz w:val="24"/>
          <w:highlight w:val="none"/>
          <w:lang w:val="en-US" w:eastAsia="zh-CN" w:bidi="ar"/>
        </w:rPr>
        <w:t>3、</w:t>
      </w:r>
      <w:r>
        <w:rPr>
          <w:rFonts w:hint="eastAsia" w:ascii="宋体" w:hAnsi="宋体" w:eastAsia="宋体" w:cs="宋体"/>
          <w:bCs/>
          <w:color w:val="auto"/>
          <w:sz w:val="24"/>
          <w:highlight w:val="none"/>
          <w:lang w:bidi="ar"/>
        </w:rPr>
        <w:t>样品</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如有</w:t>
      </w:r>
      <w:r>
        <w:rPr>
          <w:rFonts w:hint="eastAsia" w:ascii="宋体" w:hAnsi="宋体" w:cs="宋体"/>
          <w:bCs/>
          <w:color w:val="auto"/>
          <w:sz w:val="24"/>
          <w:highlight w:val="none"/>
          <w:lang w:eastAsia="zh-CN" w:bidi="ar"/>
        </w:rPr>
        <w:t>）</w:t>
      </w:r>
    </w:p>
    <w:p w14:paraId="2D278A75">
      <w:pPr>
        <w:snapToGrid w:val="0"/>
        <w:spacing w:line="360" w:lineRule="auto"/>
        <w:ind w:left="0" w:leftChars="0" w:firstLine="480" w:firstLineChars="200"/>
        <w:jc w:val="left"/>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val="en-US" w:eastAsia="zh-CN" w:bidi="ar"/>
        </w:rPr>
        <w:t>1</w:t>
      </w: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val="en-US" w:eastAsia="zh-CN" w:bidi="ar"/>
        </w:rPr>
        <w:t>招标需求中技术需求里序号</w:t>
      </w:r>
      <w:r>
        <w:rPr>
          <w:rFonts w:hint="eastAsia" w:ascii="宋体" w:hAnsi="宋体" w:cs="宋体"/>
          <w:bCs/>
          <w:color w:val="auto"/>
          <w:sz w:val="24"/>
          <w:highlight w:val="none"/>
          <w:lang w:val="en-US" w:eastAsia="zh-CN" w:bidi="ar"/>
        </w:rPr>
        <w:t>3</w:t>
      </w:r>
      <w:r>
        <w:rPr>
          <w:rFonts w:hint="eastAsia" w:ascii="宋体" w:hAnsi="宋体" w:eastAsia="宋体" w:cs="宋体"/>
          <w:bCs/>
          <w:color w:val="auto"/>
          <w:sz w:val="24"/>
          <w:highlight w:val="none"/>
          <w:lang w:val="en-US" w:eastAsia="zh-CN" w:bidi="ar"/>
        </w:rPr>
        <w:t>的餐桌；</w:t>
      </w:r>
    </w:p>
    <w:p w14:paraId="1D63F907">
      <w:pPr>
        <w:snapToGrid w:val="0"/>
        <w:spacing w:line="360" w:lineRule="auto"/>
        <w:ind w:firstLine="480" w:firstLineChars="200"/>
        <w:jc w:val="left"/>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（2）招标需求中技术需求里序号</w:t>
      </w:r>
      <w:r>
        <w:rPr>
          <w:rFonts w:hint="eastAsia" w:ascii="宋体" w:hAnsi="宋体" w:cs="宋体"/>
          <w:bCs/>
          <w:color w:val="auto"/>
          <w:sz w:val="24"/>
          <w:highlight w:val="none"/>
          <w:lang w:val="en-US" w:eastAsia="zh-CN" w:bidi="ar"/>
        </w:rPr>
        <w:t>5</w:t>
      </w:r>
      <w:r>
        <w:rPr>
          <w:rFonts w:hint="eastAsia" w:ascii="宋体" w:hAnsi="宋体" w:eastAsia="宋体" w:cs="宋体"/>
          <w:bCs/>
          <w:color w:val="auto"/>
          <w:sz w:val="24"/>
          <w:highlight w:val="none"/>
          <w:lang w:val="en-US" w:eastAsia="zh-CN" w:bidi="ar"/>
        </w:rPr>
        <w:t>的餐椅</w:t>
      </w:r>
      <w:r>
        <w:rPr>
          <w:rFonts w:hint="eastAsia" w:ascii="宋体" w:hAnsi="宋体" w:cs="宋体"/>
          <w:bCs/>
          <w:color w:val="auto"/>
          <w:sz w:val="24"/>
          <w:highlight w:val="none"/>
          <w:lang w:val="en-US" w:eastAsia="zh-CN" w:bidi="ar"/>
        </w:rPr>
        <w:t>；</w:t>
      </w:r>
    </w:p>
    <w:p w14:paraId="642ED0E7">
      <w:pPr>
        <w:snapToGrid w:val="0"/>
        <w:spacing w:line="360" w:lineRule="auto"/>
        <w:ind w:firstLine="470" w:firstLineChars="196"/>
        <w:jc w:val="left"/>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（3）招标需求中技术需求里序号</w:t>
      </w:r>
      <w:r>
        <w:rPr>
          <w:rFonts w:hint="eastAsia" w:ascii="宋体" w:hAnsi="宋体" w:cs="宋体"/>
          <w:bCs/>
          <w:color w:val="auto"/>
          <w:sz w:val="24"/>
          <w:highlight w:val="none"/>
          <w:lang w:val="en-US" w:eastAsia="zh-CN" w:bidi="ar"/>
        </w:rPr>
        <w:t>11</w:t>
      </w:r>
      <w:r>
        <w:rPr>
          <w:rFonts w:hint="eastAsia" w:ascii="宋体" w:hAnsi="宋体" w:eastAsia="宋体" w:cs="宋体"/>
          <w:bCs/>
          <w:color w:val="auto"/>
          <w:sz w:val="24"/>
          <w:highlight w:val="none"/>
          <w:lang w:val="en-US" w:eastAsia="zh-CN" w:bidi="ar"/>
        </w:rPr>
        <w:t>的餐椅</w:t>
      </w:r>
      <w:r>
        <w:rPr>
          <w:rFonts w:hint="eastAsia" w:ascii="宋体" w:hAnsi="宋体" w:cs="宋体"/>
          <w:bCs/>
          <w:color w:val="auto"/>
          <w:sz w:val="24"/>
          <w:highlight w:val="none"/>
          <w:lang w:val="en-US" w:eastAsia="zh-CN" w:bidi="ar"/>
        </w:rPr>
        <w:t>。</w:t>
      </w:r>
    </w:p>
    <w:p w14:paraId="025661E2">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bCs w:val="0"/>
          <w:color w:val="auto"/>
          <w:sz w:val="24"/>
          <w:highlight w:val="none"/>
        </w:rPr>
        <w:t>注：所有样品均不得有公司名称、品牌名称、商标标识等任何体现投标供应商的信息，否则样品分作0分处理。</w:t>
      </w:r>
    </w:p>
    <w:p w14:paraId="4DAC51F7">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（三）投标文件的语言及计量</w:t>
      </w:r>
    </w:p>
    <w:p w14:paraId="562BA43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663A86F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0FC9D35C">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（四）投标报价</w:t>
      </w:r>
    </w:p>
    <w:p w14:paraId="03000CA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6B35693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报价是履行合同的最终价格，应包括包括运输、组装、管理费、利润、组织措施费、规费、增值税等一切费用。各投标人应根据招标人提供的技术资料、设备清单，以及本工程实际情况和自身的综合实力，竞报投标报价。总报价以人民币元计。汇率、知识产权、关税等由投标人在投标报价时综合考虑。投标人应根据上述因素自行综合考虑，采购人可根据实际情况调整工程量，中标人不得以此为要求调整全费用综合单价。结算时，中标人在全费用综合单价不变的前提下，根据实际工程量按实调整，全费用综合单价一次性包死，日后不作任何调整。</w:t>
      </w:r>
    </w:p>
    <w:p w14:paraId="38D773C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49F63B49">
      <w:pPr>
        <w:pStyle w:val="7"/>
        <w:widowControl w:val="0"/>
        <w:tabs>
          <w:tab w:val="clear" w:pos="454"/>
          <w:tab w:val="clear" w:pos="900"/>
        </w:tabs>
        <w:snapToGrid w:val="0"/>
        <w:spacing w:after="0" w:afterLines="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（五）投标文件的有效期</w:t>
      </w:r>
    </w:p>
    <w:p w14:paraId="3237239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▲1.自投标截止日起 90天投标文件应保持有效。中标人投标文件有效期延长至合同有效期。有效期不足的投标文件将被拒绝。</w:t>
      </w:r>
    </w:p>
    <w:p w14:paraId="4AF10E2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2.在特殊情况下，招标人可与投标人协商延长投标书的有效期，这种要求和答复均以书面形式进行。 </w:t>
      </w:r>
    </w:p>
    <w:p w14:paraId="2D40A68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.中标人的投标文件自开标之日起至合同履行完毕止均应保持有效。</w:t>
      </w:r>
    </w:p>
    <w:p w14:paraId="19AE8B51">
      <w:pPr>
        <w:snapToGrid w:val="0"/>
        <w:spacing w:line="360" w:lineRule="auto"/>
        <w:ind w:firstLine="472" w:firstLineChars="196"/>
        <w:jc w:val="left"/>
        <w:outlineLvl w:val="0"/>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）投标文件的签署和份数</w:t>
      </w:r>
    </w:p>
    <w:p w14:paraId="2CCE7E1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14:paraId="2220E7B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2.投标文件须由投标人在规定位置盖章并由法定代表人或法定代表人的授权委托人签署或盖章，投标人应写全称。</w:t>
      </w:r>
    </w:p>
    <w:p w14:paraId="0CB2AA2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3.投标文件不得涂改，若有修改错漏处，须加盖单位公章或者法定代表人或授权委托人签字或盖章。投标文件因字迹潦草或表达不清所引起的后果由投标人负责。</w:t>
      </w:r>
    </w:p>
    <w:p w14:paraId="0A5B3508">
      <w:pPr>
        <w:snapToGrid w:val="0"/>
        <w:spacing w:line="360" w:lineRule="auto"/>
        <w:ind w:firstLine="472" w:firstLineChars="196"/>
        <w:jc w:val="left"/>
        <w:outlineLvl w:val="0"/>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）投标文件的包装、递交、修改和撤回</w:t>
      </w:r>
    </w:p>
    <w:p w14:paraId="5C1423A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1.本工程采用电子投标，无需纸质投标文件；</w:t>
      </w:r>
    </w:p>
    <w:p w14:paraId="394C4054">
      <w:pPr>
        <w:pStyle w:val="8"/>
        <w:snapToGrid w:val="0"/>
        <w:spacing w:before="0" w:beforeLines="0" w:after="0" w:afterLines="0"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2.样品递交：</w:t>
      </w:r>
    </w:p>
    <w:p w14:paraId="730696A6">
      <w:pPr>
        <w:pStyle w:val="8"/>
        <w:snapToGrid w:val="0"/>
        <w:spacing w:before="0" w:beforeLines="0" w:after="0" w:afterLines="0" w:line="360" w:lineRule="auto"/>
        <w:ind w:left="0" w:leftChars="0" w:firstLine="720" w:firstLineChars="3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无需</w:t>
      </w:r>
      <w:r>
        <w:rPr>
          <w:rFonts w:hint="eastAsia" w:ascii="宋体" w:hAnsi="宋体" w:cs="宋体"/>
          <w:color w:val="auto"/>
          <w:sz w:val="24"/>
          <w:szCs w:val="24"/>
          <w:highlight w:val="none"/>
          <w:lang w:eastAsia="zh-CN"/>
        </w:rPr>
        <w:t>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20A27707">
      <w:pPr>
        <w:pStyle w:val="8"/>
        <w:snapToGrid w:val="0"/>
        <w:spacing w:before="0" w:beforeLines="0" w:after="0" w:afterLines="0" w:line="360" w:lineRule="auto"/>
        <w:ind w:left="0" w:leftChars="0" w:firstLine="720" w:firstLineChars="3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2520AB1E">
      <w:pPr>
        <w:snapToGrid w:val="0"/>
        <w:spacing w:line="360" w:lineRule="auto"/>
        <w:ind w:firstLine="720" w:firstLineChars="300"/>
        <w:jc w:val="left"/>
        <w:rPr>
          <w:rFonts w:hint="default" w:ascii="宋体" w:hAnsi="宋体" w:eastAsia="宋体" w:cs="宋体"/>
          <w:b/>
          <w:bCs/>
          <w:color w:val="auto"/>
          <w:sz w:val="24"/>
          <w:highlight w:val="none"/>
          <w:lang w:val="en-US"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6998A70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.投标人应在投标截止时间前上传投标文件。逾期上传的或者未上传指定系统的，视为投标文件未送达。</w:t>
      </w:r>
    </w:p>
    <w:p w14:paraId="657842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.在规定的投标截止时间前，投标人可以修改或撤回已递交的电子投标文件；修改好后重新上传加密电子投标文件。 </w:t>
      </w:r>
    </w:p>
    <w:p w14:paraId="02B0826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.在投标截止时间至投标有效期满之前，投标人不得撤回其投标文件，否则其投标担保将被没收。</w:t>
      </w:r>
    </w:p>
    <w:p w14:paraId="2C3BFD4A">
      <w:pPr>
        <w:snapToGrid w:val="0"/>
        <w:spacing w:line="360" w:lineRule="auto"/>
        <w:ind w:firstLine="241" w:firstLineChars="1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）投标无效的情形</w:t>
      </w:r>
    </w:p>
    <w:p w14:paraId="663EFA97">
      <w:pPr>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262EC16">
      <w:pPr>
        <w:snapToGrid w:val="0"/>
        <w:spacing w:line="360" w:lineRule="auto"/>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1.在符合性审查和商务</w:t>
      </w:r>
      <w:r>
        <w:rPr>
          <w:rFonts w:hint="eastAsia" w:ascii="宋体" w:hAnsi="宋体" w:cs="宋体"/>
          <w:b/>
          <w:bCs/>
          <w:color w:val="auto"/>
          <w:sz w:val="24"/>
          <w:highlight w:val="none"/>
          <w:lang w:val="en-US" w:eastAsia="zh-CN"/>
        </w:rPr>
        <w:t>标、</w:t>
      </w:r>
      <w:r>
        <w:rPr>
          <w:rFonts w:hint="eastAsia" w:ascii="宋体" w:hAnsi="宋体" w:cs="宋体"/>
          <w:b/>
          <w:bCs/>
          <w:color w:val="auto"/>
          <w:sz w:val="24"/>
          <w:highlight w:val="none"/>
        </w:rPr>
        <w:t>技术</w:t>
      </w:r>
      <w:r>
        <w:rPr>
          <w:rFonts w:hint="eastAsia" w:ascii="宋体" w:hAnsi="宋体" w:cs="宋体"/>
          <w:b/>
          <w:bCs/>
          <w:color w:val="auto"/>
          <w:sz w:val="24"/>
          <w:highlight w:val="none"/>
          <w:lang w:val="en-US" w:eastAsia="zh-CN"/>
        </w:rPr>
        <w:t>资信标</w:t>
      </w:r>
      <w:r>
        <w:rPr>
          <w:rFonts w:hint="eastAsia" w:ascii="宋体" w:hAnsi="宋体" w:cs="宋体"/>
          <w:b/>
          <w:bCs/>
          <w:color w:val="auto"/>
          <w:sz w:val="24"/>
          <w:highlight w:val="none"/>
        </w:rPr>
        <w:t>评审时，如发现下列情形之一的，投标文件将被视为无效：</w:t>
      </w:r>
    </w:p>
    <w:p w14:paraId="2519B7E3">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bidi="ar"/>
        </w:rPr>
        <w:t>资格证明文件不全的，或者不符合招标文件标明的资格要求的；</w:t>
      </w:r>
    </w:p>
    <w:p w14:paraId="0A526392">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lang w:bidi="ar"/>
        </w:rPr>
        <w:t>投标文件</w:t>
      </w:r>
      <w:r>
        <w:rPr>
          <w:rFonts w:hint="eastAsia" w:ascii="宋体" w:hAnsi="宋体" w:cs="宋体"/>
          <w:b/>
          <w:bCs/>
          <w:color w:val="auto"/>
          <w:sz w:val="24"/>
          <w:highlight w:val="none"/>
          <w:lang w:bidi="ar"/>
        </w:rPr>
        <w:t>在指定页面</w:t>
      </w:r>
      <w:r>
        <w:rPr>
          <w:rFonts w:hint="eastAsia" w:ascii="宋体" w:hAnsi="宋体" w:cs="宋体"/>
          <w:bCs/>
          <w:color w:val="auto"/>
          <w:sz w:val="24"/>
          <w:highlight w:val="none"/>
          <w:lang w:bidi="ar"/>
        </w:rPr>
        <w:t>无法定代表人或授权委托人盖章或签字、</w:t>
      </w:r>
      <w:r>
        <w:rPr>
          <w:rFonts w:hint="eastAsia" w:ascii="宋体" w:hAnsi="宋体" w:cs="宋体"/>
          <w:b/>
          <w:bCs/>
          <w:color w:val="auto"/>
          <w:sz w:val="24"/>
          <w:highlight w:val="none"/>
          <w:lang w:bidi="ar"/>
        </w:rPr>
        <w:t>未在指定页面盖公章、未提供法定代表人授权委托书、未提供投标函或者投标函格式不符合要求或填写项目不齐全的；</w:t>
      </w:r>
    </w:p>
    <w:p w14:paraId="3B2E5967">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 xml:space="preserve">（3）投标代表人未能出具身份证明或与法定代表人授权委托人身份不符的； </w:t>
      </w:r>
    </w:p>
    <w:p w14:paraId="7380ABC7">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（4）投标文件的实质性内容未使用中文表述、意思表述不明确、前后矛盾或者使用计量单位不符合招标文件要求的（经评标委员会认定并允许其当场更正的笔误除外）</w:t>
      </w:r>
    </w:p>
    <w:p w14:paraId="1E81B2D5">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）投标有效期、服务时间等条款不能满足招标文件要求的；</w:t>
      </w:r>
    </w:p>
    <w:p w14:paraId="58588F44">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）未实质性响应招标文件要求或者投标文件有采购人不能接受的附加条件的；</w:t>
      </w:r>
    </w:p>
    <w:p w14:paraId="618D967A">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）两家或两家以上投标单位上传投标文件的ip地址（或工程清单锁地址）相同，视为串标行为，取消评标资格。</w:t>
      </w:r>
    </w:p>
    <w:p w14:paraId="7BA945C7">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Calibri"/>
          <w:color w:val="auto"/>
          <w:sz w:val="24"/>
          <w:highlight w:val="none"/>
        </w:rPr>
        <w:t>对货物性能指标及技术参数负偏离的，</w:t>
      </w:r>
      <w:r>
        <w:rPr>
          <w:rFonts w:hint="eastAsia" w:ascii="宋体" w:hAnsi="宋体" w:cs="Calibri"/>
          <w:b w:val="0"/>
          <w:bCs w:val="0"/>
          <w:color w:val="auto"/>
          <w:sz w:val="24"/>
          <w:highlight w:val="none"/>
        </w:rPr>
        <w:t>负偏离达到5项（含）及以上的</w:t>
      </w:r>
      <w:r>
        <w:rPr>
          <w:rFonts w:hint="eastAsia" w:ascii="宋体" w:hAnsi="宋体" w:cs="宋体"/>
          <w:color w:val="auto"/>
          <w:sz w:val="24"/>
          <w:highlight w:val="none"/>
        </w:rPr>
        <w:t>。</w:t>
      </w:r>
    </w:p>
    <w:p w14:paraId="7E8E7A6E">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）法律法规或规章规定属无效标情形的。</w:t>
      </w:r>
    </w:p>
    <w:p w14:paraId="61D54633">
      <w:pPr>
        <w:pStyle w:val="2"/>
        <w:snapToGrid w:val="0"/>
        <w:spacing w:line="360" w:lineRule="auto"/>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2.在商务标评审时，如发现下列情形之一的，投标文件将被视为无效：</w:t>
      </w:r>
    </w:p>
    <w:p w14:paraId="169BE29B">
      <w:pPr>
        <w:pStyle w:val="2"/>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（1）未采用人民币报价或者未按照招标文件标明的币种报价的；</w:t>
      </w:r>
    </w:p>
    <w:p w14:paraId="0FCFE689">
      <w:pPr>
        <w:pStyle w:val="2"/>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（2）投标报价具有选择性，或者开标价格与投标文件承诺的优惠（折扣）价格不一致的；</w:t>
      </w:r>
    </w:p>
    <w:p w14:paraId="03B9BE77">
      <w:pPr>
        <w:pStyle w:val="2"/>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（3）投标报价高于最高投标限价的。</w:t>
      </w:r>
    </w:p>
    <w:p w14:paraId="4C997765">
      <w:pPr>
        <w:pStyle w:val="2"/>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3.被拒绝的投标文件为无效。</w:t>
      </w:r>
    </w:p>
    <w:p w14:paraId="67921E0B">
      <w:pPr>
        <w:pStyle w:val="20"/>
        <w:snapToGrid w:val="0"/>
        <w:spacing w:before="0" w:beforeLines="0" w:after="0" w:afterLines="0" w:line="360" w:lineRule="auto"/>
        <w:jc w:val="left"/>
        <w:rPr>
          <w:rFonts w:hAnsi="宋体" w:cs="宋体"/>
          <w:b w:val="0"/>
          <w:color w:val="auto"/>
          <w:highlight w:val="none"/>
        </w:rPr>
      </w:pPr>
      <w:r>
        <w:rPr>
          <w:rFonts w:hAnsi="宋体" w:cs="宋体"/>
          <w:b w:val="0"/>
          <w:color w:val="auto"/>
          <w:highlight w:val="none"/>
        </w:rPr>
        <w:t>四、开标</w:t>
      </w:r>
    </w:p>
    <w:p w14:paraId="4106E945">
      <w:pPr>
        <w:pStyle w:val="20"/>
        <w:snapToGrid w:val="0"/>
        <w:spacing w:before="0" w:beforeLines="0" w:after="0" w:afterLines="0" w:line="360" w:lineRule="auto"/>
        <w:ind w:firstLine="470" w:firstLineChars="196"/>
        <w:jc w:val="left"/>
        <w:rPr>
          <w:rFonts w:hAnsi="宋体" w:cs="宋体"/>
          <w:b w:val="0"/>
          <w:color w:val="auto"/>
          <w:highlight w:val="none"/>
        </w:rPr>
      </w:pPr>
      <w:r>
        <w:rPr>
          <w:rFonts w:hAnsi="宋体" w:cs="宋体"/>
          <w:b w:val="0"/>
          <w:color w:val="auto"/>
          <w:highlight w:val="none"/>
        </w:rPr>
        <w:t>（一）开标</w:t>
      </w:r>
    </w:p>
    <w:p w14:paraId="404DF588">
      <w:pPr>
        <w:pStyle w:val="33"/>
        <w:widowControl w:val="0"/>
        <w:snapToGrid w:val="0"/>
        <w:spacing w:before="0" w:beforeAutospacing="0" w:after="0" w:afterAutospacing="0" w:line="360" w:lineRule="auto"/>
        <w:ind w:firstLine="480" w:firstLineChars="200"/>
        <w:rPr>
          <w:rFonts w:cs="宋体"/>
          <w:bCs/>
          <w:color w:val="auto"/>
          <w:highlight w:val="none"/>
        </w:rPr>
      </w:pPr>
      <w:r>
        <w:rPr>
          <w:rFonts w:cs="宋体"/>
          <w:color w:val="auto"/>
          <w:highlight w:val="none"/>
        </w:rPr>
        <w:t>投标人代表一律不参加现场开标，通过在线直播参与监督开标过程。直播网络地址：</w:t>
      </w:r>
      <w:r>
        <w:rPr>
          <w:rFonts w:cs="宋体"/>
          <w:color w:val="auto"/>
          <w:highlight w:val="none"/>
        </w:rPr>
        <w:fldChar w:fldCharType="begin"/>
      </w:r>
      <w:r>
        <w:rPr>
          <w:rFonts w:cs="宋体"/>
          <w:color w:val="auto"/>
          <w:highlight w:val="none"/>
        </w:rPr>
        <w:instrText xml:space="preserve"> HYPERLINK "http://www.tzwztb.com/live/" </w:instrText>
      </w:r>
      <w:r>
        <w:rPr>
          <w:rFonts w:cs="宋体"/>
          <w:color w:val="auto"/>
          <w:highlight w:val="none"/>
        </w:rPr>
        <w:fldChar w:fldCharType="separate"/>
      </w:r>
      <w:r>
        <w:rPr>
          <w:rStyle w:val="43"/>
          <w:rFonts w:cs="宋体"/>
          <w:color w:val="auto"/>
          <w:highlight w:val="none"/>
        </w:rPr>
        <w:t>http://www.tzwztb.com/live/</w:t>
      </w:r>
      <w:r>
        <w:rPr>
          <w:rFonts w:cs="宋体"/>
          <w:color w:val="auto"/>
          <w:highlight w:val="none"/>
        </w:rPr>
        <w:fldChar w:fldCharType="end"/>
      </w:r>
      <w:r>
        <w:rPr>
          <w:rFonts w:cs="宋体"/>
          <w:color w:val="auto"/>
          <w:highlight w:val="none"/>
        </w:rPr>
        <w:t xml:space="preserve"> 。</w:t>
      </w:r>
    </w:p>
    <w:p w14:paraId="3387A5AD">
      <w:pPr>
        <w:pStyle w:val="20"/>
        <w:snapToGrid w:val="0"/>
        <w:spacing w:before="0" w:beforeLines="0" w:after="0" w:afterLines="0" w:line="360" w:lineRule="auto"/>
        <w:ind w:firstLine="480" w:firstLineChars="200"/>
        <w:jc w:val="left"/>
        <w:rPr>
          <w:rFonts w:hAnsi="宋体" w:cs="宋体"/>
          <w:b w:val="0"/>
          <w:color w:val="auto"/>
          <w:highlight w:val="none"/>
        </w:rPr>
      </w:pPr>
      <w:r>
        <w:rPr>
          <w:rFonts w:hAnsi="宋体" w:cs="宋体"/>
          <w:b w:val="0"/>
          <w:color w:val="auto"/>
          <w:highlight w:val="none"/>
        </w:rPr>
        <w:t>（二） 开标程序：</w:t>
      </w:r>
    </w:p>
    <w:p w14:paraId="043465B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1、开标由采购代理机构工作人员主持。</w:t>
      </w:r>
    </w:p>
    <w:p w14:paraId="4A06097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2、投标人可进行在线沟通。</w:t>
      </w:r>
    </w:p>
    <w:p w14:paraId="1D96016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3、采购人依法对</w:t>
      </w:r>
      <w:r>
        <w:rPr>
          <w:rFonts w:hint="eastAsia" w:ascii="宋体" w:hAnsi="宋体" w:cs="宋体"/>
          <w:color w:val="auto"/>
          <w:sz w:val="24"/>
          <w:highlight w:val="none"/>
          <w:lang w:val="en-US" w:eastAsia="zh-CN"/>
        </w:rPr>
        <w:t>技术资信标</w:t>
      </w:r>
      <w:r>
        <w:rPr>
          <w:rFonts w:hint="eastAsia" w:ascii="宋体" w:hAnsi="宋体" w:cs="宋体"/>
          <w:color w:val="auto"/>
          <w:sz w:val="24"/>
          <w:highlight w:val="none"/>
        </w:rPr>
        <w:t>进行审查，评标委员会对</w:t>
      </w:r>
      <w:r>
        <w:rPr>
          <w:rFonts w:hint="eastAsia" w:ascii="宋体" w:hAnsi="宋体" w:cs="宋体"/>
          <w:color w:val="auto"/>
          <w:sz w:val="24"/>
          <w:highlight w:val="none"/>
          <w:lang w:val="en-US" w:eastAsia="zh-CN"/>
        </w:rPr>
        <w:t>技术资信标</w:t>
      </w:r>
      <w:r>
        <w:rPr>
          <w:rFonts w:hint="eastAsia" w:ascii="宋体" w:hAnsi="宋体" w:cs="宋体"/>
          <w:color w:val="auto"/>
          <w:sz w:val="24"/>
          <w:highlight w:val="none"/>
        </w:rPr>
        <w:t>进行评审。</w:t>
      </w:r>
    </w:p>
    <w:p w14:paraId="2210075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技术资信标</w:t>
      </w:r>
      <w:r>
        <w:rPr>
          <w:rFonts w:hint="eastAsia" w:ascii="宋体" w:hAnsi="宋体" w:cs="宋体"/>
          <w:color w:val="auto"/>
          <w:sz w:val="24"/>
          <w:highlight w:val="none"/>
        </w:rPr>
        <w:t>评审完成后，</w:t>
      </w:r>
      <w:r>
        <w:rPr>
          <w:rFonts w:hint="eastAsia" w:ascii="宋体" w:hAnsi="宋体" w:cs="宋体"/>
          <w:color w:val="auto"/>
          <w:sz w:val="24"/>
          <w:highlight w:val="none"/>
          <w:lang w:val="en-US" w:eastAsia="zh-CN"/>
        </w:rPr>
        <w:t>进行样品评审，样品评审完成后，</w:t>
      </w:r>
      <w:r>
        <w:rPr>
          <w:rFonts w:hint="eastAsia" w:ascii="宋体" w:hAnsi="宋体" w:cs="宋体"/>
          <w:color w:val="auto"/>
          <w:sz w:val="24"/>
          <w:highlight w:val="none"/>
        </w:rPr>
        <w:t>主持人宣告</w:t>
      </w:r>
      <w:r>
        <w:rPr>
          <w:rFonts w:hint="eastAsia" w:ascii="宋体" w:hAnsi="宋体" w:cs="宋体"/>
          <w:color w:val="auto"/>
          <w:sz w:val="24"/>
          <w:highlight w:val="none"/>
          <w:lang w:eastAsia="zh-CN"/>
        </w:rPr>
        <w:t>技术</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lang w:eastAsia="zh-CN"/>
        </w:rPr>
        <w:t>标</w:t>
      </w:r>
      <w:r>
        <w:rPr>
          <w:rFonts w:hint="eastAsia" w:ascii="宋体" w:hAnsi="宋体" w:cs="宋体"/>
          <w:color w:val="auto"/>
          <w:sz w:val="24"/>
          <w:highlight w:val="none"/>
          <w:lang w:val="en-US" w:eastAsia="zh-CN"/>
        </w:rPr>
        <w:t>无效的</w:t>
      </w:r>
      <w:r>
        <w:rPr>
          <w:rFonts w:hint="eastAsia" w:ascii="宋体" w:hAnsi="宋体" w:cs="宋体"/>
          <w:color w:val="auto"/>
          <w:sz w:val="24"/>
          <w:highlight w:val="none"/>
        </w:rPr>
        <w:t>投标人名称及理由，公布经</w:t>
      </w:r>
      <w:r>
        <w:rPr>
          <w:rFonts w:hint="eastAsia" w:ascii="宋体" w:hAnsi="宋体" w:cs="宋体"/>
          <w:color w:val="auto"/>
          <w:sz w:val="24"/>
          <w:highlight w:val="none"/>
          <w:lang w:eastAsia="zh-CN"/>
        </w:rPr>
        <w:t>技术</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lang w:eastAsia="zh-CN"/>
        </w:rPr>
        <w:t>标</w:t>
      </w:r>
      <w:r>
        <w:rPr>
          <w:rFonts w:hint="eastAsia" w:ascii="宋体" w:hAnsi="宋体" w:cs="宋体"/>
          <w:color w:val="auto"/>
          <w:sz w:val="24"/>
          <w:highlight w:val="none"/>
        </w:rPr>
        <w:t>评审符合采购需求的投标人名单以及</w:t>
      </w:r>
      <w:r>
        <w:rPr>
          <w:rFonts w:hint="eastAsia" w:ascii="宋体" w:hAnsi="宋体" w:cs="宋体"/>
          <w:color w:val="auto"/>
          <w:sz w:val="24"/>
          <w:highlight w:val="none"/>
          <w:lang w:eastAsia="zh-CN"/>
        </w:rPr>
        <w:t>技术</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lang w:eastAsia="zh-CN"/>
        </w:rPr>
        <w:t>标、</w:t>
      </w:r>
      <w:r>
        <w:rPr>
          <w:rFonts w:hint="eastAsia" w:ascii="宋体" w:hAnsi="宋体" w:cs="宋体"/>
          <w:color w:val="auto"/>
          <w:sz w:val="24"/>
          <w:highlight w:val="none"/>
          <w:lang w:val="en-US" w:eastAsia="zh-CN"/>
        </w:rPr>
        <w:t>样品</w:t>
      </w:r>
      <w:r>
        <w:rPr>
          <w:rFonts w:hint="eastAsia" w:ascii="宋体" w:hAnsi="宋体" w:cs="宋体"/>
          <w:color w:val="auto"/>
          <w:sz w:val="24"/>
          <w:highlight w:val="none"/>
        </w:rPr>
        <w:t>得分情况。</w:t>
      </w:r>
    </w:p>
    <w:p w14:paraId="17E33B5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5、开启各投标人商务标。</w:t>
      </w:r>
    </w:p>
    <w:p w14:paraId="40FF11D7">
      <w:pPr>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6、当场制作并打印开标记录表，由唱标人、记录人、监督人当场签字确认。唱标结束后，由评标委员会对报价的合理性、准确性等进行审查核实。</w:t>
      </w:r>
    </w:p>
    <w:p w14:paraId="1041587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7、评标结束后，主持人公布投标报价得分、综合得分以及推荐中标候选人排序名单。</w:t>
      </w:r>
    </w:p>
    <w:p w14:paraId="04AE154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8、开标会议结束。</w:t>
      </w:r>
    </w:p>
    <w:p w14:paraId="38997C49">
      <w:pPr>
        <w:pStyle w:val="20"/>
        <w:spacing w:before="0" w:beforeLines="0" w:after="0" w:afterLines="0" w:line="360" w:lineRule="auto"/>
        <w:ind w:firstLine="540" w:firstLineChars="225"/>
        <w:jc w:val="left"/>
        <w:rPr>
          <w:rFonts w:hAnsi="宋体" w:cs="宋体"/>
          <w:b w:val="0"/>
          <w:bCs/>
          <w:color w:val="auto"/>
          <w:highlight w:val="none"/>
        </w:rPr>
      </w:pPr>
      <w:r>
        <w:rPr>
          <w:rFonts w:hAnsi="宋体" w:cs="宋体"/>
          <w:b w:val="0"/>
          <w:bCs/>
          <w:color w:val="auto"/>
          <w:highlight w:val="none"/>
        </w:rPr>
        <w:t>9、其他注意事项：</w:t>
      </w:r>
    </w:p>
    <w:p w14:paraId="231C4ADD">
      <w:pPr>
        <w:pStyle w:val="20"/>
        <w:spacing w:before="0" w:beforeLines="0" w:after="0" w:afterLines="0" w:line="360" w:lineRule="auto"/>
        <w:ind w:firstLine="540" w:firstLineChars="225"/>
        <w:jc w:val="left"/>
        <w:rPr>
          <w:rFonts w:hAnsi="宋体" w:cs="宋体"/>
          <w:b w:val="0"/>
          <w:bCs/>
          <w:color w:val="auto"/>
          <w:highlight w:val="none"/>
        </w:rPr>
      </w:pPr>
      <w:r>
        <w:rPr>
          <w:rFonts w:hAnsi="宋体" w:cs="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05844874">
      <w:pPr>
        <w:pStyle w:val="20"/>
        <w:spacing w:before="0" w:beforeLines="0" w:after="0" w:afterLines="0" w:line="360" w:lineRule="auto"/>
        <w:ind w:firstLine="540" w:firstLineChars="225"/>
        <w:jc w:val="left"/>
        <w:rPr>
          <w:rFonts w:hAnsi="宋体" w:cs="宋体"/>
          <w:b w:val="0"/>
          <w:bCs/>
          <w:color w:val="auto"/>
          <w:highlight w:val="none"/>
        </w:rPr>
      </w:pPr>
      <w:r>
        <w:rPr>
          <w:rFonts w:hAnsi="宋体" w:cs="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7E36065A">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1A232C7">
      <w:pPr>
        <w:autoSpaceDE w:val="0"/>
        <w:autoSpaceDN w:val="0"/>
        <w:adjustRightInd w:val="0"/>
        <w:spacing w:line="360" w:lineRule="auto"/>
        <w:ind w:right="-14"/>
        <w:jc w:val="left"/>
        <w:rPr>
          <w:rFonts w:hint="eastAsia" w:ascii="宋体" w:hAnsi="宋体" w:cs="宋体"/>
          <w:b/>
          <w:color w:val="auto"/>
          <w:sz w:val="24"/>
          <w:highlight w:val="none"/>
        </w:rPr>
      </w:pPr>
      <w:r>
        <w:rPr>
          <w:rFonts w:hint="eastAsia" w:ascii="宋体" w:hAnsi="宋体" w:cs="宋体"/>
          <w:b/>
          <w:color w:val="auto"/>
          <w:sz w:val="24"/>
          <w:highlight w:val="none"/>
        </w:rPr>
        <w:t>重要事项说明：</w:t>
      </w:r>
    </w:p>
    <w:p w14:paraId="3994688C">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（1）开标项目的时间均以国家授时中心发布的时间为准。</w:t>
      </w:r>
    </w:p>
    <w:p w14:paraId="6F620F3C">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（2）若投标人已申请多把CA锁，请注意使用差别。因ca锁使用错误引发的问题，由投标人自己负责。</w:t>
      </w:r>
    </w:p>
    <w:p w14:paraId="3317D5F1">
      <w:pPr>
        <w:pStyle w:val="2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（3）如有疑问，请咨询平台技术服务电话：</w:t>
      </w:r>
      <w:r>
        <w:rPr>
          <w:rFonts w:hAnsi="宋体" w:cs="宋体"/>
          <w:b w:val="0"/>
          <w:color w:val="auto"/>
          <w:highlight w:val="none"/>
        </w:rPr>
        <w:t>蔡先生，13454667697；王女士，13757680207</w:t>
      </w:r>
      <w:r>
        <w:rPr>
          <w:rFonts w:hAnsi="宋体" w:cs="宋体"/>
          <w:b w:val="0"/>
          <w:bCs/>
          <w:color w:val="auto"/>
          <w:highlight w:val="none"/>
        </w:rPr>
        <w:t>。QQ “台州湾新区小额工程交易平台交流”（群号：435057190），进行业务咨询。此群也作为不见面开标的备用远程交互群。</w:t>
      </w:r>
    </w:p>
    <w:p w14:paraId="7C183ACA">
      <w:pPr>
        <w:snapToGrid w:val="0"/>
        <w:spacing w:line="360" w:lineRule="auto"/>
        <w:ind w:firstLine="723" w:firstLineChars="3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（三） 异常情况处理：</w:t>
      </w:r>
    </w:p>
    <w:p w14:paraId="273D766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199F899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042C8CF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BC9CC7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E87154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26189E2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4940D50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w:t>
      </w:r>
    </w:p>
    <w:p w14:paraId="43F2130C">
      <w:pPr>
        <w:pStyle w:val="20"/>
        <w:snapToGrid w:val="0"/>
        <w:spacing w:before="0" w:beforeLines="0" w:after="0" w:afterLines="0" w:line="360" w:lineRule="auto"/>
        <w:jc w:val="left"/>
        <w:rPr>
          <w:rFonts w:hAnsi="宋体" w:cs="宋体"/>
          <w:b w:val="0"/>
          <w:color w:val="auto"/>
          <w:highlight w:val="none"/>
        </w:rPr>
      </w:pPr>
      <w:r>
        <w:rPr>
          <w:rFonts w:hAnsi="宋体" w:cs="宋体"/>
          <w:b w:val="0"/>
          <w:color w:val="auto"/>
          <w:highlight w:val="none"/>
        </w:rPr>
        <w:t>五、评标</w:t>
      </w:r>
    </w:p>
    <w:p w14:paraId="1A3F5CAF">
      <w:pPr>
        <w:pStyle w:val="20"/>
        <w:snapToGrid w:val="0"/>
        <w:spacing w:before="0" w:beforeLines="0" w:after="0" w:afterLines="0" w:line="360" w:lineRule="auto"/>
        <w:ind w:left="874" w:leftChars="128" w:hanging="516" w:hangingChars="215"/>
        <w:jc w:val="left"/>
        <w:rPr>
          <w:rFonts w:hAnsi="宋体" w:cs="宋体"/>
          <w:b w:val="0"/>
          <w:color w:val="auto"/>
          <w:highlight w:val="none"/>
        </w:rPr>
      </w:pPr>
      <w:r>
        <w:rPr>
          <w:rFonts w:hAnsi="宋体" w:cs="宋体"/>
          <w:b w:val="0"/>
          <w:color w:val="auto"/>
          <w:highlight w:val="none"/>
        </w:rPr>
        <w:t>（一）组建评标委员会</w:t>
      </w:r>
    </w:p>
    <w:p w14:paraId="727CDB45">
      <w:pPr>
        <w:pStyle w:val="33"/>
        <w:widowControl w:val="0"/>
        <w:snapToGrid w:val="0"/>
        <w:spacing w:before="0" w:beforeAutospacing="0" w:after="0" w:afterAutospacing="0" w:line="360" w:lineRule="auto"/>
        <w:ind w:firstLine="480" w:firstLineChars="200"/>
        <w:rPr>
          <w:rFonts w:cs="宋体"/>
          <w:color w:val="auto"/>
          <w:highlight w:val="none"/>
        </w:rPr>
      </w:pPr>
      <w:r>
        <w:rPr>
          <w:rFonts w:cs="宋体"/>
          <w:color w:val="auto"/>
          <w:highlight w:val="none"/>
        </w:rPr>
        <w:t>评标由招标人依法组建的评标委员会负责。</w:t>
      </w:r>
    </w:p>
    <w:p w14:paraId="42591FCE">
      <w:pPr>
        <w:pStyle w:val="20"/>
        <w:snapToGrid w:val="0"/>
        <w:spacing w:before="0" w:beforeLines="0" w:after="0" w:afterLines="0" w:line="360" w:lineRule="auto"/>
        <w:ind w:left="877" w:leftChars="129" w:hanging="516" w:hangingChars="215"/>
        <w:jc w:val="left"/>
        <w:rPr>
          <w:rFonts w:hAnsi="宋体" w:cs="宋体"/>
          <w:b w:val="0"/>
          <w:color w:val="auto"/>
          <w:highlight w:val="none"/>
        </w:rPr>
      </w:pPr>
      <w:r>
        <w:rPr>
          <w:rFonts w:hAnsi="宋体" w:cs="宋体"/>
          <w:b w:val="0"/>
          <w:color w:val="auto"/>
          <w:highlight w:val="none"/>
        </w:rPr>
        <w:t>（二）评标的方式</w:t>
      </w:r>
    </w:p>
    <w:p w14:paraId="0CAA6F42">
      <w:pPr>
        <w:pStyle w:val="20"/>
        <w:snapToGrid w:val="0"/>
        <w:spacing w:before="0" w:beforeLines="0" w:after="0" w:afterLines="0" w:line="360" w:lineRule="auto"/>
        <w:ind w:left="878" w:leftChars="228" w:hanging="240" w:hangingChars="100"/>
        <w:jc w:val="left"/>
        <w:rPr>
          <w:rFonts w:hAnsi="宋体" w:cs="宋体"/>
          <w:b w:val="0"/>
          <w:bCs/>
          <w:color w:val="auto"/>
          <w:highlight w:val="none"/>
        </w:rPr>
      </w:pPr>
      <w:r>
        <w:rPr>
          <w:rFonts w:hAnsi="宋体" w:cs="宋体"/>
          <w:b w:val="0"/>
          <w:bCs/>
          <w:color w:val="auto"/>
          <w:highlight w:val="none"/>
        </w:rPr>
        <w:t>本项目采用不公开方式评标，评标的依据为招标文件和投标文件。</w:t>
      </w:r>
    </w:p>
    <w:p w14:paraId="2E9B4566">
      <w:pPr>
        <w:pStyle w:val="20"/>
        <w:snapToGrid w:val="0"/>
        <w:spacing w:before="0" w:beforeLines="0" w:after="0" w:afterLines="0" w:line="360" w:lineRule="auto"/>
        <w:ind w:left="877" w:leftChars="129" w:hanging="516" w:hangingChars="215"/>
        <w:jc w:val="left"/>
        <w:rPr>
          <w:rFonts w:hAnsi="宋体" w:cs="宋体"/>
          <w:b w:val="0"/>
          <w:color w:val="auto"/>
          <w:highlight w:val="none"/>
        </w:rPr>
      </w:pPr>
      <w:r>
        <w:rPr>
          <w:rFonts w:hAnsi="宋体" w:cs="宋体"/>
          <w:b w:val="0"/>
          <w:color w:val="auto"/>
          <w:highlight w:val="none"/>
        </w:rPr>
        <w:t>（三）</w:t>
      </w:r>
      <w:r>
        <w:rPr>
          <w:rFonts w:hAnsi="宋体" w:cs="宋体"/>
          <w:b w:val="0"/>
          <w:bCs/>
          <w:color w:val="auto"/>
          <w:highlight w:val="none"/>
        </w:rPr>
        <w:t>评标程序</w:t>
      </w:r>
    </w:p>
    <w:p w14:paraId="72F3E59C">
      <w:pPr>
        <w:snapToGrid w:val="0"/>
        <w:spacing w:line="360" w:lineRule="auto"/>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1.形式审查</w:t>
      </w:r>
    </w:p>
    <w:p w14:paraId="6F614B8D">
      <w:pPr>
        <w:snapToGrid w:val="0"/>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18CC96E1">
      <w:pPr>
        <w:snapToGrid w:val="0"/>
        <w:spacing w:line="360" w:lineRule="auto"/>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2.实质审查与比较</w:t>
      </w:r>
    </w:p>
    <w:p w14:paraId="56D384F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16F7BDE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5780294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（3）代理机构工作人员协助评标委员会根据本项目的评分标准计算各投标人的商务报价得分。</w:t>
      </w:r>
    </w:p>
    <w:p w14:paraId="4678E6D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（4）评标委员会完成评标后,评委对各部分得分汇总,计算出本项目最终得分。评标委员会按评标原则推荐中标候选人同时起草评标报告。</w:t>
      </w:r>
    </w:p>
    <w:p w14:paraId="7F25BE08">
      <w:pPr>
        <w:snapToGrid w:val="0"/>
        <w:spacing w:line="360" w:lineRule="auto"/>
        <w:ind w:firstLine="359" w:firstLineChars="149"/>
        <w:jc w:val="left"/>
        <w:rPr>
          <w:rFonts w:hint="eastAsia" w:ascii="宋体" w:hAnsi="宋体" w:cs="宋体"/>
          <w:b/>
          <w:color w:val="auto"/>
          <w:sz w:val="24"/>
          <w:highlight w:val="none"/>
        </w:rPr>
      </w:pPr>
      <w:r>
        <w:rPr>
          <w:rFonts w:hint="eastAsia" w:ascii="宋体" w:hAnsi="宋体" w:cs="宋体"/>
          <w:b/>
          <w:color w:val="auto"/>
          <w:sz w:val="24"/>
          <w:highlight w:val="none"/>
        </w:rPr>
        <w:t>（四）澄清问题的形式</w:t>
      </w:r>
    </w:p>
    <w:p w14:paraId="569F7CF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C766F5B">
      <w:pPr>
        <w:pStyle w:val="33"/>
        <w:spacing w:before="0" w:beforeAutospacing="0" w:after="0" w:afterAutospacing="0" w:line="360" w:lineRule="auto"/>
        <w:rPr>
          <w:rFonts w:hint="eastAsia" w:cs="宋体"/>
          <w:color w:val="auto"/>
          <w:highlight w:val="none"/>
        </w:rPr>
      </w:pPr>
      <w:r>
        <w:rPr>
          <w:rFonts w:hint="eastAsia" w:cs="宋体"/>
          <w:color w:val="auto"/>
          <w:highlight w:val="none"/>
        </w:rPr>
        <w:t>（五）错误修正</w:t>
      </w:r>
    </w:p>
    <w:p w14:paraId="4137B049">
      <w:pPr>
        <w:pStyle w:val="33"/>
        <w:spacing w:before="0" w:beforeAutospacing="0" w:after="0" w:afterAutospacing="0" w:line="360" w:lineRule="auto"/>
        <w:rPr>
          <w:rFonts w:hint="eastAsia" w:cs="宋体"/>
          <w:color w:val="auto"/>
          <w:highlight w:val="none"/>
        </w:rPr>
      </w:pPr>
      <w:r>
        <w:rPr>
          <w:rFonts w:hint="eastAsia" w:cs="宋体"/>
          <w:color w:val="auto"/>
          <w:highlight w:val="none"/>
        </w:rPr>
        <w:t>投标文件报价出现前后不一致的，除招标文件另有规定外，按照下列规定修正：</w:t>
      </w:r>
    </w:p>
    <w:p w14:paraId="5DD5617D">
      <w:pPr>
        <w:pStyle w:val="33"/>
        <w:spacing w:before="0" w:beforeAutospacing="0" w:after="0" w:afterAutospacing="0" w:line="360" w:lineRule="auto"/>
        <w:rPr>
          <w:rFonts w:hint="eastAsia" w:cs="宋体"/>
          <w:color w:val="auto"/>
          <w:highlight w:val="none"/>
        </w:rPr>
      </w:pPr>
      <w:r>
        <w:rPr>
          <w:rFonts w:hint="eastAsia" w:cs="宋体"/>
          <w:color w:val="auto"/>
          <w:highlight w:val="none"/>
        </w:rPr>
        <w:t>　　1、台州湾新区小额工程电子交易平台”上开启的投标报价与电子投标文件中投标函内容不一致的，以电子投标文件中投标函为准；</w:t>
      </w:r>
    </w:p>
    <w:p w14:paraId="6720D250">
      <w:pPr>
        <w:pStyle w:val="33"/>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2、投标文件中投标函内容与投标文件中相应内容不一致的，以投标函为准；</w:t>
      </w:r>
    </w:p>
    <w:p w14:paraId="0C76E53C">
      <w:pPr>
        <w:pStyle w:val="33"/>
        <w:spacing w:before="0" w:beforeAutospacing="0" w:after="0" w:afterAutospacing="0" w:line="360" w:lineRule="auto"/>
        <w:rPr>
          <w:rFonts w:hint="eastAsia" w:cs="宋体"/>
          <w:color w:val="auto"/>
          <w:highlight w:val="none"/>
        </w:rPr>
      </w:pPr>
      <w:r>
        <w:rPr>
          <w:rFonts w:hint="eastAsia" w:cs="宋体"/>
          <w:color w:val="auto"/>
          <w:highlight w:val="none"/>
        </w:rPr>
        <w:t>　　3、大写金额和小写金额不一致的，以大写金额为准；</w:t>
      </w:r>
    </w:p>
    <w:p w14:paraId="4D14DAF1">
      <w:pPr>
        <w:pStyle w:val="33"/>
        <w:spacing w:before="0" w:beforeAutospacing="0" w:after="0" w:afterAutospacing="0" w:line="360" w:lineRule="auto"/>
        <w:rPr>
          <w:rFonts w:hint="eastAsia" w:cs="宋体"/>
          <w:color w:val="auto"/>
          <w:highlight w:val="none"/>
        </w:rPr>
      </w:pPr>
      <w:r>
        <w:rPr>
          <w:rFonts w:hint="eastAsia" w:cs="宋体"/>
          <w:color w:val="auto"/>
          <w:highlight w:val="none"/>
        </w:rPr>
        <w:t>　　4、单价金额小数点或者百分比有明显错位的，以</w:t>
      </w:r>
      <w:r>
        <w:rPr>
          <w:rFonts w:hint="eastAsia" w:cs="宋体"/>
          <w:color w:val="auto"/>
          <w:highlight w:val="none"/>
          <w:lang w:val="en-US" w:eastAsia="zh-CN"/>
        </w:rPr>
        <w:t>投标函</w:t>
      </w:r>
      <w:r>
        <w:rPr>
          <w:rFonts w:hint="eastAsia" w:cs="宋体"/>
          <w:color w:val="auto"/>
          <w:highlight w:val="none"/>
        </w:rPr>
        <w:t>的总价为准，并修改单价；</w:t>
      </w:r>
    </w:p>
    <w:p w14:paraId="75FA2005">
      <w:pPr>
        <w:pStyle w:val="33"/>
        <w:spacing w:before="0" w:beforeAutospacing="0" w:after="0" w:afterAutospacing="0" w:line="360" w:lineRule="auto"/>
        <w:rPr>
          <w:rFonts w:hint="eastAsia" w:cs="宋体"/>
          <w:color w:val="auto"/>
          <w:highlight w:val="none"/>
        </w:rPr>
      </w:pPr>
      <w:r>
        <w:rPr>
          <w:rFonts w:hint="eastAsia" w:cs="宋体"/>
          <w:color w:val="auto"/>
          <w:highlight w:val="none"/>
        </w:rPr>
        <w:t>　　5、总价金额与按单价汇总金额不一致的，以单价金额计算结果为准。</w:t>
      </w:r>
    </w:p>
    <w:p w14:paraId="65B9B2EE">
      <w:pPr>
        <w:pStyle w:val="33"/>
        <w:spacing w:before="0" w:beforeAutospacing="0" w:after="0" w:afterAutospacing="0" w:line="360" w:lineRule="auto"/>
        <w:rPr>
          <w:rFonts w:cs="宋体"/>
          <w:color w:val="auto"/>
          <w:highlight w:val="none"/>
        </w:rPr>
      </w:pPr>
      <w:r>
        <w:rPr>
          <w:rFonts w:hint="eastAsia" w:cs="宋体"/>
          <w:color w:val="auto"/>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r>
        <w:rPr>
          <w:rFonts w:cs="宋体"/>
          <w:color w:val="auto"/>
          <w:highlight w:val="none"/>
        </w:rPr>
        <w:t>。</w:t>
      </w:r>
    </w:p>
    <w:p w14:paraId="28D14A3E">
      <w:pPr>
        <w:autoSpaceDE w:val="0"/>
        <w:autoSpaceDN w:val="0"/>
        <w:adjustRightInd w:val="0"/>
        <w:spacing w:line="360" w:lineRule="auto"/>
        <w:ind w:firstLine="359" w:firstLineChars="149"/>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（六）有下列情况之一的，本次招标作为废标处理，除采购任务取消外，由采购人重新组织招标：</w:t>
      </w:r>
    </w:p>
    <w:p w14:paraId="47EB678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1、符合专业条件的供应商或者对招标文件作实质响应的供应商不足三家，评标委员会认定投标明显缺乏竞争的；</w:t>
      </w:r>
    </w:p>
    <w:p w14:paraId="38A4592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017365D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14:paraId="43B7916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4、因重大变故，采购任务取消的。</w:t>
      </w:r>
    </w:p>
    <w:p w14:paraId="5EB82315">
      <w:pPr>
        <w:pStyle w:val="20"/>
        <w:tabs>
          <w:tab w:val="left" w:pos="630"/>
        </w:tabs>
        <w:snapToGrid w:val="0"/>
        <w:spacing w:before="0" w:beforeLines="0" w:after="0" w:afterLines="0" w:line="360" w:lineRule="auto"/>
        <w:ind w:firstLine="357" w:firstLineChars="149"/>
        <w:jc w:val="left"/>
        <w:rPr>
          <w:rFonts w:hAnsi="宋体" w:cs="宋体"/>
          <w:b w:val="0"/>
          <w:color w:val="auto"/>
          <w:highlight w:val="none"/>
        </w:rPr>
      </w:pPr>
      <w:r>
        <w:rPr>
          <w:rFonts w:hAnsi="宋体" w:cs="宋体"/>
          <w:b w:val="0"/>
          <w:color w:val="auto"/>
          <w:highlight w:val="none"/>
        </w:rPr>
        <w:t>（七）评标原则和评标办法</w:t>
      </w:r>
    </w:p>
    <w:p w14:paraId="21185FF2">
      <w:pPr>
        <w:pStyle w:val="20"/>
        <w:snapToGrid w:val="0"/>
        <w:spacing w:before="0" w:beforeLines="0" w:after="0" w:afterLines="0" w:line="360" w:lineRule="auto"/>
        <w:ind w:firstLine="482" w:firstLineChars="200"/>
        <w:jc w:val="left"/>
        <w:rPr>
          <w:rFonts w:hAnsi="宋体" w:cs="宋体"/>
          <w:color w:val="auto"/>
          <w:highlight w:val="none"/>
        </w:rPr>
      </w:pPr>
      <w:r>
        <w:rPr>
          <w:rFonts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2C086B5">
      <w:pPr>
        <w:pStyle w:val="20"/>
        <w:snapToGrid w:val="0"/>
        <w:spacing w:before="0" w:beforeLines="0" w:after="0" w:afterLines="0" w:line="360" w:lineRule="auto"/>
        <w:ind w:firstLine="482" w:firstLineChars="200"/>
        <w:jc w:val="left"/>
        <w:rPr>
          <w:rFonts w:hAnsi="宋体" w:cs="宋体"/>
          <w:color w:val="auto"/>
          <w:highlight w:val="none"/>
        </w:rPr>
      </w:pPr>
      <w:r>
        <w:rPr>
          <w:rFonts w:hAnsi="宋体" w:cs="宋体"/>
          <w:color w:val="auto"/>
          <w:highlight w:val="none"/>
        </w:rPr>
        <w:t>2、评标办法。具体评标内容及评分标准等详见《第四章：评标办法及评分标准》。</w:t>
      </w:r>
    </w:p>
    <w:p w14:paraId="2A3B977A">
      <w:pPr>
        <w:pStyle w:val="20"/>
        <w:snapToGrid w:val="0"/>
        <w:spacing w:before="0" w:beforeLines="0" w:after="0" w:afterLines="0" w:line="360" w:lineRule="auto"/>
        <w:ind w:firstLine="357" w:firstLineChars="149"/>
        <w:jc w:val="left"/>
        <w:rPr>
          <w:rFonts w:hAnsi="宋体" w:cs="宋体"/>
          <w:b w:val="0"/>
          <w:color w:val="auto"/>
          <w:highlight w:val="none"/>
        </w:rPr>
      </w:pPr>
      <w:r>
        <w:rPr>
          <w:rFonts w:hAnsi="宋体" w:cs="宋体"/>
          <w:b w:val="0"/>
          <w:color w:val="auto"/>
          <w:highlight w:val="none"/>
        </w:rPr>
        <w:t>（八）评标过程的监控</w:t>
      </w:r>
    </w:p>
    <w:p w14:paraId="4B632417">
      <w:pPr>
        <w:pStyle w:val="33"/>
        <w:spacing w:before="0" w:beforeAutospacing="0" w:after="0" w:afterAutospacing="0" w:line="360" w:lineRule="auto"/>
        <w:ind w:firstLine="480" w:firstLineChars="200"/>
        <w:rPr>
          <w:rFonts w:cs="宋体"/>
          <w:color w:val="auto"/>
          <w:highlight w:val="none"/>
        </w:rPr>
      </w:pPr>
      <w:r>
        <w:rPr>
          <w:rFonts w:cs="宋体"/>
          <w:color w:val="auto"/>
          <w:highlight w:val="none"/>
        </w:rPr>
        <w:t>本项目评标过程实行全程录音、录像监控，投标人在评标过程中所进行的试图影响评标结果的不公正活动，可能导致其投标被拒绝。</w:t>
      </w:r>
    </w:p>
    <w:p w14:paraId="708A6BCA">
      <w:pPr>
        <w:snapToGrid w:val="0"/>
        <w:spacing w:line="360" w:lineRule="auto"/>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六、</w:t>
      </w:r>
      <w:bookmarkStart w:id="8" w:name="_Toc169487814"/>
      <w:bookmarkStart w:id="9" w:name="_Toc155342567"/>
      <w:r>
        <w:rPr>
          <w:rFonts w:hint="default" w:ascii="宋体" w:hAnsi="宋体" w:eastAsia="宋体" w:cs="宋体"/>
          <w:color w:val="auto"/>
          <w:sz w:val="24"/>
          <w:highlight w:val="none"/>
          <w:lang w:val="en-US" w:eastAsia="zh-CN"/>
        </w:rPr>
        <w:t>中标候选人公示</w:t>
      </w:r>
      <w:bookmarkEnd w:id="8"/>
      <w:bookmarkEnd w:id="9"/>
    </w:p>
    <w:p w14:paraId="26CD40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1、</w:t>
      </w:r>
      <w:r>
        <w:rPr>
          <w:rFonts w:hint="eastAsia" w:ascii="宋体" w:hAnsi="宋体" w:eastAsia="宋体" w:cs="宋体"/>
          <w:color w:val="auto"/>
          <w:kern w:val="0"/>
          <w:sz w:val="24"/>
          <w:highlight w:val="none"/>
        </w:rPr>
        <w:t xml:space="preserve"> 招标人应当将评标委员会推荐的中标候选人在交易</w:t>
      </w:r>
      <w:r>
        <w:rPr>
          <w:rFonts w:hint="eastAsia" w:ascii="宋体" w:hAnsi="宋体" w:eastAsia="宋体" w:cs="宋体"/>
          <w:color w:val="auto"/>
          <w:kern w:val="0"/>
          <w:sz w:val="24"/>
          <w:highlight w:val="none"/>
          <w:lang w:val="en-US" w:eastAsia="zh-CN"/>
        </w:rPr>
        <w:t>平台</w:t>
      </w:r>
      <w:r>
        <w:rPr>
          <w:rFonts w:hint="eastAsia" w:ascii="宋体" w:hAnsi="宋体" w:eastAsia="宋体" w:cs="宋体"/>
          <w:color w:val="auto"/>
          <w:kern w:val="0"/>
          <w:sz w:val="24"/>
          <w:highlight w:val="none"/>
        </w:rPr>
        <w:t>（发布招标公告的媒体上）进行公示，公示期不得少于3日（最后一日为工作日）。</w:t>
      </w:r>
    </w:p>
    <w:p w14:paraId="3FA5936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2、</w:t>
      </w:r>
      <w:r>
        <w:rPr>
          <w:rFonts w:hint="eastAsia" w:ascii="宋体" w:hAnsi="宋体" w:eastAsia="宋体" w:cs="宋体"/>
          <w:color w:val="auto"/>
          <w:kern w:val="0"/>
          <w:sz w:val="24"/>
          <w:highlight w:val="none"/>
        </w:rPr>
        <w:t>属于《中华人民共和国招标投标法实施条例》第二十二条、第四十四条、第五十四条规定事项投诉的 ，应当向招标人（招标代理机构）提出（附相关有效证明材料），招标人（招标代理机构）应给予答复。投标人对答复不服或认为招标人（招标代理机构）有违反有关规定及其他弄虚作假情形的，可在接到答复之日起 3 日内向招标监管机构申请核查，并提交相关材料。</w:t>
      </w:r>
    </w:p>
    <w:p w14:paraId="09A9F097">
      <w:pPr>
        <w:pStyle w:val="33"/>
        <w:spacing w:before="0" w:beforeAutospacing="0" w:after="0" w:afterAutospacing="0" w:line="360" w:lineRule="auto"/>
        <w:ind w:firstLine="480" w:firstLineChars="200"/>
        <w:rPr>
          <w:rFonts w:hint="eastAsia" w:ascii="宋体" w:hAnsi="宋体" w:eastAsia="宋体" w:cs="宋体"/>
          <w:color w:val="auto"/>
          <w:highlight w:val="none"/>
        </w:rPr>
      </w:pPr>
      <w:bookmarkStart w:id="10" w:name="_Toc283886232"/>
      <w:bookmarkStart w:id="11" w:name="_Toc282596287"/>
      <w:bookmarkStart w:id="12" w:name="_Toc372899849"/>
      <w:bookmarkStart w:id="13" w:name="_Toc237769281"/>
      <w:bookmarkStart w:id="14" w:name="_Toc321925409"/>
      <w:bookmarkStart w:id="15" w:name="_Toc4450"/>
      <w:bookmarkStart w:id="16" w:name="_Toc237768817"/>
      <w:bookmarkStart w:id="17" w:name="_Toc372899726"/>
      <w:bookmarkStart w:id="18" w:name="_Toc288556274"/>
      <w:bookmarkStart w:id="19" w:name="_Toc394573920"/>
      <w:bookmarkStart w:id="20" w:name="_Toc283976523"/>
      <w:r>
        <w:rPr>
          <w:rFonts w:hint="eastAsia" w:ascii="宋体" w:hAnsi="宋体" w:eastAsia="宋体" w:cs="宋体"/>
          <w:color w:val="auto"/>
          <w:highlight w:val="none"/>
          <w:lang w:eastAsia="zh-CN"/>
        </w:rPr>
        <w:t>3、</w:t>
      </w:r>
      <w:r>
        <w:rPr>
          <w:rFonts w:hint="eastAsia" w:ascii="宋体" w:hAnsi="宋体" w:eastAsia="宋体" w:cs="宋体"/>
          <w:color w:val="auto"/>
          <w:highlight w:val="none"/>
        </w:rPr>
        <w:t>中标候选人有以下情形之一的，其资格无效：</w:t>
      </w:r>
    </w:p>
    <w:p w14:paraId="477B702C">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（1）投标资格不符合</w:t>
      </w:r>
      <w:r>
        <w:rPr>
          <w:rFonts w:hint="eastAsia" w:ascii="宋体" w:hAnsi="宋体" w:eastAsia="宋体" w:cs="宋体"/>
          <w:color w:val="auto"/>
          <w:highlight w:val="none"/>
          <w:lang w:val="en-US" w:eastAsia="zh-CN"/>
        </w:rPr>
        <w:t>第一章第</w:t>
      </w:r>
      <w:r>
        <w:rPr>
          <w:rFonts w:hint="eastAsia" w:ascii="宋体" w:hAnsi="宋体" w:eastAsia="宋体" w:cs="宋体"/>
          <w:color w:val="auto"/>
          <w:highlight w:val="none"/>
        </w:rPr>
        <w:t>五</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投标人的资格要求规定的；</w:t>
      </w:r>
    </w:p>
    <w:p w14:paraId="03A304C7">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（2）投标人提供虚假材料骗取投标资格的；</w:t>
      </w:r>
    </w:p>
    <w:p w14:paraId="631A1601">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（3）按第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章“评标办法及评分标准”规定应作无效标处理的；</w:t>
      </w:r>
    </w:p>
    <w:p w14:paraId="3D5093F5">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法律法规规定作无效标处理的其它情形。</w:t>
      </w:r>
    </w:p>
    <w:p w14:paraId="15DCA950">
      <w:pPr>
        <w:snapToGrid w:val="0"/>
        <w:spacing w:line="360" w:lineRule="auto"/>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七、中标通知书</w:t>
      </w:r>
      <w:bookmarkEnd w:id="10"/>
      <w:bookmarkEnd w:id="11"/>
      <w:bookmarkEnd w:id="12"/>
      <w:bookmarkEnd w:id="13"/>
      <w:bookmarkEnd w:id="14"/>
      <w:bookmarkEnd w:id="15"/>
      <w:bookmarkEnd w:id="16"/>
      <w:bookmarkEnd w:id="17"/>
      <w:bookmarkEnd w:id="18"/>
      <w:bookmarkEnd w:id="19"/>
      <w:bookmarkEnd w:id="20"/>
    </w:p>
    <w:p w14:paraId="145676ED">
      <w:pPr>
        <w:pStyle w:val="13"/>
        <w:tabs>
          <w:tab w:val="left" w:pos="574"/>
        </w:tabs>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rPr>
        <w:t>招标人应当确定第一中标候选人为中标人。如涉及第二中标候选人和其他投标人资格无效的，评标结果不作调整。</w:t>
      </w:r>
    </w:p>
    <w:p w14:paraId="2F118C5A">
      <w:pPr>
        <w:pStyle w:val="13"/>
        <w:tabs>
          <w:tab w:val="left" w:pos="574"/>
        </w:tabs>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第一中标候选人放弃中标，或者因不可抗力提出不能履行合同，或者因违反本章第</w:t>
      </w:r>
      <w:r>
        <w:rPr>
          <w:rFonts w:hint="eastAsia" w:ascii="宋体" w:hAnsi="宋体" w:eastAsia="宋体" w:cs="宋体"/>
          <w:color w:val="auto"/>
          <w:kern w:val="0"/>
          <w:sz w:val="24"/>
          <w:szCs w:val="24"/>
          <w:highlight w:val="none"/>
          <w:lang w:val="en-US" w:eastAsia="zh-CN"/>
        </w:rPr>
        <w:t>六条第3项</w:t>
      </w:r>
      <w:r>
        <w:rPr>
          <w:rFonts w:hint="eastAsia" w:ascii="宋体" w:hAnsi="宋体" w:eastAsia="宋体" w:cs="宋体"/>
          <w:color w:val="auto"/>
          <w:kern w:val="0"/>
          <w:sz w:val="24"/>
          <w:szCs w:val="24"/>
          <w:highlight w:val="none"/>
        </w:rPr>
        <w:t>规定造成其资格无效的，招标人应当确定第二中标候选人为中标人。如涉及其他投标人资格无效的，评标结果不作调整。如第二中标候选人存在上述同样情形的，本次招标失败，重新组织招标。</w:t>
      </w:r>
    </w:p>
    <w:p w14:paraId="7ED9F7C5">
      <w:pPr>
        <w:pStyle w:val="13"/>
        <w:tabs>
          <w:tab w:val="left" w:pos="574"/>
        </w:tabs>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中标人确定后，招标人应当向中标人发出《中标通知书》。</w:t>
      </w:r>
    </w:p>
    <w:p w14:paraId="527D4F5E">
      <w:pPr>
        <w:spacing w:line="360" w:lineRule="auto"/>
        <w:ind w:firstLine="480" w:firstLineChars="200"/>
        <w:jc w:val="left"/>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eastAsia="zh-CN"/>
        </w:rPr>
        <w:t>4、</w:t>
      </w:r>
      <w:r>
        <w:rPr>
          <w:rFonts w:hint="eastAsia" w:ascii="宋体" w:hAnsi="宋体" w:eastAsia="宋体" w:cs="宋体"/>
          <w:color w:val="auto"/>
          <w:kern w:val="0"/>
          <w:sz w:val="24"/>
          <w:szCs w:val="24"/>
          <w:highlight w:val="none"/>
        </w:rPr>
        <w:t>《中标通知书》对招标人和中标人具有法律约束力。《中标通知书》发出后，如中标人因违反法律法规规定而中标无效的，应承担相应的法律责任，本次招标失败，应重新组织招标</w:t>
      </w:r>
      <w:r>
        <w:rPr>
          <w:rFonts w:hint="eastAsia" w:ascii="宋体" w:hAnsi="宋体" w:cs="宋体"/>
          <w:color w:val="auto"/>
          <w:kern w:val="0"/>
          <w:sz w:val="24"/>
          <w:highlight w:val="none"/>
          <w:lang w:bidi="ar"/>
        </w:rPr>
        <w:t>。</w:t>
      </w:r>
    </w:p>
    <w:p w14:paraId="42D29D57">
      <w:pPr>
        <w:pStyle w:val="20"/>
        <w:snapToGrid w:val="0"/>
        <w:spacing w:before="0" w:beforeLines="0" w:after="0" w:afterLines="0" w:line="360" w:lineRule="auto"/>
        <w:jc w:val="left"/>
        <w:rPr>
          <w:rFonts w:hAnsi="宋体" w:cs="宋体"/>
          <w:b w:val="0"/>
          <w:color w:val="auto"/>
          <w:highlight w:val="none"/>
        </w:rPr>
      </w:pPr>
      <w:r>
        <w:rPr>
          <w:rFonts w:hint="eastAsia" w:hAnsi="宋体" w:cs="宋体"/>
          <w:b w:val="0"/>
          <w:color w:val="auto"/>
          <w:highlight w:val="none"/>
          <w:lang w:val="en-US" w:eastAsia="zh-CN"/>
        </w:rPr>
        <w:t>八</w:t>
      </w:r>
      <w:r>
        <w:rPr>
          <w:rFonts w:hAnsi="宋体" w:cs="宋体"/>
          <w:b w:val="0"/>
          <w:color w:val="auto"/>
          <w:highlight w:val="none"/>
        </w:rPr>
        <w:t>、合同授予</w:t>
      </w:r>
    </w:p>
    <w:p w14:paraId="51FBBC74">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lang w:bidi="ar"/>
        </w:rPr>
        <w:t>（一）签订合同</w:t>
      </w:r>
    </w:p>
    <w:p w14:paraId="099A0A72">
      <w:pPr>
        <w:pStyle w:val="33"/>
        <w:spacing w:before="0" w:beforeAutospacing="0" w:after="0" w:afterAutospacing="0" w:line="360" w:lineRule="auto"/>
        <w:ind w:firstLine="600" w:firstLineChars="250"/>
        <w:rPr>
          <w:rFonts w:cs="宋体"/>
          <w:color w:val="auto"/>
          <w:highlight w:val="none"/>
        </w:rPr>
      </w:pPr>
      <w:r>
        <w:rPr>
          <w:rFonts w:cs="宋体"/>
          <w:color w:val="auto"/>
          <w:highlight w:val="none"/>
        </w:rPr>
        <w:t>1、采购人应当自中标通知书发出之日起</w:t>
      </w:r>
      <w:r>
        <w:rPr>
          <w:rFonts w:cs="宋体"/>
          <w:b/>
          <w:bCs/>
          <w:color w:val="auto"/>
          <w:highlight w:val="none"/>
          <w:u w:val="single"/>
        </w:rPr>
        <w:t>30</w:t>
      </w:r>
      <w:r>
        <w:rPr>
          <w:rFonts w:cs="宋体"/>
          <w:color w:val="auto"/>
          <w:highlight w:val="none"/>
        </w:rPr>
        <w:t>日内，按照招标文件和中标人投标文件的规定，与中标人签订书面合同。所签订的合同不得对招标文件确定的事项和中标人投标文件作实质性修改。</w:t>
      </w:r>
    </w:p>
    <w:p w14:paraId="6207F80B">
      <w:pPr>
        <w:pStyle w:val="33"/>
        <w:spacing w:before="0" w:beforeAutospacing="0" w:after="0" w:afterAutospacing="0" w:line="360" w:lineRule="auto"/>
        <w:ind w:firstLine="600" w:firstLineChars="250"/>
        <w:rPr>
          <w:rFonts w:cs="宋体"/>
          <w:color w:val="auto"/>
          <w:highlight w:val="none"/>
        </w:rPr>
      </w:pPr>
      <w:r>
        <w:rPr>
          <w:rFonts w:cs="宋体"/>
          <w:color w:val="auto"/>
          <w:highlight w:val="none"/>
        </w:rPr>
        <w:t>2、采购人不得向中标人提出任何不合理的要求作为签订合同的条件。</w:t>
      </w:r>
    </w:p>
    <w:p w14:paraId="0298C6C9">
      <w:pPr>
        <w:pStyle w:val="33"/>
        <w:spacing w:before="0" w:beforeAutospacing="0" w:after="0" w:afterAutospacing="0" w:line="360" w:lineRule="auto"/>
        <w:ind w:firstLine="600" w:firstLineChars="250"/>
        <w:rPr>
          <w:rFonts w:cs="宋体"/>
          <w:color w:val="auto"/>
          <w:highlight w:val="none"/>
        </w:rPr>
      </w:pPr>
      <w:r>
        <w:rPr>
          <w:rFonts w:cs="宋体"/>
          <w:color w:val="auto"/>
          <w:highlight w:val="none"/>
        </w:rPr>
        <w:t>3、中标供应商无故拖延、拒签合同的,取消中标资格。</w:t>
      </w:r>
    </w:p>
    <w:p w14:paraId="56349D28">
      <w:pPr>
        <w:pStyle w:val="33"/>
        <w:spacing w:before="0" w:beforeAutospacing="0" w:after="0" w:afterAutospacing="0" w:line="360" w:lineRule="auto"/>
        <w:ind w:firstLine="600" w:firstLineChars="250"/>
        <w:rPr>
          <w:rFonts w:cs="宋体"/>
          <w:color w:val="auto"/>
          <w:highlight w:val="none"/>
        </w:rPr>
      </w:pPr>
      <w:r>
        <w:rPr>
          <w:rFonts w:hint="eastAsia" w:cs="宋体"/>
          <w:color w:val="auto"/>
          <w:highlight w:val="none"/>
          <w:lang w:val="en-US" w:eastAsia="zh-CN"/>
        </w:rPr>
        <w:t>4</w:t>
      </w:r>
      <w:r>
        <w:rPr>
          <w:rFonts w:cs="宋体"/>
          <w:color w:val="auto"/>
          <w:highlight w:val="none"/>
        </w:rPr>
        <w:t>、询问或者质疑事项可能影响中标结果的，采购人应当暂停签订合同，已经签订合同的，应当中止履行合同（中标结果的质疑期为中标结果公告期限届满之日起七个工作日）。</w:t>
      </w:r>
    </w:p>
    <w:p w14:paraId="14168A4D">
      <w:pPr>
        <w:spacing w:line="360" w:lineRule="auto"/>
        <w:ind w:firstLine="482" w:firstLineChars="200"/>
        <w:jc w:val="left"/>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（二）履约保证金</w:t>
      </w:r>
    </w:p>
    <w:p w14:paraId="4C9F91D7">
      <w:pPr>
        <w:spacing w:line="360" w:lineRule="auto"/>
        <w:ind w:firstLine="480" w:firstLineChars="200"/>
        <w:jc w:val="left"/>
        <w:rPr>
          <w:rFonts w:hint="eastAsia" w:ascii="宋体" w:hAnsi="宋体" w:eastAsia="宋体" w:cs="宋体"/>
          <w:b w:val="0"/>
          <w:bCs/>
          <w:color w:val="auto"/>
          <w:sz w:val="24"/>
          <w:highlight w:val="none"/>
          <w:lang w:bidi="ar"/>
        </w:rPr>
      </w:pPr>
      <w:r>
        <w:rPr>
          <w:rFonts w:hint="eastAsia" w:ascii="宋体" w:hAnsi="宋体" w:eastAsia="宋体" w:cs="宋体"/>
          <w:b w:val="0"/>
          <w:bCs/>
          <w:color w:val="auto"/>
          <w:sz w:val="24"/>
          <w:highlight w:val="none"/>
          <w:lang w:bidi="ar"/>
        </w:rPr>
        <w:t>1.签订合同前，中标人应按招标文件确定的履约保证金的金额，向</w:t>
      </w:r>
      <w:r>
        <w:rPr>
          <w:rFonts w:hint="eastAsia" w:ascii="宋体" w:hAnsi="宋体" w:eastAsia="宋体" w:cs="宋体"/>
          <w:b w:val="0"/>
          <w:bCs/>
          <w:color w:val="auto"/>
          <w:sz w:val="24"/>
          <w:highlight w:val="none"/>
          <w:lang w:eastAsia="zh-CN" w:bidi="ar"/>
        </w:rPr>
        <w:t>招标人</w:t>
      </w:r>
      <w:r>
        <w:rPr>
          <w:rFonts w:hint="eastAsia" w:ascii="宋体" w:hAnsi="宋体" w:eastAsia="宋体" w:cs="宋体"/>
          <w:b w:val="0"/>
          <w:bCs/>
          <w:color w:val="auto"/>
          <w:sz w:val="24"/>
          <w:highlight w:val="none"/>
          <w:lang w:bidi="ar"/>
        </w:rPr>
        <w:t>交纳履约保证金，否则，</w:t>
      </w:r>
      <w:r>
        <w:rPr>
          <w:rFonts w:hint="eastAsia" w:ascii="宋体" w:hAnsi="宋体" w:eastAsia="宋体" w:cs="宋体"/>
          <w:b w:val="0"/>
          <w:bCs/>
          <w:color w:val="auto"/>
          <w:sz w:val="24"/>
          <w:highlight w:val="none"/>
          <w:lang w:eastAsia="zh-CN" w:bidi="ar"/>
        </w:rPr>
        <w:t>招标人</w:t>
      </w:r>
      <w:r>
        <w:rPr>
          <w:rFonts w:hint="eastAsia" w:ascii="宋体" w:hAnsi="宋体" w:eastAsia="宋体" w:cs="宋体"/>
          <w:b w:val="0"/>
          <w:bCs/>
          <w:color w:val="auto"/>
          <w:sz w:val="24"/>
          <w:highlight w:val="none"/>
          <w:lang w:bidi="ar"/>
        </w:rPr>
        <w:t>将没收中标人的全部投标保证金。</w:t>
      </w:r>
    </w:p>
    <w:p w14:paraId="6F081A9A">
      <w:pPr>
        <w:spacing w:line="360" w:lineRule="auto"/>
        <w:ind w:firstLine="480" w:firstLineChars="200"/>
        <w:jc w:val="left"/>
        <w:rPr>
          <w:b/>
          <w:color w:val="auto"/>
          <w:sz w:val="30"/>
          <w:szCs w:val="30"/>
          <w:highlight w:val="none"/>
        </w:rPr>
      </w:pPr>
      <w:r>
        <w:rPr>
          <w:rFonts w:hint="eastAsia" w:ascii="宋体" w:hAnsi="宋体" w:eastAsia="宋体" w:cs="宋体"/>
          <w:b w:val="0"/>
          <w:bCs/>
          <w:color w:val="auto"/>
          <w:sz w:val="24"/>
          <w:highlight w:val="none"/>
          <w:lang w:bidi="ar"/>
        </w:rPr>
        <w:t>2.签订合同后，如中标人不按双方合同约定履约，则没收其全部履约保证金，履约保证金不足以赔偿损失的，按实际损失赔偿。</w:t>
      </w:r>
    </w:p>
    <w:p w14:paraId="2CBDE103">
      <w:pPr>
        <w:pStyle w:val="33"/>
        <w:spacing w:before="0" w:beforeAutospacing="0" w:after="0" w:afterAutospacing="0" w:line="360" w:lineRule="auto"/>
        <w:ind w:firstLine="753" w:firstLineChars="250"/>
        <w:rPr>
          <w:b/>
          <w:color w:val="auto"/>
          <w:sz w:val="30"/>
          <w:szCs w:val="30"/>
          <w:highlight w:val="none"/>
        </w:rPr>
      </w:pPr>
      <w:r>
        <w:rPr>
          <w:b/>
          <w:color w:val="auto"/>
          <w:sz w:val="30"/>
          <w:szCs w:val="30"/>
          <w:highlight w:val="none"/>
        </w:rPr>
        <w:t xml:space="preserve"> </w:t>
      </w:r>
      <w:bookmarkStart w:id="21" w:name="_Toc22477_WPSOffice_Level1"/>
      <w:r>
        <w:rPr>
          <w:b/>
          <w:color w:val="auto"/>
          <w:sz w:val="30"/>
          <w:szCs w:val="30"/>
          <w:highlight w:val="none"/>
        </w:rPr>
        <w:t xml:space="preserve">      </w:t>
      </w:r>
    </w:p>
    <w:p w14:paraId="439B4A73">
      <w:pPr>
        <w:pStyle w:val="33"/>
        <w:spacing w:before="0" w:beforeAutospacing="0" w:after="0" w:afterAutospacing="0" w:line="360" w:lineRule="auto"/>
        <w:ind w:firstLine="753" w:firstLineChars="250"/>
        <w:rPr>
          <w:b/>
          <w:color w:val="auto"/>
          <w:sz w:val="30"/>
          <w:szCs w:val="30"/>
          <w:highlight w:val="none"/>
        </w:rPr>
      </w:pPr>
    </w:p>
    <w:p w14:paraId="76C739B3">
      <w:pPr>
        <w:pStyle w:val="33"/>
        <w:spacing w:before="0" w:beforeAutospacing="0" w:after="0" w:afterAutospacing="0" w:line="360" w:lineRule="auto"/>
        <w:ind w:firstLine="753" w:firstLineChars="250"/>
        <w:rPr>
          <w:b/>
          <w:color w:val="auto"/>
          <w:sz w:val="30"/>
          <w:szCs w:val="30"/>
          <w:highlight w:val="none"/>
        </w:rPr>
      </w:pPr>
    </w:p>
    <w:p w14:paraId="1259C4A1">
      <w:pPr>
        <w:pStyle w:val="33"/>
        <w:spacing w:before="0" w:beforeAutospacing="0" w:after="0" w:afterAutospacing="0" w:line="360" w:lineRule="auto"/>
        <w:ind w:firstLine="2861" w:firstLineChars="950"/>
        <w:rPr>
          <w:b/>
          <w:color w:val="auto"/>
          <w:sz w:val="30"/>
          <w:szCs w:val="30"/>
          <w:highlight w:val="none"/>
        </w:rPr>
      </w:pPr>
    </w:p>
    <w:p w14:paraId="4DC64ECF">
      <w:pPr>
        <w:pStyle w:val="33"/>
        <w:spacing w:before="0" w:beforeAutospacing="0" w:after="0" w:afterAutospacing="0" w:line="360" w:lineRule="auto"/>
        <w:ind w:firstLine="2861" w:firstLineChars="950"/>
        <w:rPr>
          <w:b/>
          <w:color w:val="auto"/>
          <w:sz w:val="30"/>
          <w:szCs w:val="30"/>
          <w:highlight w:val="none"/>
        </w:rPr>
      </w:pPr>
    </w:p>
    <w:p w14:paraId="59A30F3B">
      <w:pPr>
        <w:pStyle w:val="33"/>
        <w:spacing w:before="0" w:beforeAutospacing="0" w:after="0" w:afterAutospacing="0" w:line="360" w:lineRule="auto"/>
        <w:ind w:firstLine="2861" w:firstLineChars="950"/>
        <w:rPr>
          <w:b/>
          <w:color w:val="auto"/>
          <w:sz w:val="30"/>
          <w:szCs w:val="30"/>
          <w:highlight w:val="none"/>
        </w:rPr>
      </w:pPr>
    </w:p>
    <w:p w14:paraId="3600820E">
      <w:pPr>
        <w:pStyle w:val="33"/>
        <w:spacing w:before="0" w:beforeAutospacing="0" w:after="0" w:afterAutospacing="0" w:line="360" w:lineRule="auto"/>
        <w:ind w:firstLine="2861" w:firstLineChars="950"/>
        <w:rPr>
          <w:b/>
          <w:color w:val="auto"/>
          <w:sz w:val="30"/>
          <w:szCs w:val="30"/>
          <w:highlight w:val="none"/>
        </w:rPr>
      </w:pPr>
    </w:p>
    <w:p w14:paraId="17F6F2ED">
      <w:pPr>
        <w:pStyle w:val="33"/>
        <w:spacing w:before="0" w:beforeAutospacing="0" w:after="0" w:afterAutospacing="0" w:line="360" w:lineRule="auto"/>
        <w:ind w:firstLine="2861" w:firstLineChars="950"/>
        <w:rPr>
          <w:b/>
          <w:color w:val="auto"/>
          <w:sz w:val="30"/>
          <w:szCs w:val="30"/>
          <w:highlight w:val="none"/>
        </w:rPr>
      </w:pPr>
    </w:p>
    <w:p w14:paraId="53293A8F">
      <w:pPr>
        <w:pStyle w:val="33"/>
        <w:spacing w:before="0" w:beforeAutospacing="0" w:after="0" w:afterAutospacing="0" w:line="360" w:lineRule="auto"/>
        <w:rPr>
          <w:b/>
          <w:color w:val="auto"/>
          <w:sz w:val="30"/>
          <w:szCs w:val="30"/>
          <w:highlight w:val="none"/>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17117FF7">
      <w:pPr>
        <w:pStyle w:val="33"/>
        <w:spacing w:before="0" w:beforeAutospacing="0" w:after="0" w:afterAutospacing="0" w:line="360" w:lineRule="auto"/>
        <w:ind w:firstLine="2861" w:firstLineChars="950"/>
        <w:rPr>
          <w:b/>
          <w:color w:val="auto"/>
          <w:sz w:val="30"/>
          <w:szCs w:val="30"/>
          <w:highlight w:val="none"/>
        </w:rPr>
      </w:pPr>
      <w:r>
        <w:rPr>
          <w:b/>
          <w:color w:val="auto"/>
          <w:sz w:val="30"/>
          <w:szCs w:val="30"/>
          <w:highlight w:val="none"/>
        </w:rPr>
        <w:t>第四章 评标办法及评分标准</w:t>
      </w:r>
      <w:bookmarkEnd w:id="7"/>
      <w:bookmarkEnd w:id="21"/>
    </w:p>
    <w:p w14:paraId="6BC27D20">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为公正、公平、科学地选择中标人，根据</w:t>
      </w:r>
      <w:r>
        <w:rPr>
          <w:rFonts w:hint="eastAsia" w:ascii="宋体" w:hAnsi="宋体" w:cs="宋体"/>
          <w:color w:val="auto"/>
          <w:sz w:val="24"/>
          <w:highlight w:val="none"/>
          <w:lang w:eastAsia="zh-CN" w:bidi="ar"/>
        </w:rPr>
        <w:t>《中华人民共和国招标投标法》</w:t>
      </w:r>
      <w:r>
        <w:rPr>
          <w:rFonts w:hint="eastAsia" w:ascii="宋体" w:hAnsi="宋体" w:cs="宋体"/>
          <w:color w:val="auto"/>
          <w:sz w:val="24"/>
          <w:highlight w:val="none"/>
          <w:lang w:bidi="ar"/>
        </w:rPr>
        <w:t>等有关法律法规的规定，并结合本项目的实际，制定本办法。</w:t>
      </w:r>
    </w:p>
    <w:p w14:paraId="7FD1799B">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20"/>
        <w:textAlignment w:val="auto"/>
        <w:rPr>
          <w:rFonts w:hint="eastAsia" w:ascii="宋体" w:hAnsi="宋体" w:cs="宋体"/>
          <w:bCs/>
          <w:color w:val="auto"/>
          <w:sz w:val="24"/>
          <w:szCs w:val="48"/>
          <w:highlight w:val="none"/>
        </w:rPr>
      </w:pPr>
      <w:r>
        <w:rPr>
          <w:rFonts w:hint="eastAsia" w:ascii="宋体" w:hAnsi="宋体" w:cs="宋体"/>
          <w:color w:val="auto"/>
          <w:sz w:val="24"/>
          <w:highlight w:val="none"/>
          <w:lang w:bidi="ar"/>
        </w:rPr>
        <w:t>本办法适用于本项目的</w:t>
      </w:r>
      <w:r>
        <w:rPr>
          <w:rFonts w:hint="eastAsia" w:ascii="宋体" w:hAnsi="宋体" w:cs="宋体"/>
          <w:bCs/>
          <w:color w:val="auto"/>
          <w:sz w:val="24"/>
          <w:szCs w:val="48"/>
          <w:highlight w:val="none"/>
          <w:lang w:bidi="ar"/>
        </w:rPr>
        <w:t>评标。</w:t>
      </w:r>
    </w:p>
    <w:p w14:paraId="67C886AB">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72" w:firstLineChars="196"/>
        <w:textAlignment w:val="auto"/>
        <w:rPr>
          <w:rFonts w:hint="eastAsia" w:ascii="宋体" w:hAnsi="宋体" w:cs="宋体"/>
          <w:b/>
          <w:color w:val="auto"/>
          <w:sz w:val="24"/>
          <w:highlight w:val="none"/>
        </w:rPr>
      </w:pPr>
      <w:r>
        <w:rPr>
          <w:rFonts w:hint="eastAsia" w:ascii="宋体" w:hAnsi="宋体" w:cs="宋体"/>
          <w:b/>
          <w:color w:val="auto"/>
          <w:sz w:val="24"/>
          <w:highlight w:val="none"/>
        </w:rPr>
        <w:t>一、总则</w:t>
      </w:r>
    </w:p>
    <w:p w14:paraId="304DD8C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lang w:bidi="ar"/>
        </w:rPr>
        <w:t>本次评标采用综合评分法，总分为100分，</w:t>
      </w:r>
      <w:r>
        <w:rPr>
          <w:rFonts w:hint="eastAsia" w:ascii="宋体" w:hAnsi="宋体"/>
          <w:color w:val="auto"/>
          <w:sz w:val="24"/>
          <w:highlight w:val="none"/>
        </w:rPr>
        <w:t>其中技术分40分，样品分20分，商务分40分</w:t>
      </w:r>
      <w:r>
        <w:rPr>
          <w:rFonts w:hint="eastAsia" w:ascii="宋体" w:hAnsi="宋体" w:cs="宋体"/>
          <w:color w:val="auto"/>
          <w:sz w:val="24"/>
          <w:highlight w:val="none"/>
          <w:lang w:bidi="ar"/>
        </w:rPr>
        <w:t>。排名第一的的投标人为中标候选人,排名第二的投标人为候补中标候选人。</w:t>
      </w:r>
      <w:r>
        <w:rPr>
          <w:rFonts w:hint="eastAsia" w:ascii="宋体" w:hAnsi="宋体" w:cs="宋体"/>
          <w:bCs/>
          <w:color w:val="auto"/>
          <w:sz w:val="24"/>
          <w:highlight w:val="none"/>
          <w:lang w:bidi="ar"/>
        </w:rPr>
        <w:t>评分过程中采用四舍五入法，并保留小数2位。</w:t>
      </w:r>
    </w:p>
    <w:p w14:paraId="30BF83D6">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投标总得分=</w:t>
      </w:r>
      <w:r>
        <w:rPr>
          <w:rFonts w:hint="eastAsia" w:ascii="宋体" w:hAnsi="宋体"/>
          <w:bCs/>
          <w:color w:val="auto"/>
          <w:spacing w:val="-4"/>
          <w:sz w:val="24"/>
          <w:highlight w:val="none"/>
        </w:rPr>
        <w:t>技术</w:t>
      </w:r>
      <w:r>
        <w:rPr>
          <w:rFonts w:hint="eastAsia" w:ascii="宋体" w:hAnsi="宋体"/>
          <w:bCs/>
          <w:color w:val="auto"/>
          <w:spacing w:val="-4"/>
          <w:sz w:val="24"/>
          <w:highlight w:val="none"/>
          <w:lang w:val="en-US" w:eastAsia="zh-CN"/>
        </w:rPr>
        <w:t>资信</w:t>
      </w:r>
      <w:r>
        <w:rPr>
          <w:rFonts w:hint="eastAsia" w:ascii="宋体" w:hAnsi="宋体"/>
          <w:bCs/>
          <w:color w:val="auto"/>
          <w:spacing w:val="-4"/>
          <w:sz w:val="24"/>
          <w:highlight w:val="none"/>
        </w:rPr>
        <w:t>标得分＋</w:t>
      </w:r>
      <w:r>
        <w:rPr>
          <w:rFonts w:hint="eastAsia" w:ascii="宋体" w:hAnsi="宋体"/>
          <w:color w:val="auto"/>
          <w:sz w:val="24"/>
          <w:highlight w:val="none"/>
        </w:rPr>
        <w:t>样品</w:t>
      </w:r>
      <w:r>
        <w:rPr>
          <w:rFonts w:hint="eastAsia" w:ascii="宋体" w:hAnsi="宋体"/>
          <w:color w:val="auto"/>
          <w:sz w:val="24"/>
          <w:highlight w:val="none"/>
          <w:lang w:val="en-US" w:eastAsia="zh-CN"/>
        </w:rPr>
        <w:t>得</w:t>
      </w:r>
      <w:r>
        <w:rPr>
          <w:rFonts w:hint="eastAsia" w:ascii="宋体" w:hAnsi="宋体"/>
          <w:color w:val="auto"/>
          <w:sz w:val="24"/>
          <w:highlight w:val="none"/>
        </w:rPr>
        <w:t>分</w:t>
      </w:r>
      <w:r>
        <w:rPr>
          <w:rFonts w:hint="eastAsia" w:ascii="宋体" w:hAnsi="宋体"/>
          <w:bCs/>
          <w:color w:val="auto"/>
          <w:spacing w:val="-4"/>
          <w:sz w:val="24"/>
          <w:highlight w:val="none"/>
        </w:rPr>
        <w:t>＋商务标得分</w:t>
      </w:r>
    </w:p>
    <w:p w14:paraId="74619A62">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42" w:firstLineChars="200"/>
        <w:textAlignment w:val="auto"/>
        <w:rPr>
          <w:rFonts w:ascii="宋体" w:hAnsi="宋体"/>
          <w:b/>
          <w:color w:val="auto"/>
          <w:sz w:val="22"/>
          <w:highlight w:val="none"/>
        </w:rPr>
      </w:pPr>
      <w:r>
        <w:rPr>
          <w:rFonts w:hint="eastAsia" w:ascii="宋体" w:hAnsi="宋体"/>
          <w:b/>
          <w:color w:val="auto"/>
          <w:sz w:val="22"/>
          <w:highlight w:val="none"/>
        </w:rPr>
        <w:t>二、评标内容及标准</w:t>
      </w:r>
    </w:p>
    <w:p w14:paraId="3191E663">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（一）资格审查</w:t>
      </w:r>
    </w:p>
    <w:p w14:paraId="4D7F8D67">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评标委员会按照招标文件载明的投标人资格条件对投标人进行审查，凡不符合资格审查中合格条件要求的，以无效标处理，不再进入后续阶段评标。</w:t>
      </w:r>
    </w:p>
    <w:p w14:paraId="5E475FE9">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（二）技术</w:t>
      </w:r>
      <w:r>
        <w:rPr>
          <w:rFonts w:hint="eastAsia" w:ascii="宋体" w:hAnsi="宋体" w:cs="宋体"/>
          <w:color w:val="auto"/>
          <w:sz w:val="24"/>
          <w:highlight w:val="none"/>
          <w:lang w:val="en-US" w:eastAsia="zh-CN" w:bidi="ar"/>
        </w:rPr>
        <w:t>资信</w:t>
      </w:r>
      <w:r>
        <w:rPr>
          <w:rFonts w:hint="eastAsia" w:ascii="宋体" w:hAnsi="宋体" w:cs="宋体"/>
          <w:color w:val="auto"/>
          <w:sz w:val="24"/>
          <w:highlight w:val="none"/>
          <w:lang w:bidi="ar"/>
        </w:rPr>
        <w:t>标评审（40分）</w:t>
      </w:r>
    </w:p>
    <w:p w14:paraId="51EBADA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技术分按照评标委员会成员的独立评分结果取平均值，为投标人的</w:t>
      </w:r>
      <w:r>
        <w:rPr>
          <w:rFonts w:hint="eastAsia" w:ascii="宋体" w:hAnsi="宋体" w:cs="宋体"/>
          <w:color w:val="auto"/>
          <w:sz w:val="24"/>
          <w:highlight w:val="none"/>
          <w:lang w:eastAsia="zh-CN" w:bidi="ar"/>
        </w:rPr>
        <w:t>技术</w:t>
      </w:r>
      <w:r>
        <w:rPr>
          <w:rFonts w:hint="eastAsia" w:ascii="宋体" w:hAnsi="宋体" w:cs="宋体"/>
          <w:color w:val="auto"/>
          <w:sz w:val="24"/>
          <w:highlight w:val="none"/>
          <w:lang w:val="en-US" w:eastAsia="zh-CN" w:bidi="ar"/>
        </w:rPr>
        <w:t>资信</w:t>
      </w:r>
      <w:r>
        <w:rPr>
          <w:rFonts w:hint="eastAsia" w:ascii="宋体" w:hAnsi="宋体" w:cs="宋体"/>
          <w:color w:val="auto"/>
          <w:sz w:val="24"/>
          <w:highlight w:val="none"/>
          <w:lang w:eastAsia="zh-CN" w:bidi="ar"/>
        </w:rPr>
        <w:t>标</w:t>
      </w:r>
      <w:r>
        <w:rPr>
          <w:rFonts w:hint="eastAsia" w:ascii="宋体" w:hAnsi="宋体" w:cs="宋体"/>
          <w:color w:val="auto"/>
          <w:sz w:val="24"/>
          <w:highlight w:val="none"/>
          <w:lang w:bidi="ar"/>
        </w:rPr>
        <w:t>得分。（评委评分结果保留一位小数，</w:t>
      </w:r>
      <w:r>
        <w:rPr>
          <w:rFonts w:hint="eastAsia" w:ascii="宋体" w:hAnsi="宋体"/>
          <w:color w:val="auto"/>
          <w:sz w:val="24"/>
          <w:highlight w:val="none"/>
        </w:rPr>
        <w:t>第2位四舍五入</w:t>
      </w:r>
      <w:r>
        <w:rPr>
          <w:rFonts w:hint="eastAsia" w:ascii="宋体" w:hAnsi="宋体"/>
          <w:color w:val="auto"/>
          <w:sz w:val="24"/>
          <w:highlight w:val="none"/>
          <w:lang w:eastAsia="zh-CN"/>
        </w:rPr>
        <w:t>；</w:t>
      </w:r>
      <w:r>
        <w:rPr>
          <w:rFonts w:hint="eastAsia" w:ascii="宋体" w:hAnsi="宋体" w:cs="宋体"/>
          <w:color w:val="auto"/>
          <w:sz w:val="24"/>
          <w:highlight w:val="none"/>
          <w:lang w:bidi="ar"/>
        </w:rPr>
        <w:t xml:space="preserve">每项平均值小数点后保留2位，第3位四舍五入）。 </w:t>
      </w:r>
    </w:p>
    <w:tbl>
      <w:tblPr>
        <w:tblStyle w:val="3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505"/>
        <w:gridCol w:w="705"/>
      </w:tblGrid>
      <w:tr w14:paraId="13C2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89"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1528FAFD">
            <w:pPr>
              <w:keepNext w:val="0"/>
              <w:keepLines w:val="0"/>
              <w:suppressLineNumbers w:val="0"/>
              <w:spacing w:before="0" w:beforeAutospacing="0" w:after="0" w:afterAutospacing="0" w:line="220" w:lineRule="exact"/>
              <w:ind w:left="0" w:right="0"/>
              <w:jc w:val="center"/>
              <w:rPr>
                <w:rFonts w:hint="default" w:ascii="Calibri" w:hAnsi="Calibri" w:cs="Calibri"/>
                <w:b/>
                <w:color w:val="auto"/>
                <w:sz w:val="24"/>
                <w:highlight w:val="none"/>
              </w:rPr>
            </w:pPr>
            <w:r>
              <w:rPr>
                <w:rFonts w:hint="eastAsia" w:ascii="Calibri" w:hAnsi="Calibri" w:cs="Calibri"/>
                <w:b/>
                <w:color w:val="auto"/>
                <w:sz w:val="24"/>
                <w:highlight w:val="none"/>
              </w:rPr>
              <w:t>评标内容</w:t>
            </w:r>
          </w:p>
        </w:tc>
        <w:tc>
          <w:tcPr>
            <w:tcW w:w="750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42A3B64A">
            <w:pPr>
              <w:keepNext w:val="0"/>
              <w:keepLines w:val="0"/>
              <w:suppressLineNumbers w:val="0"/>
              <w:spacing w:before="0" w:beforeAutospacing="0" w:after="0" w:afterAutospacing="0" w:line="220" w:lineRule="exact"/>
              <w:ind w:left="0" w:right="0"/>
              <w:jc w:val="center"/>
              <w:rPr>
                <w:rFonts w:hint="default" w:ascii="Calibri" w:hAnsi="Calibri" w:cs="Calibri"/>
                <w:b/>
                <w:color w:val="auto"/>
                <w:sz w:val="24"/>
                <w:highlight w:val="none"/>
              </w:rPr>
            </w:pPr>
            <w:r>
              <w:rPr>
                <w:rFonts w:hint="eastAsia" w:ascii="Calibri" w:hAnsi="Calibri" w:cs="Calibri"/>
                <w:b/>
                <w:color w:val="auto"/>
                <w:sz w:val="24"/>
                <w:highlight w:val="none"/>
              </w:rPr>
              <w:t>细则内容</w:t>
            </w:r>
          </w:p>
        </w:tc>
        <w:tc>
          <w:tcPr>
            <w:tcW w:w="70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399061EA">
            <w:pPr>
              <w:keepNext w:val="0"/>
              <w:keepLines w:val="0"/>
              <w:suppressLineNumbers w:val="0"/>
              <w:spacing w:before="0" w:beforeAutospacing="0" w:after="0" w:afterAutospacing="0" w:line="220" w:lineRule="exact"/>
              <w:ind w:left="0" w:right="0"/>
              <w:jc w:val="center"/>
              <w:rPr>
                <w:rFonts w:hint="default" w:ascii="Calibri" w:hAnsi="Calibri" w:cs="Calibri"/>
                <w:b/>
                <w:color w:val="auto"/>
                <w:sz w:val="24"/>
                <w:highlight w:val="none"/>
              </w:rPr>
            </w:pPr>
            <w:r>
              <w:rPr>
                <w:rFonts w:hint="eastAsia" w:ascii="Calibri" w:hAnsi="Calibri" w:cs="Calibri"/>
                <w:b/>
                <w:color w:val="auto"/>
                <w:sz w:val="24"/>
                <w:highlight w:val="none"/>
              </w:rPr>
              <w:t>分值</w:t>
            </w:r>
          </w:p>
        </w:tc>
      </w:tr>
      <w:tr w14:paraId="6501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89" w:type="dxa"/>
            <w:vMerge w:val="restart"/>
            <w:tcBorders>
              <w:top w:val="single" w:color="auto" w:sz="4" w:space="0"/>
              <w:left w:val="single" w:color="auto" w:sz="4" w:space="0"/>
              <w:right w:val="single" w:color="auto" w:sz="4" w:space="0"/>
            </w:tcBorders>
            <w:noWrap w:val="0"/>
            <w:vAlign w:val="center"/>
          </w:tcPr>
          <w:p w14:paraId="337A68F6">
            <w:pPr>
              <w:keepNext w:val="0"/>
              <w:keepLines w:val="0"/>
              <w:widowControl/>
              <w:suppressLineNumbers w:val="0"/>
              <w:spacing w:before="0" w:beforeAutospacing="0" w:after="0" w:afterAutospacing="0" w:line="360" w:lineRule="auto"/>
              <w:ind w:left="0" w:right="0"/>
              <w:jc w:val="center"/>
              <w:rPr>
                <w:rFonts w:hint="default" w:ascii="宋体" w:hAnsi="宋体" w:cs="Calibri"/>
                <w:b/>
                <w:color w:val="auto"/>
                <w:sz w:val="24"/>
                <w:highlight w:val="none"/>
              </w:rPr>
            </w:pPr>
            <w:r>
              <w:rPr>
                <w:rFonts w:hint="eastAsia" w:ascii="宋体" w:hAnsi="宋体" w:cs="Calibri"/>
                <w:b/>
                <w:color w:val="auto"/>
                <w:sz w:val="24"/>
                <w:highlight w:val="none"/>
              </w:rPr>
              <w:t>实力信誉及业绩</w:t>
            </w:r>
            <w:r>
              <w:rPr>
                <w:rFonts w:hint="eastAsia" w:ascii="宋体" w:hAnsi="宋体" w:cs="Calibri"/>
                <w:b/>
                <w:color w:val="auto"/>
                <w:sz w:val="24"/>
                <w:highlight w:val="none"/>
                <w:lang w:val="en-US" w:eastAsia="zh-CN"/>
              </w:rPr>
              <w:t>8</w:t>
            </w:r>
            <w:r>
              <w:rPr>
                <w:rFonts w:hint="eastAsia" w:ascii="宋体" w:hAnsi="宋体" w:cs="Calibri"/>
                <w:b/>
                <w:color w:val="auto"/>
                <w:sz w:val="24"/>
                <w:highlight w:val="none"/>
              </w:rPr>
              <w:t>分</w:t>
            </w:r>
          </w:p>
        </w:tc>
        <w:tc>
          <w:tcPr>
            <w:tcW w:w="7505" w:type="dxa"/>
            <w:tcBorders>
              <w:top w:val="single" w:color="auto" w:sz="4" w:space="0"/>
              <w:left w:val="single" w:color="auto" w:sz="4" w:space="0"/>
              <w:right w:val="single" w:color="auto" w:sz="4" w:space="0"/>
            </w:tcBorders>
            <w:noWrap w:val="0"/>
            <w:vAlign w:val="top"/>
          </w:tcPr>
          <w:p w14:paraId="6B2A66BE">
            <w:pPr>
              <w:keepNext w:val="0"/>
              <w:keepLines w:val="0"/>
              <w:suppressLineNumbers w:val="0"/>
              <w:spacing w:before="0" w:beforeAutospacing="0" w:after="0" w:afterAutospacing="0" w:line="360" w:lineRule="exact"/>
              <w:ind w:left="0" w:right="0"/>
              <w:rPr>
                <w:rFonts w:hint="default" w:ascii="宋体" w:hAnsi="宋体" w:cs="Calibri"/>
                <w:color w:val="auto"/>
                <w:sz w:val="24"/>
                <w:highlight w:val="none"/>
              </w:rPr>
            </w:pPr>
            <w:r>
              <w:rPr>
                <w:rFonts w:hint="eastAsia" w:ascii="宋体" w:hAnsi="宋体" w:cs="Calibri"/>
                <w:color w:val="auto"/>
                <w:sz w:val="24"/>
                <w:highlight w:val="none"/>
              </w:rPr>
              <w:t>投标人企业环保保障体系:企业环境管理体系认证、质量管理体系认证、职业健康安全管理体系认证。每提供一项得1分。最高得3分（投标文件中提供</w:t>
            </w:r>
            <w:r>
              <w:rPr>
                <w:rFonts w:hint="eastAsia" w:ascii="宋体" w:hAnsi="宋体" w:cs="Calibri"/>
                <w:color w:val="auto"/>
                <w:sz w:val="24"/>
                <w:highlight w:val="none"/>
                <w:lang w:val="en-US" w:eastAsia="zh-CN"/>
              </w:rPr>
              <w:t>有效期内</w:t>
            </w:r>
            <w:r>
              <w:rPr>
                <w:rFonts w:hint="eastAsia" w:ascii="宋体" w:hAnsi="宋体" w:cs="Calibri"/>
                <w:color w:val="auto"/>
                <w:sz w:val="24"/>
                <w:highlight w:val="none"/>
              </w:rPr>
              <w:t>清晰扫描件，不提供不得分）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5236F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Calibri" w:cs="Calibri"/>
                <w:color w:val="auto"/>
                <w:kern w:val="0"/>
                <w:sz w:val="24"/>
                <w:highlight w:val="none"/>
              </w:rPr>
            </w:pPr>
            <w:r>
              <w:rPr>
                <w:rFonts w:hint="eastAsia" w:ascii="宋体" w:hAnsi="Calibri" w:cs="Calibri"/>
                <w:color w:val="auto"/>
                <w:kern w:val="0"/>
                <w:sz w:val="24"/>
                <w:highlight w:val="none"/>
              </w:rPr>
              <w:t>3分</w:t>
            </w:r>
          </w:p>
        </w:tc>
      </w:tr>
      <w:tr w14:paraId="1D29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89" w:type="dxa"/>
            <w:vMerge w:val="continue"/>
            <w:tcBorders>
              <w:left w:val="single" w:color="auto" w:sz="4" w:space="0"/>
              <w:right w:val="single" w:color="auto" w:sz="4" w:space="0"/>
            </w:tcBorders>
            <w:noWrap w:val="0"/>
            <w:vAlign w:val="center"/>
          </w:tcPr>
          <w:p w14:paraId="46A0EF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Calibri" w:hAnsi="Calibri" w:cs="Calibri"/>
                <w:color w:val="auto"/>
                <w:highlight w:val="none"/>
              </w:rPr>
            </w:pPr>
          </w:p>
        </w:tc>
        <w:tc>
          <w:tcPr>
            <w:tcW w:w="7505" w:type="dxa"/>
            <w:tcBorders>
              <w:top w:val="single" w:color="auto" w:sz="4" w:space="0"/>
              <w:left w:val="single" w:color="auto" w:sz="4" w:space="0"/>
              <w:right w:val="single" w:color="auto" w:sz="4" w:space="0"/>
            </w:tcBorders>
            <w:noWrap w:val="0"/>
            <w:vAlign w:val="top"/>
          </w:tcPr>
          <w:p w14:paraId="5268CBEA">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与本项目相关货物具有中国环保产品认证证书的每个得0.5分，最高得</w:t>
            </w:r>
            <w:r>
              <w:rPr>
                <w:rFonts w:hint="default" w:ascii="宋体" w:hAnsi="宋体" w:cs="Calibri"/>
                <w:color w:val="auto"/>
                <w:sz w:val="24"/>
                <w:highlight w:val="none"/>
              </w:rPr>
              <w:t>2</w:t>
            </w:r>
            <w:r>
              <w:rPr>
                <w:rFonts w:hint="eastAsia" w:ascii="宋体" w:hAnsi="宋体" w:cs="Calibri"/>
                <w:color w:val="auto"/>
                <w:sz w:val="24"/>
                <w:highlight w:val="none"/>
              </w:rPr>
              <w:t>分。（投标文件中提供</w:t>
            </w:r>
            <w:r>
              <w:rPr>
                <w:rFonts w:hint="eastAsia" w:ascii="宋体" w:hAnsi="宋体" w:cs="Calibri"/>
                <w:color w:val="auto"/>
                <w:sz w:val="24"/>
                <w:highlight w:val="none"/>
                <w:lang w:val="en-US" w:eastAsia="zh-CN"/>
              </w:rPr>
              <w:t>有效期内</w:t>
            </w:r>
            <w:r>
              <w:rPr>
                <w:rFonts w:hint="eastAsia" w:ascii="宋体" w:hAnsi="宋体" w:cs="Calibri"/>
                <w:color w:val="auto"/>
                <w:sz w:val="24"/>
                <w:highlight w:val="none"/>
              </w:rPr>
              <w:t>清晰扫描件，不提供不得分）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773432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2分</w:t>
            </w:r>
          </w:p>
        </w:tc>
      </w:tr>
      <w:tr w14:paraId="7F5E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89" w:type="dxa"/>
            <w:vMerge w:val="continue"/>
            <w:tcBorders>
              <w:top w:val="single" w:color="auto" w:sz="4" w:space="0"/>
              <w:left w:val="single" w:color="auto" w:sz="4" w:space="0"/>
              <w:right w:val="single" w:color="auto" w:sz="4" w:space="0"/>
            </w:tcBorders>
            <w:noWrap w:val="0"/>
            <w:vAlign w:val="center"/>
          </w:tcPr>
          <w:p w14:paraId="57B14EAD">
            <w:pPr>
              <w:keepNext w:val="0"/>
              <w:keepLines w:val="0"/>
              <w:widowControl/>
              <w:suppressLineNumbers w:val="0"/>
              <w:spacing w:before="0" w:beforeAutospacing="0" w:after="0" w:afterAutospacing="0" w:line="360" w:lineRule="auto"/>
              <w:ind w:left="0" w:right="0"/>
              <w:jc w:val="center"/>
              <w:rPr>
                <w:rFonts w:hint="default" w:ascii="宋体" w:hAnsi="宋体" w:cs="Calibri"/>
                <w:b/>
                <w:color w:val="auto"/>
                <w:sz w:val="24"/>
                <w:highlight w:val="none"/>
              </w:rPr>
            </w:pPr>
          </w:p>
        </w:tc>
        <w:tc>
          <w:tcPr>
            <w:tcW w:w="7505" w:type="dxa"/>
            <w:tcBorders>
              <w:top w:val="single" w:color="auto" w:sz="4" w:space="0"/>
              <w:left w:val="single" w:color="auto" w:sz="4" w:space="0"/>
              <w:right w:val="single" w:color="auto" w:sz="4" w:space="0"/>
            </w:tcBorders>
            <w:noWrap w:val="0"/>
            <w:vAlign w:val="top"/>
          </w:tcPr>
          <w:p w14:paraId="12C45117">
            <w:pPr>
              <w:keepNext w:val="0"/>
              <w:keepLines w:val="0"/>
              <w:suppressLineNumbers w:val="0"/>
              <w:spacing w:before="0" w:beforeAutospacing="0" w:after="0" w:afterAutospacing="0" w:line="360" w:lineRule="exact"/>
              <w:ind w:left="0" w:right="0"/>
              <w:rPr>
                <w:rFonts w:hint="default" w:ascii="宋体" w:hAnsi="宋体" w:cs="Calibri"/>
                <w:color w:val="auto"/>
                <w:sz w:val="24"/>
                <w:highlight w:val="none"/>
              </w:rPr>
            </w:pPr>
            <w:r>
              <w:rPr>
                <w:rFonts w:hint="eastAsia" w:ascii="宋体" w:hAnsi="宋体" w:cs="Calibri"/>
                <w:color w:val="auto"/>
                <w:sz w:val="24"/>
                <w:highlight w:val="none"/>
              </w:rPr>
              <w:t>投标人提供</w:t>
            </w:r>
            <w:r>
              <w:rPr>
                <w:rFonts w:hint="eastAsia" w:ascii="宋体" w:hAnsi="宋体" w:cs="Calibri"/>
                <w:color w:val="auto"/>
                <w:sz w:val="24"/>
                <w:highlight w:val="none"/>
                <w:lang w:val="en-US" w:eastAsia="zh-CN"/>
              </w:rPr>
              <w:t>2022</w:t>
            </w:r>
            <w:r>
              <w:rPr>
                <w:rFonts w:hint="eastAsia" w:ascii="宋体" w:hAnsi="宋体" w:cs="Calibri"/>
                <w:color w:val="auto"/>
                <w:sz w:val="24"/>
                <w:highlight w:val="none"/>
              </w:rPr>
              <w:t>年1月1日至今成功实施过</w:t>
            </w:r>
            <w:r>
              <w:rPr>
                <w:rFonts w:hint="eastAsia" w:ascii="宋体" w:hAnsi="宋体" w:cs="Calibri"/>
                <w:color w:val="auto"/>
                <w:sz w:val="24"/>
                <w:highlight w:val="none"/>
                <w:lang w:val="en-US" w:eastAsia="zh-CN"/>
              </w:rPr>
              <w:t>15万元及以上的家具采购</w:t>
            </w:r>
            <w:r>
              <w:rPr>
                <w:rFonts w:hint="eastAsia" w:ascii="宋体" w:hAnsi="宋体" w:cs="Calibri"/>
                <w:color w:val="auto"/>
                <w:sz w:val="24"/>
                <w:highlight w:val="none"/>
              </w:rPr>
              <w:t>业绩的，每提供一个得1分，最多得</w:t>
            </w:r>
            <w:r>
              <w:rPr>
                <w:rFonts w:hint="eastAsia" w:ascii="宋体" w:hAnsi="宋体" w:cs="Calibri"/>
                <w:color w:val="auto"/>
                <w:sz w:val="24"/>
                <w:highlight w:val="none"/>
                <w:lang w:val="en-US" w:eastAsia="zh-CN"/>
              </w:rPr>
              <w:t>3</w:t>
            </w:r>
            <w:r>
              <w:rPr>
                <w:rFonts w:hint="eastAsia" w:ascii="宋体" w:hAnsi="宋体" w:cs="Calibri"/>
                <w:color w:val="auto"/>
                <w:sz w:val="24"/>
                <w:highlight w:val="none"/>
              </w:rPr>
              <w:t>分。(以合同签订日期为准,须同时提供合同扫描件，不提供不得分</w:t>
            </w:r>
            <w:r>
              <w:rPr>
                <w:rFonts w:hint="eastAsia" w:ascii="宋体" w:hAnsi="宋体" w:cs="Calibri"/>
                <w:color w:val="auto"/>
                <w:sz w:val="24"/>
                <w:highlight w:val="none"/>
                <w:lang w:eastAsia="zh-CN"/>
              </w:rPr>
              <w:t>）</w:t>
            </w:r>
            <w:r>
              <w:rPr>
                <w:rFonts w:hint="eastAsia" w:ascii="宋体" w:hAnsi="宋体" w:cs="Calibri"/>
                <w:color w:val="auto"/>
                <w:sz w:val="24"/>
                <w:highlight w:val="none"/>
              </w:rPr>
              <w:t>。</w:t>
            </w:r>
          </w:p>
        </w:tc>
        <w:tc>
          <w:tcPr>
            <w:tcW w:w="705" w:type="dxa"/>
            <w:tcBorders>
              <w:top w:val="single" w:color="auto" w:sz="4" w:space="0"/>
              <w:left w:val="single" w:color="auto" w:sz="4" w:space="0"/>
              <w:right w:val="single" w:color="auto" w:sz="4" w:space="0"/>
            </w:tcBorders>
            <w:noWrap w:val="0"/>
            <w:vAlign w:val="center"/>
          </w:tcPr>
          <w:p w14:paraId="421BFC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Calibri" w:cs="Calibri"/>
                <w:color w:val="auto"/>
                <w:kern w:val="0"/>
                <w:sz w:val="24"/>
                <w:highlight w:val="none"/>
              </w:rPr>
            </w:pPr>
            <w:r>
              <w:rPr>
                <w:rFonts w:hint="eastAsia" w:ascii="宋体" w:hAnsi="Calibri" w:cs="Calibri"/>
                <w:color w:val="auto"/>
                <w:kern w:val="0"/>
                <w:sz w:val="24"/>
                <w:highlight w:val="none"/>
                <w:lang w:val="en-US" w:eastAsia="zh-CN"/>
              </w:rPr>
              <w:t>3</w:t>
            </w:r>
            <w:r>
              <w:rPr>
                <w:rFonts w:hint="eastAsia" w:ascii="宋体" w:hAnsi="Calibri" w:cs="Calibri"/>
                <w:color w:val="auto"/>
                <w:kern w:val="0"/>
                <w:sz w:val="24"/>
                <w:highlight w:val="none"/>
              </w:rPr>
              <w:t>分</w:t>
            </w:r>
          </w:p>
        </w:tc>
      </w:tr>
      <w:tr w14:paraId="7F05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89" w:type="dxa"/>
            <w:vMerge w:val="restart"/>
            <w:tcBorders>
              <w:top w:val="single" w:color="auto" w:sz="4" w:space="0"/>
              <w:left w:val="single" w:color="auto" w:sz="4" w:space="0"/>
              <w:right w:val="single" w:color="auto" w:sz="4" w:space="0"/>
            </w:tcBorders>
            <w:noWrap w:val="0"/>
            <w:vAlign w:val="center"/>
          </w:tcPr>
          <w:p w14:paraId="7E30BA3A">
            <w:pPr>
              <w:keepNext w:val="0"/>
              <w:keepLines w:val="0"/>
              <w:widowControl/>
              <w:suppressLineNumbers w:val="0"/>
              <w:spacing w:before="0" w:beforeAutospacing="0" w:after="0" w:afterAutospacing="0" w:line="360" w:lineRule="auto"/>
              <w:ind w:left="0" w:right="0"/>
              <w:jc w:val="center"/>
              <w:rPr>
                <w:rFonts w:hint="default" w:ascii="宋体" w:hAnsi="宋体" w:cs="Calibri"/>
                <w:b/>
                <w:color w:val="auto"/>
                <w:sz w:val="24"/>
                <w:highlight w:val="none"/>
              </w:rPr>
            </w:pPr>
            <w:r>
              <w:rPr>
                <w:rFonts w:hint="eastAsia" w:ascii="宋体" w:hAnsi="宋体" w:cs="Calibri"/>
                <w:b/>
                <w:color w:val="auto"/>
                <w:sz w:val="24"/>
                <w:highlight w:val="none"/>
              </w:rPr>
              <w:t>技术方案性能及措施29分</w:t>
            </w:r>
          </w:p>
        </w:tc>
        <w:tc>
          <w:tcPr>
            <w:tcW w:w="7505" w:type="dxa"/>
            <w:tcBorders>
              <w:top w:val="single" w:color="auto" w:sz="4" w:space="0"/>
              <w:left w:val="single" w:color="auto" w:sz="4" w:space="0"/>
              <w:bottom w:val="single" w:color="auto" w:sz="4" w:space="0"/>
              <w:right w:val="single" w:color="auto" w:sz="4" w:space="0"/>
            </w:tcBorders>
            <w:noWrap w:val="0"/>
            <w:vAlign w:val="top"/>
          </w:tcPr>
          <w:p w14:paraId="67C3DA87">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根据投标人提供的确保工期的方案和措施，由专家进行综合打分）。</w:t>
            </w:r>
          </w:p>
          <w:p w14:paraId="2D6E2DDE">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（优得5.0-3.4分，良好得3.3-1.7分，一般得1.6-0</w:t>
            </w:r>
            <w:r>
              <w:rPr>
                <w:rFonts w:hint="eastAsia" w:ascii="宋体" w:hAnsi="宋体" w:cs="Calibri"/>
                <w:color w:val="auto"/>
                <w:sz w:val="24"/>
                <w:highlight w:val="none"/>
                <w:lang w:val="en-US" w:eastAsia="zh-CN"/>
              </w:rPr>
              <w:t>.5</w:t>
            </w:r>
            <w:r>
              <w:rPr>
                <w:rFonts w:hint="eastAsia" w:ascii="宋体" w:hAnsi="宋体" w:cs="Calibri"/>
                <w:color w:val="auto"/>
                <w:sz w:val="24"/>
                <w:highlight w:val="none"/>
              </w:rPr>
              <w:t>分。）</w:t>
            </w:r>
          </w:p>
          <w:p w14:paraId="0AA07388">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lang w:val="en-US" w:eastAsia="zh-CN"/>
              </w:rPr>
              <w:t>注：未提供不得分。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82F12D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5分</w:t>
            </w:r>
          </w:p>
        </w:tc>
      </w:tr>
      <w:tr w14:paraId="19CA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89" w:type="dxa"/>
            <w:vMerge w:val="continue"/>
            <w:tcBorders>
              <w:left w:val="single" w:color="auto" w:sz="4" w:space="0"/>
              <w:right w:val="single" w:color="auto" w:sz="4" w:space="0"/>
            </w:tcBorders>
            <w:noWrap w:val="0"/>
            <w:vAlign w:val="center"/>
          </w:tcPr>
          <w:p w14:paraId="4C565A9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Calibri" w:hAnsi="Calibri" w:cs="Calibri"/>
                <w:color w:val="auto"/>
                <w:highlight w:val="none"/>
              </w:rPr>
            </w:pPr>
          </w:p>
        </w:tc>
        <w:tc>
          <w:tcPr>
            <w:tcW w:w="7505" w:type="dxa"/>
            <w:tcBorders>
              <w:top w:val="single" w:color="auto" w:sz="4" w:space="0"/>
              <w:left w:val="single" w:color="auto" w:sz="4" w:space="0"/>
              <w:bottom w:val="single" w:color="auto" w:sz="4" w:space="0"/>
              <w:right w:val="single" w:color="auto" w:sz="4" w:space="0"/>
            </w:tcBorders>
            <w:noWrap w:val="0"/>
            <w:vAlign w:val="top"/>
          </w:tcPr>
          <w:p w14:paraId="7BAEBDBC">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根据投标人提供的保证质量的技术方案和措施，由专家进行综合打分。</w:t>
            </w:r>
          </w:p>
          <w:p w14:paraId="581D2420">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（优得5.0-3.4分，良好得3.3-1.7分，一般得1.6-0</w:t>
            </w:r>
            <w:r>
              <w:rPr>
                <w:rFonts w:hint="eastAsia" w:ascii="宋体" w:hAnsi="宋体" w:cs="Calibri"/>
                <w:color w:val="auto"/>
                <w:sz w:val="24"/>
                <w:highlight w:val="none"/>
                <w:lang w:val="en-US" w:eastAsia="zh-CN"/>
              </w:rPr>
              <w:t>.5</w:t>
            </w:r>
            <w:r>
              <w:rPr>
                <w:rFonts w:hint="eastAsia" w:ascii="宋体" w:hAnsi="宋体" w:cs="Calibri"/>
                <w:color w:val="auto"/>
                <w:sz w:val="24"/>
                <w:highlight w:val="none"/>
              </w:rPr>
              <w:t>分。）</w:t>
            </w:r>
          </w:p>
          <w:p w14:paraId="4D3FB5B1">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lang w:val="en-US" w:eastAsia="zh-CN"/>
              </w:rPr>
              <w:t>注：未提供不得分。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D37F88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5分</w:t>
            </w:r>
          </w:p>
        </w:tc>
      </w:tr>
      <w:tr w14:paraId="3B4F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89" w:type="dxa"/>
            <w:vMerge w:val="continue"/>
            <w:tcBorders>
              <w:left w:val="single" w:color="auto" w:sz="4" w:space="0"/>
              <w:right w:val="single" w:color="auto" w:sz="4" w:space="0"/>
            </w:tcBorders>
            <w:noWrap w:val="0"/>
            <w:vAlign w:val="center"/>
          </w:tcPr>
          <w:p w14:paraId="66D68D2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p>
        </w:tc>
        <w:tc>
          <w:tcPr>
            <w:tcW w:w="7505" w:type="dxa"/>
            <w:tcBorders>
              <w:top w:val="single" w:color="auto" w:sz="4" w:space="0"/>
              <w:left w:val="single" w:color="auto" w:sz="4" w:space="0"/>
              <w:bottom w:val="single" w:color="auto" w:sz="4" w:space="0"/>
              <w:right w:val="single" w:color="auto" w:sz="4" w:space="0"/>
            </w:tcBorders>
            <w:noWrap w:val="0"/>
            <w:vAlign w:val="top"/>
          </w:tcPr>
          <w:p w14:paraId="6941B724">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根据投标人提供的确保供应货物质量的设施及措施，由专家进行综合打分。</w:t>
            </w:r>
          </w:p>
          <w:p w14:paraId="477D2373">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（优得5.0-3.4分，良好得3.3-1.7分，一般得1.6-0</w:t>
            </w:r>
            <w:r>
              <w:rPr>
                <w:rFonts w:hint="eastAsia" w:ascii="宋体" w:hAnsi="宋体" w:cs="Calibri"/>
                <w:color w:val="auto"/>
                <w:sz w:val="24"/>
                <w:highlight w:val="none"/>
                <w:lang w:val="en-US" w:eastAsia="zh-CN"/>
              </w:rPr>
              <w:t>.5</w:t>
            </w:r>
            <w:r>
              <w:rPr>
                <w:rFonts w:hint="eastAsia" w:ascii="宋体" w:hAnsi="宋体" w:cs="Calibri"/>
                <w:color w:val="auto"/>
                <w:sz w:val="24"/>
                <w:highlight w:val="none"/>
              </w:rPr>
              <w:t>分。）</w:t>
            </w:r>
          </w:p>
          <w:p w14:paraId="66A2BEB3">
            <w:pPr>
              <w:keepNext w:val="0"/>
              <w:keepLines w:val="0"/>
              <w:suppressLineNumbers w:val="0"/>
              <w:spacing w:before="0" w:beforeAutospacing="0" w:after="0" w:afterAutospacing="0" w:line="360" w:lineRule="exact"/>
              <w:ind w:left="0" w:right="0"/>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注：未提供不得分。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B99147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5分</w:t>
            </w:r>
          </w:p>
        </w:tc>
      </w:tr>
      <w:tr w14:paraId="789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89" w:type="dxa"/>
            <w:vMerge w:val="continue"/>
            <w:tcBorders>
              <w:left w:val="single" w:color="auto" w:sz="4" w:space="0"/>
              <w:right w:val="single" w:color="auto" w:sz="4" w:space="0"/>
            </w:tcBorders>
            <w:noWrap w:val="0"/>
            <w:vAlign w:val="center"/>
          </w:tcPr>
          <w:p w14:paraId="6455375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p>
        </w:tc>
        <w:tc>
          <w:tcPr>
            <w:tcW w:w="7505" w:type="dxa"/>
            <w:tcBorders>
              <w:top w:val="single" w:color="auto" w:sz="4" w:space="0"/>
              <w:left w:val="single" w:color="auto" w:sz="4" w:space="0"/>
              <w:bottom w:val="single" w:color="auto" w:sz="4" w:space="0"/>
              <w:right w:val="single" w:color="auto" w:sz="4" w:space="0"/>
            </w:tcBorders>
            <w:noWrap w:val="0"/>
            <w:vAlign w:val="top"/>
          </w:tcPr>
          <w:p w14:paraId="6257216C">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根据投标人提供的保证项目实施的技术力量和人力资源安排是否充足，由专家进行综合打分。</w:t>
            </w:r>
          </w:p>
          <w:p w14:paraId="354BD30B">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（优得4.0-3.0分，良好得2.9-2.0分，一般得1.9-1.0分）</w:t>
            </w:r>
          </w:p>
          <w:p w14:paraId="5F7D9D28">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lang w:val="en-US" w:eastAsia="zh-CN"/>
              </w:rPr>
              <w:t>注：未提供不得分。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0E9478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4分</w:t>
            </w:r>
          </w:p>
        </w:tc>
      </w:tr>
      <w:tr w14:paraId="543F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89" w:type="dxa"/>
            <w:vMerge w:val="continue"/>
            <w:tcBorders>
              <w:left w:val="single" w:color="auto" w:sz="4" w:space="0"/>
              <w:bottom w:val="single" w:color="auto" w:sz="4" w:space="0"/>
              <w:right w:val="single" w:color="auto" w:sz="4" w:space="0"/>
            </w:tcBorders>
            <w:noWrap w:val="0"/>
            <w:vAlign w:val="center"/>
          </w:tcPr>
          <w:p w14:paraId="4C9E058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b/>
                <w:color w:val="auto"/>
                <w:sz w:val="24"/>
                <w:highlight w:val="none"/>
              </w:rPr>
            </w:pPr>
          </w:p>
        </w:tc>
        <w:tc>
          <w:tcPr>
            <w:tcW w:w="7505" w:type="dxa"/>
            <w:tcBorders>
              <w:top w:val="single" w:color="auto" w:sz="4" w:space="0"/>
              <w:left w:val="single" w:color="auto" w:sz="4" w:space="0"/>
              <w:bottom w:val="single" w:color="auto" w:sz="4" w:space="0"/>
              <w:right w:val="single" w:color="auto" w:sz="4" w:space="0"/>
            </w:tcBorders>
            <w:noWrap w:val="0"/>
            <w:vAlign w:val="top"/>
          </w:tcPr>
          <w:p w14:paraId="3D6ADDA8">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（1）根据</w:t>
            </w:r>
            <w:r>
              <w:rPr>
                <w:rFonts w:hint="eastAsia" w:ascii="宋体" w:hAnsi="宋体" w:cs="Calibri"/>
                <w:color w:val="auto"/>
                <w:sz w:val="24"/>
                <w:highlight w:val="none"/>
                <w:lang w:val="en-US" w:eastAsia="zh-CN"/>
              </w:rPr>
              <w:t>采购人</w:t>
            </w:r>
            <w:r>
              <w:rPr>
                <w:rFonts w:hint="eastAsia" w:ascii="宋体" w:hAnsi="宋体" w:cs="Calibri"/>
                <w:color w:val="auto"/>
                <w:sz w:val="24"/>
                <w:highlight w:val="none"/>
              </w:rPr>
              <w:t>提供的</w:t>
            </w:r>
            <w:r>
              <w:rPr>
                <w:rFonts w:hint="eastAsia" w:ascii="宋体" w:hAnsi="宋体" w:cs="Calibri"/>
                <w:color w:val="auto"/>
                <w:sz w:val="24"/>
                <w:highlight w:val="none"/>
                <w:lang w:val="en-US" w:eastAsia="zh-CN"/>
              </w:rPr>
              <w:t>产品示意图</w:t>
            </w:r>
            <w:r>
              <w:rPr>
                <w:rFonts w:hint="eastAsia" w:ascii="宋体" w:hAnsi="宋体" w:cs="Calibri"/>
                <w:color w:val="auto"/>
                <w:sz w:val="24"/>
                <w:highlight w:val="none"/>
              </w:rPr>
              <w:t>，投标人自行设计</w:t>
            </w:r>
            <w:r>
              <w:rPr>
                <w:rFonts w:hint="eastAsia" w:ascii="宋体" w:hAnsi="宋体" w:cs="Calibri"/>
                <w:b/>
                <w:bCs/>
                <w:color w:val="auto"/>
                <w:sz w:val="24"/>
                <w:highlight w:val="none"/>
              </w:rPr>
              <w:t>家具的纸质平面、立面、剖面图、底面图及连接件节点大样图等</w:t>
            </w:r>
            <w:r>
              <w:rPr>
                <w:rFonts w:hint="eastAsia" w:ascii="宋体" w:hAnsi="宋体" w:cs="Calibri"/>
                <w:color w:val="auto"/>
                <w:sz w:val="24"/>
                <w:highlight w:val="none"/>
              </w:rPr>
              <w:t>横向比较投标人投标文件的技术指标响应性情况综合打分。（优得5.0</w:t>
            </w:r>
            <w:r>
              <w:rPr>
                <w:rFonts w:hint="eastAsia" w:ascii="宋体" w:hAnsi="宋体" w:cs="Calibri"/>
                <w:color w:val="auto"/>
                <w:sz w:val="24"/>
                <w:highlight w:val="none"/>
                <w:lang w:val="en-US" w:eastAsia="zh-CN"/>
              </w:rPr>
              <w:t>-</w:t>
            </w:r>
            <w:r>
              <w:rPr>
                <w:rFonts w:hint="eastAsia" w:ascii="宋体" w:hAnsi="宋体" w:cs="Calibri"/>
                <w:color w:val="auto"/>
                <w:sz w:val="24"/>
                <w:highlight w:val="none"/>
              </w:rPr>
              <w:t>3.5分，良好得2.0-3.4分，一般得0.5-1.9分。）</w:t>
            </w:r>
          </w:p>
          <w:p w14:paraId="23AEAC57">
            <w:pPr>
              <w:keepNext w:val="0"/>
              <w:keepLines w:val="0"/>
              <w:suppressLineNumbers w:val="0"/>
              <w:spacing w:before="0" w:beforeAutospacing="0" w:after="0" w:afterAutospacing="0" w:line="360" w:lineRule="exact"/>
              <w:ind w:left="0" w:right="0"/>
              <w:rPr>
                <w:rFonts w:hint="eastAsia" w:ascii="宋体" w:hAnsi="宋体" w:cs="Calibri"/>
                <w:b/>
                <w:color w:val="auto"/>
                <w:sz w:val="24"/>
                <w:highlight w:val="none"/>
              </w:rPr>
            </w:pPr>
            <w:r>
              <w:rPr>
                <w:rFonts w:hint="eastAsia" w:ascii="宋体" w:hAnsi="宋体" w:cs="Calibri"/>
                <w:color w:val="auto"/>
                <w:sz w:val="24"/>
                <w:highlight w:val="none"/>
              </w:rPr>
              <w:t>（2）根据投标人的技术需求响应表评审，符合明确指标参数得5分。对货物性能指标及技术参数负偏离的，每项扣1分，</w:t>
            </w:r>
            <w:r>
              <w:rPr>
                <w:rFonts w:hint="eastAsia" w:ascii="宋体" w:hAnsi="宋体" w:cs="Calibri"/>
                <w:b/>
                <w:bCs/>
                <w:color w:val="auto"/>
                <w:sz w:val="24"/>
                <w:highlight w:val="none"/>
              </w:rPr>
              <w:t>负偏离达到5项（含）及以上的，作无效标处理。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B03B83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Calibri"/>
                <w:b/>
                <w:color w:val="auto"/>
                <w:sz w:val="24"/>
                <w:highlight w:val="none"/>
              </w:rPr>
            </w:pPr>
            <w:r>
              <w:rPr>
                <w:rFonts w:hint="eastAsia" w:ascii="宋体" w:hAnsi="宋体" w:cs="Calibri"/>
                <w:bCs/>
                <w:color w:val="auto"/>
                <w:sz w:val="24"/>
                <w:highlight w:val="none"/>
              </w:rPr>
              <w:t>10分</w:t>
            </w:r>
          </w:p>
        </w:tc>
      </w:tr>
      <w:tr w14:paraId="201B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189" w:type="dxa"/>
            <w:tcBorders>
              <w:top w:val="single" w:color="auto" w:sz="4" w:space="0"/>
              <w:left w:val="single" w:color="auto" w:sz="4" w:space="0"/>
              <w:right w:val="single" w:color="auto" w:sz="4" w:space="0"/>
            </w:tcBorders>
            <w:noWrap w:val="0"/>
            <w:vAlign w:val="center"/>
          </w:tcPr>
          <w:p w14:paraId="0C2DE279">
            <w:pPr>
              <w:keepNext w:val="0"/>
              <w:keepLines w:val="0"/>
              <w:widowControl/>
              <w:suppressLineNumbers w:val="0"/>
              <w:spacing w:before="0" w:beforeAutospacing="0" w:after="0" w:afterAutospacing="0" w:line="360" w:lineRule="auto"/>
              <w:ind w:left="0" w:right="0"/>
              <w:jc w:val="center"/>
              <w:rPr>
                <w:rFonts w:hint="eastAsia" w:ascii="宋体" w:hAnsi="宋体" w:cs="Calibri"/>
                <w:b/>
                <w:color w:val="auto"/>
                <w:sz w:val="24"/>
                <w:highlight w:val="none"/>
              </w:rPr>
            </w:pPr>
            <w:r>
              <w:rPr>
                <w:rFonts w:hint="eastAsia" w:ascii="宋体" w:hAnsi="宋体" w:cs="Calibri"/>
                <w:b/>
                <w:color w:val="auto"/>
                <w:sz w:val="24"/>
                <w:highlight w:val="none"/>
              </w:rPr>
              <w:t>售后服务分</w:t>
            </w:r>
            <w:r>
              <w:rPr>
                <w:rFonts w:hint="eastAsia" w:ascii="宋体" w:hAnsi="宋体" w:cs="Calibri"/>
                <w:b/>
                <w:color w:val="auto"/>
                <w:sz w:val="24"/>
                <w:highlight w:val="none"/>
                <w:lang w:val="en-US" w:eastAsia="zh-CN"/>
              </w:rPr>
              <w:t>3</w:t>
            </w:r>
            <w:r>
              <w:rPr>
                <w:rFonts w:hint="eastAsia" w:ascii="宋体" w:hAnsi="宋体" w:cs="Calibri"/>
                <w:b/>
                <w:color w:val="auto"/>
                <w:sz w:val="24"/>
                <w:highlight w:val="none"/>
              </w:rPr>
              <w:t>分</w:t>
            </w:r>
          </w:p>
        </w:tc>
        <w:tc>
          <w:tcPr>
            <w:tcW w:w="7505" w:type="dxa"/>
            <w:tcBorders>
              <w:top w:val="single" w:color="auto" w:sz="4" w:space="0"/>
              <w:left w:val="single" w:color="auto" w:sz="4" w:space="0"/>
              <w:right w:val="single" w:color="auto" w:sz="4" w:space="0"/>
            </w:tcBorders>
            <w:noWrap w:val="0"/>
            <w:vAlign w:val="center"/>
          </w:tcPr>
          <w:p w14:paraId="65BF392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Calibri"/>
                <w:color w:val="auto"/>
                <w:sz w:val="24"/>
                <w:highlight w:val="none"/>
              </w:rPr>
            </w:pPr>
            <w:r>
              <w:rPr>
                <w:rFonts w:hint="eastAsia" w:ascii="宋体" w:hAnsi="宋体" w:cs="Calibri"/>
                <w:color w:val="auto"/>
                <w:sz w:val="24"/>
                <w:highlight w:val="none"/>
              </w:rPr>
              <w:t>整体质保期在</w:t>
            </w:r>
            <w:r>
              <w:rPr>
                <w:rFonts w:hint="eastAsia" w:ascii="宋体" w:hAnsi="宋体" w:cs="Calibri"/>
                <w:color w:val="auto"/>
                <w:sz w:val="24"/>
                <w:highlight w:val="none"/>
                <w:lang w:val="en-US" w:eastAsia="zh-CN"/>
              </w:rPr>
              <w:t>三</w:t>
            </w:r>
            <w:r>
              <w:rPr>
                <w:rFonts w:hint="eastAsia" w:ascii="宋体" w:hAnsi="宋体" w:cs="Calibri"/>
                <w:color w:val="auto"/>
                <w:sz w:val="24"/>
                <w:highlight w:val="none"/>
              </w:rPr>
              <w:t>年的基础上，每延长一年得1分，最多得</w:t>
            </w:r>
            <w:r>
              <w:rPr>
                <w:rFonts w:hint="eastAsia" w:ascii="宋体" w:hAnsi="宋体" w:cs="Calibri"/>
                <w:color w:val="auto"/>
                <w:sz w:val="24"/>
                <w:highlight w:val="none"/>
                <w:lang w:val="en-US" w:eastAsia="zh-CN"/>
              </w:rPr>
              <w:t>3</w:t>
            </w:r>
            <w:r>
              <w:rPr>
                <w:rFonts w:hint="eastAsia" w:ascii="宋体" w:hAnsi="宋体" w:cs="Calibri"/>
                <w:color w:val="auto"/>
                <w:sz w:val="24"/>
                <w:highlight w:val="none"/>
              </w:rPr>
              <w:t>分，延长时间不足一年的不得分。</w:t>
            </w:r>
          </w:p>
        </w:tc>
        <w:tc>
          <w:tcPr>
            <w:tcW w:w="705" w:type="dxa"/>
            <w:tcBorders>
              <w:top w:val="single" w:color="auto" w:sz="4" w:space="0"/>
              <w:left w:val="single" w:color="auto" w:sz="4" w:space="0"/>
              <w:right w:val="single" w:color="auto" w:sz="4" w:space="0"/>
            </w:tcBorders>
            <w:noWrap w:val="0"/>
            <w:vAlign w:val="center"/>
          </w:tcPr>
          <w:p w14:paraId="6EBFE59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3</w:t>
            </w:r>
            <w:r>
              <w:rPr>
                <w:rFonts w:hint="eastAsia" w:ascii="宋体" w:hAnsi="宋体" w:cs="Calibri"/>
                <w:color w:val="auto"/>
                <w:sz w:val="24"/>
                <w:highlight w:val="none"/>
              </w:rPr>
              <w:t>分</w:t>
            </w:r>
          </w:p>
        </w:tc>
      </w:tr>
    </w:tbl>
    <w:p w14:paraId="418A902C">
      <w:pPr>
        <w:spacing w:line="360" w:lineRule="auto"/>
        <w:ind w:firstLine="472" w:firstLineChars="196"/>
        <w:rPr>
          <w:rFonts w:hint="eastAsia" w:ascii="宋体" w:hAnsi="宋体"/>
          <w:b/>
          <w:color w:val="auto"/>
          <w:sz w:val="24"/>
          <w:highlight w:val="none"/>
        </w:rPr>
      </w:pPr>
      <w:r>
        <w:rPr>
          <w:rFonts w:hint="eastAsia" w:ascii="宋体" w:hAnsi="宋体"/>
          <w:b/>
          <w:bCs/>
          <w:color w:val="auto"/>
          <w:sz w:val="24"/>
          <w:highlight w:val="none"/>
        </w:rPr>
        <w:t>（三）样品评审（20</w:t>
      </w:r>
      <w:r>
        <w:rPr>
          <w:rFonts w:hint="eastAsia" w:ascii="宋体" w:hAnsi="宋体"/>
          <w:b/>
          <w:color w:val="auto"/>
          <w:sz w:val="24"/>
          <w:highlight w:val="none"/>
        </w:rPr>
        <w:t>分）</w:t>
      </w:r>
    </w:p>
    <w:p w14:paraId="6FF91AAA">
      <w:pPr>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样品分按照评标委员会成员的独立评分结果取平均值，为投标人的样品得分。（评委评分结果每项保留1位小数，第2位四舍五入；平均值小数点后保留2位，第3位四舍五入）。</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0"/>
        <w:gridCol w:w="1006"/>
        <w:gridCol w:w="6168"/>
      </w:tblGrid>
      <w:tr w14:paraId="37F2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14:paraId="6220A7AA">
            <w:pPr>
              <w:keepNext w:val="0"/>
              <w:keepLines w:val="0"/>
              <w:suppressLineNumbers w:val="0"/>
              <w:spacing w:before="0" w:beforeAutospacing="0" w:after="0" w:afterAutospacing="0" w:line="360" w:lineRule="auto"/>
              <w:ind w:left="0" w:right="0"/>
              <w:jc w:val="center"/>
              <w:rPr>
                <w:rFonts w:hint="eastAsia" w:ascii="宋体" w:hAnsi="宋体" w:cs="Calibri"/>
                <w:b/>
                <w:bCs/>
                <w:color w:val="auto"/>
                <w:sz w:val="24"/>
                <w:highlight w:val="none"/>
              </w:rPr>
            </w:pPr>
            <w:r>
              <w:rPr>
                <w:rFonts w:hint="eastAsia" w:ascii="宋体" w:hAnsi="宋体" w:cs="Calibri"/>
                <w:b/>
                <w:bCs/>
                <w:color w:val="auto"/>
                <w:sz w:val="24"/>
                <w:highlight w:val="none"/>
              </w:rPr>
              <w:t>序号</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031DBB4E">
            <w:pPr>
              <w:keepNext w:val="0"/>
              <w:keepLines w:val="0"/>
              <w:suppressLineNumbers w:val="0"/>
              <w:spacing w:before="0" w:beforeAutospacing="0" w:after="0" w:afterAutospacing="0" w:line="360" w:lineRule="auto"/>
              <w:ind w:left="0" w:right="0"/>
              <w:jc w:val="center"/>
              <w:rPr>
                <w:rFonts w:hint="eastAsia" w:ascii="宋体" w:hAnsi="宋体" w:cs="Calibri"/>
                <w:b/>
                <w:bCs/>
                <w:color w:val="auto"/>
                <w:sz w:val="24"/>
                <w:highlight w:val="none"/>
              </w:rPr>
            </w:pPr>
            <w:r>
              <w:rPr>
                <w:rFonts w:hint="eastAsia" w:ascii="宋体" w:hAnsi="宋体" w:cs="Calibri"/>
                <w:b/>
                <w:bCs/>
                <w:color w:val="auto"/>
                <w:sz w:val="24"/>
                <w:highlight w:val="none"/>
              </w:rPr>
              <w:t>评分内容</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5B65BFAF">
            <w:pPr>
              <w:keepNext w:val="0"/>
              <w:keepLines w:val="0"/>
              <w:suppressLineNumbers w:val="0"/>
              <w:spacing w:before="0" w:beforeAutospacing="0" w:after="0" w:afterAutospacing="0" w:line="360" w:lineRule="auto"/>
              <w:ind w:left="0" w:right="0"/>
              <w:jc w:val="center"/>
              <w:rPr>
                <w:rFonts w:hint="eastAsia" w:ascii="宋体" w:hAnsi="宋体" w:cs="Calibri"/>
                <w:b/>
                <w:bCs/>
                <w:color w:val="auto"/>
                <w:sz w:val="24"/>
                <w:highlight w:val="none"/>
              </w:rPr>
            </w:pPr>
            <w:r>
              <w:rPr>
                <w:rFonts w:hint="eastAsia" w:ascii="宋体" w:hAnsi="宋体" w:cs="Calibri"/>
                <w:b/>
                <w:bCs/>
                <w:color w:val="auto"/>
                <w:sz w:val="24"/>
                <w:highlight w:val="none"/>
              </w:rPr>
              <w:t>分值</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0B2793A6">
            <w:pPr>
              <w:keepNext w:val="0"/>
              <w:keepLines w:val="0"/>
              <w:suppressLineNumbers w:val="0"/>
              <w:spacing w:before="0" w:beforeAutospacing="0" w:after="0" w:afterAutospacing="0" w:line="360" w:lineRule="auto"/>
              <w:ind w:left="0" w:right="0" w:firstLine="472" w:firstLineChars="196"/>
              <w:jc w:val="center"/>
              <w:rPr>
                <w:rFonts w:hint="eastAsia" w:ascii="宋体" w:hAnsi="宋体" w:cs="Calibri"/>
                <w:b/>
                <w:bCs/>
                <w:color w:val="auto"/>
                <w:sz w:val="24"/>
                <w:highlight w:val="none"/>
              </w:rPr>
            </w:pPr>
            <w:r>
              <w:rPr>
                <w:rFonts w:hint="eastAsia" w:ascii="宋体" w:hAnsi="宋体" w:cs="Calibri"/>
                <w:b/>
                <w:bCs/>
                <w:color w:val="auto"/>
                <w:sz w:val="24"/>
                <w:highlight w:val="none"/>
              </w:rPr>
              <w:t>评  分  标  准</w:t>
            </w:r>
          </w:p>
        </w:tc>
      </w:tr>
      <w:tr w14:paraId="1E92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14:paraId="79DF5F05">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1</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0C7A5D17">
            <w:pPr>
              <w:keepNext w:val="0"/>
              <w:keepLines w:val="0"/>
              <w:suppressLineNumbers w:val="0"/>
              <w:spacing w:before="0" w:beforeAutospacing="0" w:after="0" w:afterAutospacing="0" w:line="360" w:lineRule="exact"/>
              <w:ind w:left="0" w:right="0" w:firstLine="120" w:firstLineChars="50"/>
              <w:rPr>
                <w:rFonts w:hint="eastAsia" w:ascii="宋体" w:hAnsi="宋体" w:cs="Calibri"/>
                <w:color w:val="auto"/>
                <w:sz w:val="24"/>
                <w:highlight w:val="none"/>
              </w:rPr>
            </w:pPr>
            <w:r>
              <w:rPr>
                <w:rFonts w:hint="eastAsia" w:ascii="宋体" w:hAnsi="宋体" w:cs="Calibri"/>
                <w:color w:val="auto"/>
                <w:sz w:val="24"/>
                <w:highlight w:val="none"/>
              </w:rPr>
              <w:t>样品</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6806EB4B">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20分</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216520CF">
            <w:pPr>
              <w:keepNext w:val="0"/>
              <w:keepLines w:val="0"/>
              <w:suppressLineNumbers w:val="0"/>
              <w:spacing w:before="0" w:beforeAutospacing="0" w:after="0" w:afterAutospacing="0" w:line="360" w:lineRule="exact"/>
              <w:ind w:left="60" w:right="0" w:hanging="60" w:hangingChars="25"/>
              <w:rPr>
                <w:rFonts w:hint="eastAsia" w:ascii="宋体" w:hAnsi="宋体" w:cs="Calibri"/>
                <w:color w:val="auto"/>
                <w:sz w:val="24"/>
                <w:highlight w:val="none"/>
              </w:rPr>
            </w:pPr>
            <w:r>
              <w:rPr>
                <w:rFonts w:hint="eastAsia" w:ascii="宋体" w:hAnsi="宋体" w:cs="Calibri"/>
                <w:color w:val="auto"/>
                <w:sz w:val="24"/>
                <w:highlight w:val="none"/>
              </w:rPr>
              <w:t>评标委员会根据样品与招标需求样品制作工艺及质量及样品生产、工艺；样品材质（板材、油漆等）质量；样品外观及尺寸与招标需求的符合程度；样品整体款式美观、舒适性、结构设计的合理性等情况，按优、良、一般评价。</w:t>
            </w:r>
          </w:p>
          <w:p w14:paraId="03194D7A">
            <w:pPr>
              <w:keepNext w:val="0"/>
              <w:keepLines w:val="0"/>
              <w:suppressLineNumbers w:val="0"/>
              <w:spacing w:before="0" w:beforeAutospacing="0" w:after="0" w:afterAutospacing="0" w:line="360" w:lineRule="exact"/>
              <w:ind w:left="60" w:right="0" w:hanging="60" w:hangingChars="25"/>
              <w:rPr>
                <w:rFonts w:hint="eastAsia" w:ascii="宋体" w:hAnsi="宋体" w:cs="Calibri"/>
                <w:color w:val="auto"/>
                <w:sz w:val="24"/>
                <w:highlight w:val="none"/>
              </w:rPr>
            </w:pPr>
            <w:r>
              <w:rPr>
                <w:rFonts w:hint="eastAsia" w:ascii="宋体" w:hAnsi="宋体" w:cs="Calibri"/>
                <w:b/>
                <w:bCs/>
                <w:color w:val="auto"/>
                <w:sz w:val="24"/>
                <w:highlight w:val="none"/>
              </w:rPr>
              <w:t>注：未提供该样品或该样品不符合招标文件技术要求的该样品不得分。</w:t>
            </w:r>
          </w:p>
        </w:tc>
      </w:tr>
    </w:tbl>
    <w:p w14:paraId="4BC220AD">
      <w:pPr>
        <w:spacing w:line="360" w:lineRule="exact"/>
        <w:rPr>
          <w:rFonts w:cs="宋体"/>
          <w:b/>
          <w:color w:val="auto"/>
          <w:spacing w:val="-4"/>
          <w:kern w:val="2"/>
          <w:szCs w:val="20"/>
          <w:highlight w:val="none"/>
          <w:lang w:bidi="ar"/>
        </w:rPr>
      </w:pPr>
      <w:r>
        <w:rPr>
          <w:rFonts w:hint="eastAsia" w:ascii="宋体" w:hAnsi="宋体"/>
          <w:color w:val="auto"/>
          <w:sz w:val="24"/>
          <w:highlight w:val="none"/>
        </w:rPr>
        <w:t>备注：投标人提供的产品样品要求如下：</w:t>
      </w:r>
    </w:p>
    <w:tbl>
      <w:tblPr>
        <w:tblStyle w:val="38"/>
        <w:tblW w:w="10546"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05"/>
        <w:gridCol w:w="5604"/>
        <w:gridCol w:w="2404"/>
        <w:gridCol w:w="677"/>
      </w:tblGrid>
      <w:tr w14:paraId="294D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14:paraId="43BB76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2"/>
                <w:sz w:val="21"/>
                <w:szCs w:val="21"/>
                <w:highlight w:val="none"/>
                <w:u w:val="none"/>
                <w:lang w:val="en-US" w:eastAsia="zh-CN" w:bidi="ar-SA"/>
              </w:rPr>
            </w:pPr>
            <w:r>
              <w:rPr>
                <w:rFonts w:hint="eastAsia" w:ascii="宋体" w:hAnsi="宋体" w:eastAsia="宋体" w:cs="宋体"/>
                <w:b w:val="0"/>
                <w:bCs/>
                <w:i w:val="0"/>
                <w:color w:val="auto"/>
                <w:kern w:val="2"/>
                <w:sz w:val="21"/>
                <w:szCs w:val="21"/>
                <w:highlight w:val="none"/>
                <w:u w:val="none"/>
                <w:lang w:val="en-US" w:eastAsia="zh-CN" w:bidi="ar-SA"/>
              </w:rPr>
              <w:t>样品号</w:t>
            </w:r>
          </w:p>
        </w:tc>
        <w:tc>
          <w:tcPr>
            <w:tcW w:w="1105" w:type="dxa"/>
            <w:noWrap w:val="0"/>
            <w:vAlign w:val="center"/>
          </w:tcPr>
          <w:p w14:paraId="2E15BDB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产品名称</w:t>
            </w:r>
          </w:p>
        </w:tc>
        <w:tc>
          <w:tcPr>
            <w:tcW w:w="5604" w:type="dxa"/>
            <w:noWrap w:val="0"/>
            <w:vAlign w:val="center"/>
          </w:tcPr>
          <w:p w14:paraId="17C6915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尺寸参数描述</w:t>
            </w:r>
          </w:p>
        </w:tc>
        <w:tc>
          <w:tcPr>
            <w:tcW w:w="2404" w:type="dxa"/>
            <w:noWrap w:val="0"/>
            <w:vAlign w:val="center"/>
          </w:tcPr>
          <w:p w14:paraId="258312B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产品参考图样</w:t>
            </w:r>
          </w:p>
        </w:tc>
        <w:tc>
          <w:tcPr>
            <w:tcW w:w="677" w:type="dxa"/>
            <w:noWrap w:val="0"/>
            <w:vAlign w:val="center"/>
          </w:tcPr>
          <w:p w14:paraId="093EDF3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数量</w:t>
            </w:r>
          </w:p>
        </w:tc>
      </w:tr>
      <w:tr w14:paraId="7142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56" w:type="dxa"/>
            <w:noWrap w:val="0"/>
            <w:vAlign w:val="center"/>
          </w:tcPr>
          <w:p w14:paraId="4990E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5" w:type="dxa"/>
            <w:noWrap w:val="0"/>
            <w:vAlign w:val="center"/>
          </w:tcPr>
          <w:p w14:paraId="78E33C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20"/>
                <w:szCs w:val="20"/>
                <w:highlight w:val="none"/>
                <w:u w:val="none"/>
                <w:lang w:val="en-US" w:eastAsia="zh-CN" w:bidi="ar"/>
              </w:rPr>
              <w:t>餐桌</w:t>
            </w:r>
          </w:p>
        </w:tc>
        <w:tc>
          <w:tcPr>
            <w:tcW w:w="5604" w:type="dxa"/>
            <w:noWrap w:val="0"/>
            <w:vAlign w:val="center"/>
          </w:tcPr>
          <w:p w14:paraId="067EF7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1.台面:采用≥12mm厚岩板,四角R50倒圆处理,四周边部倒R3圆角；</w:t>
            </w:r>
          </w:p>
          <w:p w14:paraId="0D069C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2.下脚：白蜡木：符合国标；</w:t>
            </w:r>
          </w:p>
          <w:p w14:paraId="4F43E0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3.木皮：符合国标，厚度≥0.8mm；</w:t>
            </w:r>
          </w:p>
          <w:p w14:paraId="683AD6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4.水性漆：符合国标。</w:t>
            </w:r>
          </w:p>
          <w:p w14:paraId="60EBBD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5.尺寸：800*800*760 mm</w:t>
            </w:r>
          </w:p>
          <w:p w14:paraId="1A45D1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18"/>
                <w:szCs w:val="18"/>
                <w:highlight w:val="none"/>
                <w:u w:val="none"/>
                <w:lang w:val="en-US" w:eastAsia="zh-CN" w:bidi="ar-SA"/>
              </w:rPr>
            </w:pPr>
          </w:p>
        </w:tc>
        <w:tc>
          <w:tcPr>
            <w:tcW w:w="2404" w:type="dxa"/>
            <w:noWrap w:val="0"/>
            <w:vAlign w:val="center"/>
          </w:tcPr>
          <w:p w14:paraId="1559F4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default"/>
                <w:highlight w:val="none"/>
              </w:rPr>
              <w:drawing>
                <wp:inline distT="0" distB="0" distL="114300" distR="114300">
                  <wp:extent cx="1285875" cy="1191260"/>
                  <wp:effectExtent l="0" t="0" r="9525" b="889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31"/>
                          <a:stretch>
                            <a:fillRect/>
                          </a:stretch>
                        </pic:blipFill>
                        <pic:spPr>
                          <a:xfrm>
                            <a:off x="0" y="0"/>
                            <a:ext cx="1285875" cy="1191260"/>
                          </a:xfrm>
                          <a:prstGeom prst="rect">
                            <a:avLst/>
                          </a:prstGeom>
                        </pic:spPr>
                      </pic:pic>
                    </a:graphicData>
                  </a:graphic>
                </wp:inline>
              </w:drawing>
            </w:r>
          </w:p>
        </w:tc>
        <w:tc>
          <w:tcPr>
            <w:tcW w:w="677" w:type="dxa"/>
            <w:noWrap w:val="0"/>
            <w:vAlign w:val="center"/>
          </w:tcPr>
          <w:p w14:paraId="3C7340E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14:paraId="34EB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6" w:type="dxa"/>
            <w:gridSpan w:val="5"/>
            <w:noWrap w:val="0"/>
            <w:vAlign w:val="center"/>
          </w:tcPr>
          <w:p w14:paraId="7B1B2445">
            <w:pPr>
              <w:keepNext w:val="0"/>
              <w:keepLines w:val="0"/>
              <w:suppressLineNumbers w:val="0"/>
              <w:spacing w:before="0" w:beforeAutospacing="0" w:after="0" w:afterAutospacing="0" w:line="360" w:lineRule="auto"/>
              <w:ind w:left="0" w:right="0"/>
              <w:jc w:val="left"/>
              <w:rPr>
                <w:rFonts w:hint="default"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评审要求：评标委员会根据投标人提供的样品进行横向比较，外观无缺陷、尺寸误差合理、材质合格、制作工艺尚可的得7.0-5.0分，外观一般、尺寸有误差、材质、制作工艺一般的得4.9-3.0分，外观有缺陷、尺寸误差大、材质及制作工艺差的得2.9-1.0分。</w:t>
            </w:r>
            <w:r>
              <w:rPr>
                <w:rFonts w:hint="eastAsia" w:ascii="宋体" w:hAnsi="宋体" w:cs="宋体"/>
                <w:b/>
                <w:bCs/>
                <w:color w:val="auto"/>
                <w:sz w:val="22"/>
                <w:szCs w:val="22"/>
                <w:highlight w:val="none"/>
                <w:vertAlign w:val="baseline"/>
                <w:lang w:val="en-US" w:eastAsia="zh-CN"/>
              </w:rPr>
              <w:t>未提供不得分。</w:t>
            </w:r>
          </w:p>
          <w:p w14:paraId="2DE32699">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注：所有样品均不得有公司名称、品牌名称、商标标识等任何体现投标供应商的信息，否则样品分作0分处理。</w:t>
            </w:r>
          </w:p>
        </w:tc>
      </w:tr>
      <w:tr w14:paraId="318F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56" w:type="dxa"/>
            <w:noWrap w:val="0"/>
            <w:vAlign w:val="center"/>
          </w:tcPr>
          <w:p w14:paraId="0E2BF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105" w:type="dxa"/>
            <w:noWrap w:val="0"/>
            <w:vAlign w:val="center"/>
          </w:tcPr>
          <w:p w14:paraId="3AB2BF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20"/>
                <w:szCs w:val="20"/>
                <w:highlight w:val="none"/>
                <w:u w:val="none"/>
                <w:lang w:val="en-US" w:eastAsia="zh-CN" w:bidi="ar"/>
              </w:rPr>
              <w:t>餐椅</w:t>
            </w:r>
          </w:p>
        </w:tc>
        <w:tc>
          <w:tcPr>
            <w:tcW w:w="5604" w:type="dxa"/>
            <w:noWrap w:val="0"/>
            <w:vAlign w:val="center"/>
          </w:tcPr>
          <w:p w14:paraId="4368A9E7">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主体框架选用红橡木实木实木制作，采用出榫开槽实结构，粘合全部进口AB铁胶，表面经多次打磨环保油漆覆盖；</w:t>
            </w:r>
          </w:p>
          <w:p w14:paraId="5BF7744A">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尺寸：560*510*750 mm</w:t>
            </w:r>
          </w:p>
        </w:tc>
        <w:tc>
          <w:tcPr>
            <w:tcW w:w="2404" w:type="dxa"/>
            <w:noWrap w:val="0"/>
            <w:vAlign w:val="center"/>
          </w:tcPr>
          <w:p w14:paraId="1576FE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default"/>
                <w:highlight w:val="none"/>
              </w:rPr>
              <w:drawing>
                <wp:inline distT="0" distB="0" distL="114300" distR="114300">
                  <wp:extent cx="1010920" cy="1095375"/>
                  <wp:effectExtent l="0" t="0" r="17780"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32"/>
                          <a:stretch>
                            <a:fillRect/>
                          </a:stretch>
                        </pic:blipFill>
                        <pic:spPr>
                          <a:xfrm>
                            <a:off x="0" y="0"/>
                            <a:ext cx="1010920" cy="1095375"/>
                          </a:xfrm>
                          <a:prstGeom prst="rect">
                            <a:avLst/>
                          </a:prstGeom>
                        </pic:spPr>
                      </pic:pic>
                    </a:graphicData>
                  </a:graphic>
                </wp:inline>
              </w:drawing>
            </w:r>
          </w:p>
        </w:tc>
        <w:tc>
          <w:tcPr>
            <w:tcW w:w="677" w:type="dxa"/>
            <w:noWrap w:val="0"/>
            <w:vAlign w:val="center"/>
          </w:tcPr>
          <w:p w14:paraId="3729BD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14:paraId="1D53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546" w:type="dxa"/>
            <w:gridSpan w:val="5"/>
            <w:noWrap w:val="0"/>
            <w:vAlign w:val="center"/>
          </w:tcPr>
          <w:p w14:paraId="17AE8483">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评审要求：评标委员会根据投标人提供的样品进行横向比较，外观无缺陷、尺寸误差合理、材质合格、制作工艺尚可的得7.0-5.0分，外观一般、尺寸有误差、材质、制作工艺一般的得4.9-3.0分，外观有缺陷、尺寸误差大、材质及制作工艺差的得2.9-1.0分。</w:t>
            </w:r>
            <w:r>
              <w:rPr>
                <w:rFonts w:hint="eastAsia" w:ascii="宋体" w:hAnsi="宋体" w:cs="宋体"/>
                <w:b/>
                <w:bCs/>
                <w:color w:val="auto"/>
                <w:sz w:val="22"/>
                <w:szCs w:val="22"/>
                <w:highlight w:val="none"/>
                <w:vertAlign w:val="baseline"/>
                <w:lang w:val="en-US" w:eastAsia="zh-CN"/>
              </w:rPr>
              <w:t>未提供不得分。</w:t>
            </w:r>
          </w:p>
          <w:p w14:paraId="185A0562">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注：所有样品均不得有公司名称、品牌名称、商标标识等任何体现投标供应商的信息，否则样品分作0分处理。</w:t>
            </w:r>
          </w:p>
        </w:tc>
      </w:tr>
      <w:tr w14:paraId="3EA4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14:paraId="32A54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105" w:type="dxa"/>
            <w:noWrap w:val="0"/>
            <w:vAlign w:val="center"/>
          </w:tcPr>
          <w:p w14:paraId="01FC2A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餐椅</w:t>
            </w:r>
          </w:p>
        </w:tc>
        <w:tc>
          <w:tcPr>
            <w:tcW w:w="5604" w:type="dxa"/>
            <w:noWrap w:val="0"/>
            <w:vAlign w:val="center"/>
          </w:tcPr>
          <w:p w14:paraId="13EBAACA">
            <w:pPr>
              <w:keepNext w:val="0"/>
              <w:keepLines w:val="0"/>
              <w:widowControl/>
              <w:numPr>
                <w:ilvl w:val="0"/>
                <w:numId w:val="7"/>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材质:实木框架/304#无指纹拉丝不锈钢/皮艺/高密度泡棉</w:t>
            </w:r>
          </w:p>
          <w:p w14:paraId="63EDD73A">
            <w:pPr>
              <w:keepNext w:val="0"/>
              <w:keepLines w:val="0"/>
              <w:widowControl/>
              <w:numPr>
                <w:ilvl w:val="0"/>
                <w:numId w:val="7"/>
              </w:numPr>
              <w:suppressLineNumbers w:val="0"/>
              <w:spacing w:before="0" w:beforeAutospacing="0" w:after="0" w:afterAutospacing="0"/>
              <w:ind w:left="0" w:right="0"/>
              <w:jc w:val="left"/>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20"/>
                <w:szCs w:val="20"/>
                <w:highlight w:val="none"/>
                <w:u w:val="none"/>
                <w:lang w:val="en-US" w:eastAsia="zh-CN" w:bidi="ar"/>
              </w:rPr>
              <w:t>常规</w:t>
            </w:r>
          </w:p>
        </w:tc>
        <w:tc>
          <w:tcPr>
            <w:tcW w:w="2404" w:type="dxa"/>
            <w:noWrap w:val="0"/>
            <w:vAlign w:val="center"/>
          </w:tcPr>
          <w:p w14:paraId="67129C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default"/>
                <w:highlight w:val="none"/>
              </w:rPr>
              <w:drawing>
                <wp:inline distT="0" distB="0" distL="114300" distR="114300">
                  <wp:extent cx="1336040" cy="1362710"/>
                  <wp:effectExtent l="0" t="0" r="1651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3"/>
                          <a:stretch>
                            <a:fillRect/>
                          </a:stretch>
                        </pic:blipFill>
                        <pic:spPr>
                          <a:xfrm>
                            <a:off x="0" y="0"/>
                            <a:ext cx="1336040" cy="1362710"/>
                          </a:xfrm>
                          <a:prstGeom prst="rect">
                            <a:avLst/>
                          </a:prstGeom>
                        </pic:spPr>
                      </pic:pic>
                    </a:graphicData>
                  </a:graphic>
                </wp:inline>
              </w:drawing>
            </w:r>
          </w:p>
        </w:tc>
        <w:tc>
          <w:tcPr>
            <w:tcW w:w="677" w:type="dxa"/>
            <w:noWrap w:val="0"/>
            <w:vAlign w:val="center"/>
          </w:tcPr>
          <w:p w14:paraId="4A7C45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14:paraId="276D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546" w:type="dxa"/>
            <w:gridSpan w:val="5"/>
            <w:noWrap w:val="0"/>
            <w:vAlign w:val="center"/>
          </w:tcPr>
          <w:p w14:paraId="11A949F3">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评审要求：评标委员会根据投标人提供的样品进行横向比较，外观无缺陷、尺寸误差合理、材质合格、制作工艺尚可的得6.0-4.0分，外观一般、尺寸有误差、材质、制作工艺一般的得3.9-2.0分，外观有缺陷、尺寸误差大、材质及制作工艺差的得1.9-</w:t>
            </w:r>
            <w:r>
              <w:rPr>
                <w:rFonts w:hint="eastAsia" w:ascii="宋体" w:hAnsi="宋体" w:cs="宋体"/>
                <w:b/>
                <w:bCs/>
                <w:color w:val="auto"/>
                <w:sz w:val="22"/>
                <w:szCs w:val="22"/>
                <w:highlight w:val="none"/>
                <w:vertAlign w:val="baseline"/>
                <w:lang w:val="en-US" w:eastAsia="zh-CN"/>
              </w:rPr>
              <w:t>0.5</w:t>
            </w:r>
            <w:r>
              <w:rPr>
                <w:rFonts w:hint="eastAsia" w:ascii="宋体" w:hAnsi="宋体" w:eastAsia="宋体" w:cs="宋体"/>
                <w:b/>
                <w:bCs/>
                <w:color w:val="auto"/>
                <w:sz w:val="22"/>
                <w:szCs w:val="22"/>
                <w:highlight w:val="none"/>
                <w:vertAlign w:val="baseline"/>
                <w:lang w:val="en-US" w:eastAsia="zh-CN"/>
              </w:rPr>
              <w:t>分。</w:t>
            </w:r>
            <w:r>
              <w:rPr>
                <w:rFonts w:hint="eastAsia" w:ascii="宋体" w:hAnsi="宋体" w:cs="宋体"/>
                <w:b/>
                <w:bCs/>
                <w:color w:val="auto"/>
                <w:sz w:val="22"/>
                <w:szCs w:val="22"/>
                <w:highlight w:val="none"/>
                <w:vertAlign w:val="baseline"/>
                <w:lang w:val="en-US" w:eastAsia="zh-CN"/>
              </w:rPr>
              <w:t>未提供不得分。</w:t>
            </w:r>
          </w:p>
          <w:p w14:paraId="5B4AF065">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注：所有样品均不得有公司名称、品牌名称、商标标识等任何体现投标供应商的信息，否则样品分作0分处理。</w:t>
            </w:r>
          </w:p>
        </w:tc>
      </w:tr>
    </w:tbl>
    <w:p w14:paraId="600278AF">
      <w:pPr>
        <w:pStyle w:val="33"/>
        <w:widowControl w:val="0"/>
        <w:spacing w:before="0" w:beforeAutospacing="0" w:after="0" w:afterAutospacing="0" w:line="360" w:lineRule="auto"/>
        <w:ind w:firstLine="466" w:firstLineChars="200"/>
        <w:jc w:val="both"/>
        <w:rPr>
          <w:rFonts w:cs="宋体"/>
          <w:b/>
          <w:color w:val="auto"/>
          <w:spacing w:val="-4"/>
          <w:kern w:val="2"/>
          <w:szCs w:val="20"/>
          <w:highlight w:val="none"/>
          <w:lang w:bidi="ar"/>
        </w:rPr>
      </w:pPr>
    </w:p>
    <w:p w14:paraId="181ADFBA">
      <w:pPr>
        <w:pStyle w:val="33"/>
        <w:widowControl w:val="0"/>
        <w:spacing w:before="0" w:beforeAutospacing="0" w:after="0" w:afterAutospacing="0" w:line="360" w:lineRule="auto"/>
        <w:ind w:firstLine="466" w:firstLineChars="200"/>
        <w:jc w:val="both"/>
        <w:rPr>
          <w:rFonts w:cs="宋体"/>
          <w:b/>
          <w:bCs/>
          <w:color w:val="auto"/>
          <w:szCs w:val="20"/>
          <w:highlight w:val="none"/>
        </w:rPr>
      </w:pPr>
      <w:r>
        <w:rPr>
          <w:rFonts w:cs="宋体"/>
          <w:b/>
          <w:color w:val="auto"/>
          <w:spacing w:val="-4"/>
          <w:kern w:val="2"/>
          <w:szCs w:val="20"/>
          <w:highlight w:val="none"/>
          <w:lang w:bidi="ar"/>
        </w:rPr>
        <w:t>（四）商务标</w:t>
      </w:r>
      <w:r>
        <w:rPr>
          <w:rFonts w:cs="宋体"/>
          <w:b/>
          <w:bCs/>
          <w:color w:val="auto"/>
          <w:spacing w:val="-4"/>
          <w:kern w:val="2"/>
          <w:szCs w:val="20"/>
          <w:highlight w:val="none"/>
          <w:lang w:bidi="ar"/>
        </w:rPr>
        <w:t>（40分）</w:t>
      </w:r>
    </w:p>
    <w:p w14:paraId="6B910D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1、评标标底价。</w:t>
      </w:r>
    </w:p>
    <w:p w14:paraId="34B4C1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（1）评标标底价的确定</w:t>
      </w:r>
    </w:p>
    <w:p w14:paraId="6C47A0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在所有经评审的有效报价中，取平均价作为评标标底价。</w:t>
      </w:r>
    </w:p>
    <w:p w14:paraId="06400A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（2）商务标得分的确定</w:t>
      </w:r>
    </w:p>
    <w:p w14:paraId="2E2EEC7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的投标报价等于评标标底价的得40分。偏离评标标底价的，每高于评标标底价1个百分点的均扣0.5分，即商务标得分=40-|(投标报价-评标标底价)|/评标标底价*100*0.5；每低于评标标底价1个百分点的均扣0.3分，即商务标得分=40-|(投标报价-评标标底价)|/评标标底价*100*0.3（小数点后保留2位，小数点后第3位四舍五入）。</w:t>
      </w:r>
    </w:p>
    <w:p w14:paraId="2FE9BE18">
      <w:pPr>
        <w:autoSpaceDE w:val="0"/>
        <w:autoSpaceDN w:val="0"/>
        <w:adjustRightInd w:val="0"/>
        <w:spacing w:line="360" w:lineRule="auto"/>
        <w:ind w:right="85"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2、▲本项目采购人设有报价上限，上限价为</w:t>
      </w:r>
      <w:r>
        <w:rPr>
          <w:rFonts w:hint="eastAsia" w:ascii="宋体" w:hAnsi="宋体" w:cs="宋体"/>
          <w:b/>
          <w:bCs/>
          <w:color w:val="auto"/>
          <w:sz w:val="24"/>
          <w:highlight w:val="none"/>
          <w:lang w:val="en-US" w:eastAsia="zh-CN"/>
        </w:rPr>
        <w:t>376977.7</w:t>
      </w:r>
      <w:r>
        <w:rPr>
          <w:rFonts w:hint="eastAsia" w:ascii="宋体" w:hAnsi="宋体" w:cs="宋体"/>
          <w:b/>
          <w:bCs/>
          <w:color w:val="auto"/>
          <w:sz w:val="24"/>
          <w:highlight w:val="none"/>
        </w:rPr>
        <w:t>元，投标报价高于上限价的，作无效标处理。当有效投标人家数不足三家时，本项目重新招标。</w:t>
      </w:r>
    </w:p>
    <w:p w14:paraId="6DC46ADD">
      <w:pPr>
        <w:autoSpaceDE w:val="0"/>
        <w:autoSpaceDN w:val="0"/>
        <w:adjustRightInd w:val="0"/>
        <w:spacing w:line="360" w:lineRule="auto"/>
        <w:ind w:right="85"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3、所有投标人商务报价均超采购预算，本次招标失败，重新组织招标。</w:t>
      </w:r>
    </w:p>
    <w:p w14:paraId="30CAA1FC">
      <w:pPr>
        <w:autoSpaceDE w:val="0"/>
        <w:autoSpaceDN w:val="0"/>
        <w:adjustRightInd w:val="0"/>
        <w:spacing w:line="360" w:lineRule="auto"/>
        <w:ind w:right="85"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4、</w:t>
      </w: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评标委员会认为投标人的报价明显低于其他通过符合性审查投标人的报价，有可能影响产品质量或者不能诚信履约的，应当要求其在评标程序中给予的30分钟的时间内提供书面说明，必要时提交相关证明材料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投标人不能证明其报价合理性的，评标委员会应当将其作为无效投标处理。</w:t>
      </w:r>
    </w:p>
    <w:p w14:paraId="0D5BFE23">
      <w:pPr>
        <w:pStyle w:val="20"/>
        <w:snapToGrid w:val="0"/>
        <w:spacing w:before="120" w:after="120" w:line="360" w:lineRule="auto"/>
        <w:ind w:firstLine="482" w:firstLineChars="200"/>
        <w:rPr>
          <w:rFonts w:hAnsi="宋体"/>
          <w:color w:val="auto"/>
          <w:highlight w:val="none"/>
        </w:rPr>
      </w:pPr>
      <w:r>
        <w:rPr>
          <w:rFonts w:hAnsi="宋体"/>
          <w:color w:val="auto"/>
          <w:highlight w:val="none"/>
        </w:rPr>
        <w:t>5.评审要求</w:t>
      </w:r>
    </w:p>
    <w:p w14:paraId="557D26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（1）对于投标文件中含义不明确、同类问题表述不一致或者有明显文字和计算错误的内容，评标委员会应当要求投标人作出必要的澄清、说明或者补正。</w:t>
      </w:r>
    </w:p>
    <w:p w14:paraId="59E239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（2）投标人的澄清、说明或者补正采用书面形式，并加盖公章或者由法定代表人或授权代表签字，且不得超出投标文件的范围或者改变投标文件的实质性内容。</w:t>
      </w:r>
    </w:p>
    <w:p w14:paraId="780DF63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snapToGrid w:val="0"/>
          <w:color w:val="auto"/>
          <w:sz w:val="24"/>
          <w:szCs w:val="24"/>
          <w:highlight w:val="none"/>
        </w:rPr>
        <w:t>评标</w:t>
      </w:r>
      <w:r>
        <w:rPr>
          <w:rFonts w:hint="eastAsia" w:ascii="宋体" w:hAnsi="宋体" w:eastAsia="宋体" w:cs="宋体"/>
          <w:b/>
          <w:color w:val="auto"/>
          <w:sz w:val="24"/>
          <w:szCs w:val="24"/>
          <w:highlight w:val="none"/>
        </w:rPr>
        <w:t>总得分（满分为100分，最后结果保留2位小数，小数点后第3位四舍五入）</w:t>
      </w:r>
    </w:p>
    <w:p w14:paraId="5A350E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投标人的评标总得分＝</w:t>
      </w:r>
      <w:r>
        <w:rPr>
          <w:rFonts w:hint="eastAsia" w:ascii="宋体" w:hAnsi="宋体"/>
          <w:bCs/>
          <w:color w:val="auto"/>
          <w:spacing w:val="-4"/>
          <w:sz w:val="24"/>
          <w:highlight w:val="none"/>
        </w:rPr>
        <w:t>技术</w:t>
      </w:r>
      <w:r>
        <w:rPr>
          <w:rFonts w:hint="eastAsia" w:ascii="宋体" w:hAnsi="宋体"/>
          <w:bCs/>
          <w:color w:val="auto"/>
          <w:spacing w:val="-4"/>
          <w:sz w:val="24"/>
          <w:highlight w:val="none"/>
          <w:lang w:val="en-US" w:eastAsia="zh-CN"/>
        </w:rPr>
        <w:t>资信</w:t>
      </w:r>
      <w:r>
        <w:rPr>
          <w:rFonts w:hint="eastAsia" w:ascii="宋体" w:hAnsi="宋体"/>
          <w:bCs/>
          <w:color w:val="auto"/>
          <w:spacing w:val="-4"/>
          <w:sz w:val="24"/>
          <w:highlight w:val="none"/>
        </w:rPr>
        <w:t>标得分＋</w:t>
      </w:r>
      <w:r>
        <w:rPr>
          <w:rFonts w:hint="eastAsia" w:ascii="宋体" w:hAnsi="宋体"/>
          <w:color w:val="auto"/>
          <w:sz w:val="24"/>
          <w:highlight w:val="none"/>
        </w:rPr>
        <w:t>样品</w:t>
      </w:r>
      <w:r>
        <w:rPr>
          <w:rFonts w:hint="eastAsia" w:ascii="宋体" w:hAnsi="宋体"/>
          <w:color w:val="auto"/>
          <w:sz w:val="24"/>
          <w:highlight w:val="none"/>
          <w:lang w:val="en-US" w:eastAsia="zh-CN"/>
        </w:rPr>
        <w:t>得</w:t>
      </w:r>
      <w:r>
        <w:rPr>
          <w:rFonts w:hint="eastAsia" w:ascii="宋体" w:hAnsi="宋体"/>
          <w:color w:val="auto"/>
          <w:sz w:val="24"/>
          <w:highlight w:val="none"/>
        </w:rPr>
        <w:t>分</w:t>
      </w:r>
      <w:r>
        <w:rPr>
          <w:rFonts w:hint="eastAsia" w:ascii="宋体" w:hAnsi="宋体"/>
          <w:bCs/>
          <w:color w:val="auto"/>
          <w:spacing w:val="-4"/>
          <w:sz w:val="24"/>
          <w:highlight w:val="none"/>
        </w:rPr>
        <w:t>＋商务标得分</w:t>
      </w:r>
      <w:r>
        <w:rPr>
          <w:rFonts w:hint="eastAsia" w:ascii="宋体" w:hAnsi="宋体" w:eastAsia="宋体" w:cs="宋体"/>
          <w:color w:val="auto"/>
          <w:sz w:val="24"/>
          <w:szCs w:val="24"/>
          <w:highlight w:val="none"/>
        </w:rPr>
        <w:t>。</w:t>
      </w:r>
    </w:p>
    <w:p w14:paraId="39D06D3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中标候选人的确定</w:t>
      </w:r>
    </w:p>
    <w:p w14:paraId="672DD5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评标委员会按评标总得分确定中标候选人，即总得分最高者为第一中标候选人，次高者为第二中标候选人。如出现总得分相同的，按以下优先顺序确定中标候选人推荐次序：</w:t>
      </w:r>
    </w:p>
    <w:p w14:paraId="699F21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技术</w:t>
      </w:r>
      <w:r>
        <w:rPr>
          <w:rFonts w:hint="eastAsia" w:ascii="宋体" w:hAnsi="宋体" w:cs="宋体"/>
          <w:color w:val="auto"/>
          <w:sz w:val="24"/>
          <w:szCs w:val="24"/>
          <w:highlight w:val="none"/>
          <w:lang w:val="en-US" w:eastAsia="zh-CN"/>
        </w:rPr>
        <w:t>资信</w:t>
      </w:r>
      <w:r>
        <w:rPr>
          <w:rFonts w:hint="eastAsia" w:ascii="宋体" w:hAnsi="宋体" w:cs="宋体"/>
          <w:color w:val="auto"/>
          <w:sz w:val="24"/>
          <w:szCs w:val="24"/>
          <w:highlight w:val="none"/>
          <w:lang w:eastAsia="zh-CN"/>
        </w:rPr>
        <w:t>标</w:t>
      </w:r>
      <w:r>
        <w:rPr>
          <w:rFonts w:hint="eastAsia" w:ascii="宋体" w:hAnsi="宋体" w:eastAsia="宋体" w:cs="宋体"/>
          <w:color w:val="auto"/>
          <w:sz w:val="24"/>
          <w:szCs w:val="24"/>
          <w:highlight w:val="none"/>
        </w:rPr>
        <w:t>得分高者；</w:t>
      </w:r>
    </w:p>
    <w:p w14:paraId="6BB600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（二）投标报价低者；</w:t>
      </w:r>
    </w:p>
    <w:p w14:paraId="71DAF6C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（三）抽签确定。</w:t>
      </w:r>
    </w:p>
    <w:p w14:paraId="6682C09C">
      <w:pPr>
        <w:pStyle w:val="27"/>
        <w:spacing w:line="360" w:lineRule="auto"/>
        <w:ind w:firstLine="480"/>
        <w:rPr>
          <w:rFonts w:ascii="黑体" w:eastAsia="黑体"/>
          <w:b/>
          <w:color w:val="auto"/>
          <w:sz w:val="32"/>
          <w:szCs w:val="32"/>
          <w:highlight w:val="none"/>
        </w:rPr>
      </w:pPr>
      <w:r>
        <w:rPr>
          <w:rFonts w:ascii="宋体" w:hAnsi="宋体"/>
          <w:color w:val="auto"/>
          <w:kern w:val="0"/>
          <w:sz w:val="24"/>
          <w:highlight w:val="none"/>
        </w:rPr>
        <w:br w:type="page"/>
      </w:r>
      <w:bookmarkStart w:id="22" w:name="_Toc517158299"/>
      <w:bookmarkStart w:id="23" w:name="第五章"/>
      <w:bookmarkStart w:id="24" w:name="_Toc31340_WPSOffice_Level1"/>
      <w:r>
        <w:rPr>
          <w:rFonts w:hint="eastAsia" w:ascii="黑体" w:eastAsia="黑体"/>
          <w:b/>
          <w:color w:val="auto"/>
          <w:sz w:val="32"/>
          <w:szCs w:val="32"/>
          <w:highlight w:val="none"/>
        </w:rPr>
        <w:t>第五章 合同格式</w:t>
      </w:r>
      <w:bookmarkEnd w:id="22"/>
      <w:bookmarkEnd w:id="23"/>
      <w:bookmarkEnd w:id="24"/>
    </w:p>
    <w:p w14:paraId="59744050">
      <w:pPr>
        <w:pStyle w:val="20"/>
        <w:snapToGrid w:val="0"/>
        <w:spacing w:before="120" w:after="120" w:line="420" w:lineRule="exact"/>
        <w:rPr>
          <w:rFonts w:hAnsi="宋体"/>
          <w:b w:val="0"/>
          <w:bCs/>
          <w:color w:val="auto"/>
          <w:highlight w:val="none"/>
        </w:rPr>
      </w:pPr>
      <w:bookmarkStart w:id="25" w:name="_Toc251160747"/>
      <w:r>
        <w:rPr>
          <w:rFonts w:hAnsi="宋体"/>
          <w:b w:val="0"/>
          <w:bCs/>
          <w:color w:val="auto"/>
          <w:highlight w:val="none"/>
        </w:rPr>
        <w:t>项目名称：</w:t>
      </w:r>
      <w:r>
        <w:rPr>
          <w:rFonts w:hint="eastAsia" w:hAnsi="宋体" w:cs="宋体"/>
          <w:bCs/>
          <w:color w:val="auto"/>
          <w:highlight w:val="none"/>
          <w:u w:val="single"/>
          <w:lang w:eastAsia="zh-CN"/>
        </w:rPr>
        <w:t>台州湾文旅综合体项目餐厅工程（家具采购）</w:t>
      </w:r>
      <w:r>
        <w:rPr>
          <w:rFonts w:hAnsi="宋体"/>
          <w:b w:val="0"/>
          <w:bCs/>
          <w:color w:val="auto"/>
          <w:highlight w:val="none"/>
        </w:rPr>
        <w:t xml:space="preserve">        项目编号：</w:t>
      </w:r>
    </w:p>
    <w:p w14:paraId="690B83A7">
      <w:pPr>
        <w:pStyle w:val="20"/>
        <w:snapToGrid w:val="0"/>
        <w:spacing w:before="120" w:after="120" w:line="420" w:lineRule="exact"/>
        <w:rPr>
          <w:rFonts w:hint="default" w:hAnsi="宋体" w:eastAsia="宋体"/>
          <w:b w:val="0"/>
          <w:bCs/>
          <w:color w:val="auto"/>
          <w:highlight w:val="none"/>
          <w:lang w:val="en-US" w:eastAsia="zh-CN"/>
        </w:rPr>
      </w:pPr>
      <w:r>
        <w:rPr>
          <w:rFonts w:hAnsi="宋体"/>
          <w:b w:val="0"/>
          <w:bCs/>
          <w:color w:val="auto"/>
          <w:highlight w:val="none"/>
        </w:rPr>
        <w:t>甲方：</w:t>
      </w:r>
      <w:r>
        <w:rPr>
          <w:rFonts w:hint="eastAsia" w:hAnsi="宋体"/>
          <w:b w:val="0"/>
          <w:bCs/>
          <w:color w:val="auto"/>
          <w:highlight w:val="none"/>
          <w:lang w:val="en-US" w:eastAsia="zh-CN"/>
        </w:rPr>
        <w:t>浙江台州湾文化旅游发展有限公司</w:t>
      </w:r>
    </w:p>
    <w:p w14:paraId="63291DB9">
      <w:pPr>
        <w:pStyle w:val="20"/>
        <w:snapToGrid w:val="0"/>
        <w:spacing w:before="120" w:after="120" w:line="420" w:lineRule="exact"/>
        <w:rPr>
          <w:rFonts w:hAnsi="宋体"/>
          <w:b w:val="0"/>
          <w:bCs/>
          <w:color w:val="auto"/>
          <w:highlight w:val="none"/>
        </w:rPr>
      </w:pPr>
      <w:r>
        <w:rPr>
          <w:rFonts w:hAnsi="宋体"/>
          <w:b w:val="0"/>
          <w:bCs/>
          <w:color w:val="auto"/>
          <w:highlight w:val="none"/>
        </w:rPr>
        <w:t>乙方：</w:t>
      </w:r>
    </w:p>
    <w:p w14:paraId="11CED615">
      <w:pPr>
        <w:pStyle w:val="20"/>
        <w:snapToGrid w:val="0"/>
        <w:spacing w:before="120" w:after="120" w:line="420" w:lineRule="exact"/>
        <w:rPr>
          <w:rFonts w:hAnsi="宋体"/>
          <w:b w:val="0"/>
          <w:bCs/>
          <w:color w:val="auto"/>
          <w:highlight w:val="none"/>
        </w:rPr>
      </w:pPr>
      <w:r>
        <w:rPr>
          <w:rFonts w:hAnsi="宋体"/>
          <w:b w:val="0"/>
          <w:bCs/>
          <w:color w:val="auto"/>
          <w:highlight w:val="none"/>
        </w:rPr>
        <w:t xml:space="preserve">   甲、乙双方根据</w:t>
      </w:r>
      <w:r>
        <w:rPr>
          <w:rFonts w:hint="eastAsia" w:hAnsi="宋体" w:cs="宋体"/>
          <w:bCs/>
          <w:color w:val="auto"/>
          <w:highlight w:val="none"/>
          <w:u w:val="single"/>
          <w:lang w:eastAsia="zh-CN"/>
        </w:rPr>
        <w:t>台州湾文旅综合体项目餐厅工程（家具采购）</w:t>
      </w:r>
      <w:r>
        <w:rPr>
          <w:rFonts w:hAnsi="宋体"/>
          <w:b w:val="0"/>
          <w:bCs/>
          <w:color w:val="auto"/>
          <w:highlight w:val="none"/>
        </w:rPr>
        <w:t>公开招标的结果，签署本合同。</w:t>
      </w:r>
    </w:p>
    <w:p w14:paraId="1185A173">
      <w:pPr>
        <w:pStyle w:val="20"/>
        <w:snapToGrid w:val="0"/>
        <w:spacing w:before="120" w:after="120" w:line="420" w:lineRule="exact"/>
        <w:rPr>
          <w:rFonts w:hAnsi="宋体"/>
          <w:b w:val="0"/>
          <w:bCs/>
          <w:color w:val="auto"/>
          <w:highlight w:val="none"/>
        </w:rPr>
      </w:pPr>
      <w:r>
        <w:rPr>
          <w:rFonts w:hAnsi="宋体"/>
          <w:b w:val="0"/>
          <w:bCs/>
          <w:color w:val="auto"/>
          <w:highlight w:val="none"/>
        </w:rPr>
        <w:t>一、货物内容</w:t>
      </w:r>
    </w:p>
    <w:p w14:paraId="666E15A3">
      <w:pPr>
        <w:pStyle w:val="20"/>
        <w:snapToGrid w:val="0"/>
        <w:spacing w:before="120" w:after="120" w:line="420" w:lineRule="exact"/>
        <w:rPr>
          <w:rFonts w:hAnsi="宋体"/>
          <w:b w:val="0"/>
          <w:bCs/>
          <w:color w:val="auto"/>
          <w:highlight w:val="none"/>
        </w:rPr>
      </w:pPr>
      <w:r>
        <w:rPr>
          <w:rFonts w:hAnsi="宋体"/>
          <w:b w:val="0"/>
          <w:bCs/>
          <w:color w:val="auto"/>
          <w:highlight w:val="none"/>
        </w:rPr>
        <w:t>1.1 货物名称：</w:t>
      </w:r>
      <w:r>
        <w:rPr>
          <w:rFonts w:hint="eastAsia" w:hAnsi="宋体" w:cs="宋体"/>
          <w:bCs/>
          <w:color w:val="auto"/>
          <w:highlight w:val="none"/>
          <w:u w:val="single"/>
          <w:lang w:eastAsia="zh-CN"/>
        </w:rPr>
        <w:t>台州湾文旅综合体项目餐厅工程（家具采购）</w:t>
      </w:r>
      <w:r>
        <w:rPr>
          <w:rFonts w:hAnsi="宋体"/>
          <w:b w:val="0"/>
          <w:bCs/>
          <w:color w:val="auto"/>
          <w:highlight w:val="none"/>
          <w:u w:val="single"/>
        </w:rPr>
        <w:t xml:space="preserve"> </w:t>
      </w:r>
    </w:p>
    <w:p w14:paraId="5E42B164">
      <w:pPr>
        <w:pStyle w:val="20"/>
        <w:snapToGrid w:val="0"/>
        <w:spacing w:before="120" w:after="120" w:line="420" w:lineRule="exact"/>
        <w:rPr>
          <w:rFonts w:hAnsi="宋体"/>
          <w:b w:val="0"/>
          <w:bCs/>
          <w:color w:val="auto"/>
          <w:highlight w:val="none"/>
        </w:rPr>
      </w:pPr>
      <w:r>
        <w:rPr>
          <w:rFonts w:hAnsi="宋体"/>
          <w:b w:val="0"/>
          <w:bCs/>
          <w:color w:val="auto"/>
          <w:highlight w:val="none"/>
        </w:rPr>
        <w:t>1.2 型号规格：</w:t>
      </w:r>
    </w:p>
    <w:p w14:paraId="148DC61D">
      <w:pPr>
        <w:pStyle w:val="20"/>
        <w:snapToGrid w:val="0"/>
        <w:spacing w:before="120" w:after="120" w:line="420" w:lineRule="exact"/>
        <w:rPr>
          <w:rFonts w:hAnsi="宋体"/>
          <w:b w:val="0"/>
          <w:bCs/>
          <w:color w:val="auto"/>
          <w:highlight w:val="none"/>
        </w:rPr>
      </w:pPr>
      <w:r>
        <w:rPr>
          <w:rFonts w:hAnsi="宋体"/>
          <w:b w:val="0"/>
          <w:bCs/>
          <w:color w:val="auto"/>
          <w:highlight w:val="none"/>
        </w:rPr>
        <w:t>1.3 技术参数：</w:t>
      </w:r>
    </w:p>
    <w:p w14:paraId="0F8E5AA7">
      <w:pPr>
        <w:pStyle w:val="20"/>
        <w:snapToGrid w:val="0"/>
        <w:spacing w:before="120" w:after="120" w:line="420" w:lineRule="exact"/>
        <w:rPr>
          <w:rFonts w:hAnsi="宋体"/>
          <w:b w:val="0"/>
          <w:bCs/>
          <w:color w:val="auto"/>
          <w:highlight w:val="none"/>
        </w:rPr>
      </w:pPr>
      <w:r>
        <w:rPr>
          <w:rFonts w:hAnsi="宋体"/>
          <w:b w:val="0"/>
          <w:bCs/>
          <w:color w:val="auto"/>
          <w:highlight w:val="none"/>
        </w:rPr>
        <w:t>1.4 数量（单位）：</w:t>
      </w:r>
    </w:p>
    <w:p w14:paraId="65F0265C">
      <w:pPr>
        <w:pStyle w:val="20"/>
        <w:snapToGrid w:val="0"/>
        <w:spacing w:before="120" w:after="120" w:line="420" w:lineRule="exact"/>
        <w:rPr>
          <w:rFonts w:hAnsi="宋体"/>
          <w:b w:val="0"/>
          <w:bCs/>
          <w:color w:val="auto"/>
          <w:highlight w:val="none"/>
        </w:rPr>
      </w:pPr>
      <w:r>
        <w:rPr>
          <w:rFonts w:hAnsi="宋体"/>
          <w:b w:val="0"/>
          <w:bCs/>
          <w:color w:val="auto"/>
          <w:highlight w:val="none"/>
        </w:rPr>
        <w:t>二、合同金额</w:t>
      </w:r>
    </w:p>
    <w:p w14:paraId="7A91C685">
      <w:pPr>
        <w:pStyle w:val="14"/>
        <w:snapToGrid w:val="0"/>
        <w:spacing w:after="0" w:line="360" w:lineRule="auto"/>
        <w:ind w:firstLine="0" w:firstLineChars="0"/>
        <w:rPr>
          <w:rFonts w:hint="eastAsia" w:ascii="Times New Roman" w:hAnsi="宋体" w:eastAsia="宋体" w:cs="宋体"/>
          <w:bCs/>
          <w:color w:val="auto"/>
          <w:sz w:val="24"/>
          <w:highlight w:val="none"/>
        </w:rPr>
      </w:pPr>
      <w:r>
        <w:rPr>
          <w:rFonts w:hAnsi="宋体"/>
          <w:bCs/>
          <w:color w:val="auto"/>
          <w:highlight w:val="none"/>
        </w:rPr>
        <w:t>2.1</w:t>
      </w:r>
      <w:r>
        <w:rPr>
          <w:rFonts w:hint="eastAsia" w:ascii="宋体" w:hAnsi="宋体" w:eastAsia="宋体" w:cs="宋体"/>
          <w:bCs/>
          <w:color w:val="auto"/>
          <w:sz w:val="24"/>
          <w:highlight w:val="none"/>
        </w:rPr>
        <w:t>本合同金额为</w:t>
      </w:r>
      <w:r>
        <w:rPr>
          <w:rFonts w:hint="eastAsia" w:hAnsi="宋体" w:eastAsia="宋体" w:cs="宋体"/>
          <w:bCs/>
          <w:color w:val="auto"/>
          <w:sz w:val="24"/>
          <w:highlight w:val="none"/>
        </w:rPr>
        <w:t>含税</w:t>
      </w:r>
      <w:r>
        <w:rPr>
          <w:rFonts w:hint="eastAsia" w:ascii="宋体" w:hAnsi="宋体" w:eastAsia="宋体" w:cs="宋体"/>
          <w:bCs/>
          <w:color w:val="auto"/>
          <w:sz w:val="24"/>
          <w:highlight w:val="none"/>
        </w:rPr>
        <w:t>人民币（大写）：______元（￥_____</w:t>
      </w:r>
      <w:r>
        <w:rPr>
          <w:rFonts w:hint="eastAsia" w:hAnsi="宋体" w:eastAsia="宋体" w:cs="宋体"/>
          <w:bCs/>
          <w:color w:val="auto"/>
          <w:sz w:val="24"/>
          <w:highlight w:val="none"/>
        </w:rPr>
        <w:t>元</w:t>
      </w:r>
      <w:r>
        <w:rPr>
          <w:rFonts w:hint="eastAsia" w:ascii="宋体" w:hAnsi="宋体" w:eastAsia="宋体" w:cs="宋体"/>
          <w:bCs/>
          <w:color w:val="auto"/>
          <w:sz w:val="24"/>
          <w:highlight w:val="none"/>
        </w:rPr>
        <w:t>）</w:t>
      </w:r>
      <w:r>
        <w:rPr>
          <w:rFonts w:hint="eastAsia" w:hAnsi="宋体" w:eastAsia="宋体" w:cs="宋体"/>
          <w:bCs/>
          <w:color w:val="auto"/>
          <w:sz w:val="24"/>
          <w:highlight w:val="none"/>
        </w:rPr>
        <w:t>；不含税人民币（大写）</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 xml:space="preserve">（¥ </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元）；税率</w:t>
      </w:r>
      <w:r>
        <w:rPr>
          <w:rFonts w:hint="eastAsia" w:hAnsi="宋体" w:eastAsia="宋体" w:cs="宋体"/>
          <w:bCs/>
          <w:color w:val="auto"/>
          <w:sz w:val="24"/>
          <w:highlight w:val="none"/>
          <w:u w:val="single"/>
        </w:rPr>
        <w:t xml:space="preserve"> 13 % </w:t>
      </w:r>
      <w:r>
        <w:rPr>
          <w:rFonts w:hint="eastAsia" w:hAnsi="宋体" w:eastAsia="宋体" w:cs="宋体"/>
          <w:bCs/>
          <w:color w:val="auto"/>
          <w:sz w:val="24"/>
          <w:highlight w:val="none"/>
        </w:rPr>
        <w:t>，税金人民币（大写）</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元）</w:t>
      </w:r>
      <w:r>
        <w:rPr>
          <w:rFonts w:hint="eastAsia" w:ascii="宋体" w:hAnsi="宋体"/>
          <w:bCs/>
          <w:color w:val="auto"/>
          <w:sz w:val="24"/>
          <w:highlight w:val="none"/>
          <w:lang w:val="zh-CN"/>
        </w:rPr>
        <w:t>。</w:t>
      </w:r>
      <w:r>
        <w:rPr>
          <w:rFonts w:hint="eastAsia" w:ascii="Times New Roman" w:hAnsi="宋体" w:eastAsia="宋体" w:cs="宋体"/>
          <w:bCs/>
          <w:color w:val="auto"/>
          <w:sz w:val="24"/>
          <w:highlight w:val="none"/>
          <w:lang w:val="zh-CN"/>
        </w:rPr>
        <w:t>若因乙方单位性质原因或国家政策调整出现税率变动不能开具 13%税率的增值税专用发票的情况下，乙方同意甲方在支付第二次货款前，直接扣除乙方已缴纳的税款与按 13%税率计算的税款差额。</w:t>
      </w:r>
    </w:p>
    <w:p w14:paraId="145111BD">
      <w:pPr>
        <w:pStyle w:val="20"/>
        <w:snapToGrid w:val="0"/>
        <w:spacing w:before="120" w:after="120" w:line="420" w:lineRule="exact"/>
        <w:rPr>
          <w:rFonts w:hAnsi="宋体"/>
          <w:b w:val="0"/>
          <w:bCs/>
          <w:color w:val="auto"/>
          <w:highlight w:val="none"/>
        </w:rPr>
      </w:pPr>
      <w:r>
        <w:rPr>
          <w:rFonts w:hAnsi="宋体"/>
          <w:b w:val="0"/>
          <w:bCs/>
          <w:color w:val="auto"/>
          <w:highlight w:val="none"/>
        </w:rPr>
        <w:t>2.2乙方投标承诺货物的全费用综合单价一次性包死，数量按实计量。</w:t>
      </w:r>
      <w:r>
        <w:rPr>
          <w:rFonts w:hint="eastAsia" w:hAnsi="宋体"/>
          <w:b w:val="0"/>
          <w:bCs/>
          <w:color w:val="auto"/>
          <w:highlight w:val="none"/>
        </w:rPr>
        <w:t>投标报价是履行合同的最终价格，应包括运输、组装、管理费、利润、组织措施费、规费、增值税等一切费用</w:t>
      </w:r>
      <w:r>
        <w:rPr>
          <w:rFonts w:hAnsi="宋体"/>
          <w:b w:val="0"/>
          <w:bCs/>
          <w:color w:val="auto"/>
          <w:highlight w:val="none"/>
        </w:rPr>
        <w:t>。</w:t>
      </w:r>
      <w:r>
        <w:rPr>
          <w:rFonts w:hint="eastAsia" w:hAnsi="宋体"/>
          <w:b w:val="0"/>
          <w:bCs/>
          <w:color w:val="auto"/>
          <w:highlight w:val="none"/>
          <w:lang w:val="en-US" w:eastAsia="zh-CN"/>
        </w:rPr>
        <w:t>乙方</w:t>
      </w:r>
      <w:r>
        <w:rPr>
          <w:rFonts w:hint="eastAsia" w:hAnsi="宋体"/>
          <w:b w:val="0"/>
          <w:bCs/>
          <w:color w:val="auto"/>
          <w:highlight w:val="none"/>
        </w:rPr>
        <w:t>应根据上述因素自行综合考虑，</w:t>
      </w:r>
      <w:r>
        <w:rPr>
          <w:rFonts w:hint="eastAsia" w:hAnsi="宋体"/>
          <w:b w:val="0"/>
          <w:bCs/>
          <w:color w:val="auto"/>
          <w:highlight w:val="none"/>
          <w:lang w:val="en-US" w:eastAsia="zh-CN"/>
        </w:rPr>
        <w:t>甲方</w:t>
      </w:r>
      <w:r>
        <w:rPr>
          <w:rFonts w:hint="eastAsia" w:hAnsi="宋体"/>
          <w:b w:val="0"/>
          <w:bCs/>
          <w:color w:val="auto"/>
          <w:highlight w:val="none"/>
        </w:rPr>
        <w:t>可根据实际情况调整工程量，</w:t>
      </w:r>
      <w:r>
        <w:rPr>
          <w:rFonts w:hint="eastAsia" w:hAnsi="宋体"/>
          <w:b w:val="0"/>
          <w:bCs/>
          <w:color w:val="auto"/>
          <w:highlight w:val="none"/>
          <w:lang w:val="en-US" w:eastAsia="zh-CN"/>
        </w:rPr>
        <w:t>乙方</w:t>
      </w:r>
      <w:r>
        <w:rPr>
          <w:rFonts w:hint="eastAsia" w:hAnsi="宋体"/>
          <w:b w:val="0"/>
          <w:bCs/>
          <w:color w:val="auto"/>
          <w:highlight w:val="none"/>
        </w:rPr>
        <w:t>不得以此为要求调整全费用综合单价。结算时，</w:t>
      </w:r>
      <w:r>
        <w:rPr>
          <w:rFonts w:hint="eastAsia" w:hAnsi="宋体"/>
          <w:b w:val="0"/>
          <w:bCs/>
          <w:color w:val="auto"/>
          <w:highlight w:val="none"/>
          <w:lang w:val="en-US" w:eastAsia="zh-CN"/>
        </w:rPr>
        <w:t>乙方</w:t>
      </w:r>
      <w:r>
        <w:rPr>
          <w:rFonts w:hint="eastAsia" w:hAnsi="宋体"/>
          <w:b w:val="0"/>
          <w:bCs/>
          <w:color w:val="auto"/>
          <w:highlight w:val="none"/>
        </w:rPr>
        <w:t>在全费用综合单价不变的前提下，根据实际工程量按实调整，全费用综合单价一次性包死，日后不作任何调整。</w:t>
      </w:r>
    </w:p>
    <w:p w14:paraId="52C25B96">
      <w:pPr>
        <w:pStyle w:val="20"/>
        <w:snapToGrid w:val="0"/>
        <w:spacing w:before="120" w:after="120" w:line="420" w:lineRule="exact"/>
        <w:rPr>
          <w:rFonts w:hAnsi="宋体"/>
          <w:b w:val="0"/>
          <w:bCs/>
          <w:color w:val="auto"/>
          <w:highlight w:val="none"/>
        </w:rPr>
      </w:pPr>
      <w:r>
        <w:rPr>
          <w:rFonts w:hAnsi="宋体"/>
          <w:b w:val="0"/>
          <w:bCs/>
          <w:color w:val="auto"/>
          <w:highlight w:val="none"/>
        </w:rPr>
        <w:t>2.3甲方有权增加或减少采购的货物数量，乙方应无条件按投标承诺</w:t>
      </w:r>
      <w:r>
        <w:rPr>
          <w:rFonts w:hint="eastAsia" w:hAnsi="宋体"/>
          <w:b w:val="0"/>
          <w:bCs/>
          <w:color w:val="auto"/>
          <w:highlight w:val="none"/>
        </w:rPr>
        <w:t>全费用综合单价</w:t>
      </w:r>
      <w:r>
        <w:rPr>
          <w:rFonts w:hAnsi="宋体"/>
          <w:b w:val="0"/>
          <w:bCs/>
          <w:color w:val="auto"/>
          <w:highlight w:val="none"/>
        </w:rPr>
        <w:t>供货，不得拒绝。</w:t>
      </w:r>
    </w:p>
    <w:p w14:paraId="2B3E450B">
      <w:pPr>
        <w:pStyle w:val="20"/>
        <w:snapToGrid w:val="0"/>
        <w:spacing w:before="120" w:after="120" w:line="420" w:lineRule="exact"/>
        <w:rPr>
          <w:rFonts w:hAnsi="宋体"/>
          <w:b w:val="0"/>
          <w:bCs/>
          <w:color w:val="auto"/>
          <w:highlight w:val="none"/>
        </w:rPr>
      </w:pPr>
      <w:r>
        <w:rPr>
          <w:rFonts w:hAnsi="宋体"/>
          <w:b w:val="0"/>
          <w:bCs/>
          <w:color w:val="auto"/>
          <w:highlight w:val="none"/>
        </w:rPr>
        <w:t>2.4为保证货物正常运行，所需的所有辅助材料，</w:t>
      </w:r>
      <w:r>
        <w:rPr>
          <w:rFonts w:hint="eastAsia" w:hAnsi="宋体"/>
          <w:b w:val="0"/>
          <w:bCs/>
          <w:color w:val="auto"/>
          <w:highlight w:val="none"/>
          <w:lang w:val="en-US" w:eastAsia="zh-CN"/>
        </w:rPr>
        <w:t>甲方</w:t>
      </w:r>
      <w:r>
        <w:rPr>
          <w:rFonts w:hAnsi="宋体"/>
          <w:b w:val="0"/>
          <w:bCs/>
          <w:color w:val="auto"/>
          <w:highlight w:val="none"/>
        </w:rPr>
        <w:t>在报价时综合考虑，结算时不予调整。</w:t>
      </w:r>
    </w:p>
    <w:p w14:paraId="68460802">
      <w:pPr>
        <w:pStyle w:val="20"/>
        <w:snapToGrid w:val="0"/>
        <w:spacing w:before="120" w:after="120" w:line="420" w:lineRule="exact"/>
        <w:rPr>
          <w:rFonts w:hAnsi="宋体"/>
          <w:b w:val="0"/>
          <w:bCs/>
          <w:color w:val="auto"/>
          <w:highlight w:val="none"/>
        </w:rPr>
      </w:pPr>
      <w:r>
        <w:rPr>
          <w:rFonts w:hAnsi="宋体"/>
          <w:b w:val="0"/>
          <w:bCs/>
          <w:color w:val="auto"/>
          <w:highlight w:val="none"/>
        </w:rPr>
        <w:t>三、技术资料</w:t>
      </w:r>
    </w:p>
    <w:p w14:paraId="40D592E3">
      <w:pPr>
        <w:pStyle w:val="20"/>
        <w:snapToGrid w:val="0"/>
        <w:spacing w:before="120" w:after="120" w:line="420" w:lineRule="exact"/>
        <w:rPr>
          <w:rFonts w:hAnsi="宋体"/>
          <w:b w:val="0"/>
          <w:bCs/>
          <w:color w:val="auto"/>
          <w:highlight w:val="none"/>
        </w:rPr>
      </w:pPr>
      <w:r>
        <w:rPr>
          <w:rFonts w:hAnsi="宋体"/>
          <w:b w:val="0"/>
          <w:bCs/>
          <w:color w:val="auto"/>
          <w:highlight w:val="none"/>
        </w:rPr>
        <w:t>3.1乙方应按招标文件规定的时间向甲方提供使用货物的有关技术资料。</w:t>
      </w:r>
    </w:p>
    <w:p w14:paraId="554DA9C0">
      <w:pPr>
        <w:pStyle w:val="20"/>
        <w:snapToGrid w:val="0"/>
        <w:spacing w:before="120" w:after="120" w:line="420" w:lineRule="exact"/>
        <w:rPr>
          <w:rFonts w:hAnsi="宋体"/>
          <w:b w:val="0"/>
          <w:bCs/>
          <w:color w:val="auto"/>
          <w:highlight w:val="none"/>
        </w:rPr>
      </w:pPr>
      <w:r>
        <w:rPr>
          <w:rFonts w:hAnsi="宋体"/>
          <w:b w:val="0"/>
          <w:bCs/>
          <w:color w:val="auto"/>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5E9E4A">
      <w:pPr>
        <w:pStyle w:val="20"/>
        <w:snapToGrid w:val="0"/>
        <w:spacing w:before="120" w:after="120" w:line="420" w:lineRule="exact"/>
        <w:rPr>
          <w:rFonts w:hAnsi="宋体"/>
          <w:b w:val="0"/>
          <w:bCs/>
          <w:color w:val="auto"/>
          <w:highlight w:val="none"/>
        </w:rPr>
      </w:pPr>
      <w:r>
        <w:rPr>
          <w:rFonts w:hAnsi="宋体"/>
          <w:b w:val="0"/>
          <w:bCs w:val="0"/>
          <w:color w:val="auto"/>
          <w:highlight w:val="none"/>
        </w:rPr>
        <w:t>3.3</w:t>
      </w:r>
      <w:r>
        <w:rPr>
          <w:rFonts w:hAnsi="宋体"/>
          <w:b w:val="0"/>
          <w:color w:val="auto"/>
          <w:highlight w:val="none"/>
        </w:rPr>
        <w:t>双方在协议书中约定本合同材料设备所执行的技术标准名称及质量要求，必要的技术</w:t>
      </w:r>
      <w:r>
        <w:rPr>
          <w:rFonts w:hAnsi="宋体"/>
          <w:b w:val="0"/>
          <w:bCs/>
          <w:color w:val="auto"/>
          <w:highlight w:val="none"/>
        </w:rPr>
        <w:t>方案、设计图纸、样板等共同成为生产及交货、安装验收货品的依据。</w:t>
      </w:r>
    </w:p>
    <w:p w14:paraId="46AE829A">
      <w:pPr>
        <w:pStyle w:val="20"/>
        <w:snapToGrid w:val="0"/>
        <w:spacing w:before="120" w:after="120" w:line="420" w:lineRule="exact"/>
        <w:rPr>
          <w:rFonts w:hAnsi="宋体"/>
          <w:bCs/>
          <w:color w:val="auto"/>
          <w:highlight w:val="none"/>
        </w:rPr>
      </w:pPr>
      <w:r>
        <w:rPr>
          <w:rFonts w:hAnsi="宋体"/>
          <w:b w:val="0"/>
          <w:bCs/>
          <w:color w:val="auto"/>
          <w:highlight w:val="none"/>
        </w:rPr>
        <w:t>3.4.乙方在供货中提出的合理化建议涉及到对材料/设备要求的更改及对材料/设备的换用，须经甲方同意。甲方同意采用乙方的合理化建议，所发生的费用和获得的收益，甲方乙方另行约定分担或</w:t>
      </w:r>
      <w:r>
        <w:rPr>
          <w:rFonts w:hAnsi="宋体"/>
          <w:b w:val="0"/>
          <w:bCs w:val="0"/>
          <w:color w:val="auto"/>
          <w:highlight w:val="none"/>
        </w:rPr>
        <w:t>分享。</w:t>
      </w:r>
    </w:p>
    <w:p w14:paraId="644C6C6C">
      <w:pPr>
        <w:pStyle w:val="20"/>
        <w:snapToGrid w:val="0"/>
        <w:spacing w:before="120" w:after="120" w:line="420" w:lineRule="exact"/>
        <w:rPr>
          <w:rFonts w:hAnsi="宋体"/>
          <w:b w:val="0"/>
          <w:bCs/>
          <w:color w:val="auto"/>
          <w:highlight w:val="none"/>
        </w:rPr>
      </w:pPr>
      <w:r>
        <w:rPr>
          <w:rFonts w:hAnsi="宋体"/>
          <w:b w:val="0"/>
          <w:bCs/>
          <w:color w:val="auto"/>
          <w:highlight w:val="none"/>
        </w:rPr>
        <w:t>3.5.合同履行中甲方要求变更材料/设备质量标准及发生其他实质性变更，由双方协商解决。</w:t>
      </w:r>
    </w:p>
    <w:p w14:paraId="2C0B7F57">
      <w:pPr>
        <w:pStyle w:val="20"/>
        <w:snapToGrid w:val="0"/>
        <w:spacing w:before="120" w:after="120" w:line="420" w:lineRule="exact"/>
        <w:rPr>
          <w:rFonts w:hAnsi="宋体"/>
          <w:b w:val="0"/>
          <w:bCs/>
          <w:color w:val="auto"/>
          <w:highlight w:val="none"/>
        </w:rPr>
      </w:pPr>
      <w:r>
        <w:rPr>
          <w:rFonts w:hAnsi="宋体"/>
          <w:b w:val="0"/>
          <w:bCs/>
          <w:color w:val="auto"/>
          <w:highlight w:val="none"/>
        </w:rPr>
        <w:t>四、知识产权</w:t>
      </w:r>
    </w:p>
    <w:p w14:paraId="19C71778">
      <w:pPr>
        <w:pStyle w:val="20"/>
        <w:snapToGrid w:val="0"/>
        <w:spacing w:before="120" w:after="120" w:line="420" w:lineRule="exact"/>
        <w:rPr>
          <w:rFonts w:hAnsi="宋体"/>
          <w:b w:val="0"/>
          <w:bCs/>
          <w:color w:val="auto"/>
          <w:highlight w:val="none"/>
        </w:rPr>
      </w:pPr>
      <w:r>
        <w:rPr>
          <w:rFonts w:hAnsi="宋体"/>
          <w:b w:val="0"/>
          <w:bCs/>
          <w:color w:val="auto"/>
          <w:highlight w:val="none"/>
        </w:rPr>
        <w:t>4.1 乙方应保证所提供的货物或其任何一部分均不会侵犯任何第三方的知识产权。本合同项下乙方供的货物发生任何的知识产权争议均由乙方负责处理，若由此给甲方造成损失的，由乙方按实赔偿。</w:t>
      </w:r>
    </w:p>
    <w:p w14:paraId="6E722724">
      <w:pPr>
        <w:pStyle w:val="20"/>
        <w:snapToGrid w:val="0"/>
        <w:spacing w:before="120" w:after="120" w:line="420" w:lineRule="exact"/>
        <w:rPr>
          <w:rFonts w:hAnsi="宋体"/>
          <w:b w:val="0"/>
          <w:bCs/>
          <w:color w:val="auto"/>
          <w:highlight w:val="none"/>
        </w:rPr>
      </w:pPr>
      <w:r>
        <w:rPr>
          <w:rFonts w:hAnsi="宋体"/>
          <w:b w:val="0"/>
          <w:bCs/>
          <w:color w:val="auto"/>
          <w:highlight w:val="none"/>
        </w:rPr>
        <w:t>五、产权担保</w:t>
      </w:r>
    </w:p>
    <w:p w14:paraId="59B4F1DE">
      <w:pPr>
        <w:pStyle w:val="20"/>
        <w:snapToGrid w:val="0"/>
        <w:spacing w:before="120" w:after="120" w:line="420" w:lineRule="exact"/>
        <w:rPr>
          <w:rFonts w:hAnsi="宋体"/>
          <w:b w:val="0"/>
          <w:bCs/>
          <w:color w:val="auto"/>
          <w:highlight w:val="none"/>
        </w:rPr>
      </w:pPr>
      <w:r>
        <w:rPr>
          <w:rFonts w:hAnsi="宋体"/>
          <w:b w:val="0"/>
          <w:bCs/>
          <w:color w:val="auto"/>
          <w:highlight w:val="none"/>
        </w:rPr>
        <w:t>5.1 乙方保证所交付的货物的所有权完全属于乙方且无任何抵押、查封等产权瑕疵。因乙方原因导致供给甲方的货物发生产权纠纷的，由乙方负责处理，若由此给甲方造成损失的，由乙方按实赔偿。</w:t>
      </w:r>
    </w:p>
    <w:p w14:paraId="1A24DA46">
      <w:pPr>
        <w:pStyle w:val="20"/>
        <w:snapToGrid w:val="0"/>
        <w:spacing w:before="120" w:after="120" w:line="420" w:lineRule="exact"/>
        <w:rPr>
          <w:rFonts w:hAnsi="宋体"/>
          <w:b w:val="0"/>
          <w:bCs/>
          <w:color w:val="auto"/>
          <w:highlight w:val="none"/>
        </w:rPr>
      </w:pPr>
      <w:r>
        <w:rPr>
          <w:rFonts w:hAnsi="宋体"/>
          <w:b w:val="0"/>
          <w:bCs/>
          <w:color w:val="auto"/>
          <w:highlight w:val="none"/>
        </w:rPr>
        <w:t>六、履约保证金</w:t>
      </w:r>
    </w:p>
    <w:p w14:paraId="67B12C43">
      <w:pPr>
        <w:pStyle w:val="20"/>
        <w:snapToGrid w:val="0"/>
        <w:spacing w:before="120" w:after="120" w:line="420" w:lineRule="exact"/>
        <w:rPr>
          <w:rFonts w:hAnsi="宋体"/>
          <w:b w:val="0"/>
          <w:bCs/>
          <w:color w:val="auto"/>
          <w:highlight w:val="none"/>
        </w:rPr>
      </w:pPr>
      <w:r>
        <w:rPr>
          <w:rFonts w:hAnsi="宋体"/>
          <w:b w:val="0"/>
          <w:bCs/>
          <w:color w:val="auto"/>
          <w:highlight w:val="none"/>
        </w:rPr>
        <w:t>6.1 乙方交纳人民币</w:t>
      </w:r>
      <w:r>
        <w:rPr>
          <w:rFonts w:hAnsi="宋体"/>
          <w:b w:val="0"/>
          <w:bCs/>
          <w:color w:val="auto"/>
          <w:highlight w:val="none"/>
          <w:u w:val="single"/>
        </w:rPr>
        <w:t xml:space="preserve">        </w:t>
      </w:r>
      <w:r>
        <w:rPr>
          <w:rFonts w:hAnsi="宋体"/>
          <w:b w:val="0"/>
          <w:bCs/>
          <w:color w:val="auto"/>
          <w:highlight w:val="none"/>
        </w:rPr>
        <w:t>元（中标价的</w:t>
      </w:r>
      <w:r>
        <w:rPr>
          <w:rFonts w:hint="eastAsia" w:hAnsi="宋体"/>
          <w:b w:val="0"/>
          <w:bCs/>
          <w:color w:val="auto"/>
          <w:highlight w:val="none"/>
          <w:lang w:val="en-US" w:eastAsia="zh-CN"/>
        </w:rPr>
        <w:t>1%</w:t>
      </w:r>
      <w:r>
        <w:rPr>
          <w:rFonts w:hAnsi="宋体"/>
          <w:b w:val="0"/>
          <w:bCs/>
          <w:color w:val="auto"/>
          <w:highlight w:val="none"/>
        </w:rPr>
        <w:t>）作为本合同的履约保证金，</w:t>
      </w:r>
      <w:r>
        <w:rPr>
          <w:rFonts w:hint="eastAsia" w:hAnsi="宋体"/>
          <w:b w:val="0"/>
          <w:bCs/>
          <w:color w:val="auto"/>
          <w:highlight w:val="none"/>
        </w:rPr>
        <w:t>在中标通知书发出7日内</w:t>
      </w:r>
      <w:r>
        <w:rPr>
          <w:rFonts w:hint="eastAsia" w:hAnsi="宋体"/>
          <w:b w:val="0"/>
          <w:bCs/>
          <w:color w:val="auto"/>
          <w:highlight w:val="none"/>
          <w:lang w:val="en-US" w:eastAsia="zh-CN"/>
        </w:rPr>
        <w:t>向甲方缴纳合同履约保证金，缴纳方式可选择：转帐、电汇、银行汇票或保函（见索即付）。如以银行转账、电汇或银行汇票形式递交履约保证金的，则应将履约保证金一次性汇入（或转入）甲方指定帐户，在合同履行完毕（验收合格且付清全部货款）后</w:t>
      </w:r>
      <w:r>
        <w:rPr>
          <w:rFonts w:hint="eastAsia" w:hAnsi="宋体"/>
          <w:b w:val="0"/>
          <w:bCs/>
          <w:color w:val="auto"/>
          <w:highlight w:val="none"/>
        </w:rPr>
        <w:t>5日内无息退还</w:t>
      </w:r>
      <w:r>
        <w:rPr>
          <w:rFonts w:hint="eastAsia" w:hAnsi="宋体"/>
          <w:b w:val="0"/>
          <w:bCs/>
          <w:color w:val="auto"/>
          <w:highlight w:val="none"/>
          <w:lang w:val="en-US" w:eastAsia="zh-CN"/>
        </w:rPr>
        <w:t>。如采取保函形式，保函文件中必须包含乙方的信息，包含但不限于企业名称、保证方式、保证金额、保函获得时间、保证项目名称、保函有效期限、保费标准、费用支付账户（基本账户）等，保函有效期不少于1年。</w:t>
      </w:r>
    </w:p>
    <w:p w14:paraId="02F91D37">
      <w:pPr>
        <w:pStyle w:val="20"/>
        <w:snapToGrid w:val="0"/>
        <w:spacing w:before="120" w:after="120" w:line="420" w:lineRule="exact"/>
        <w:rPr>
          <w:rFonts w:hAnsi="宋体"/>
          <w:b w:val="0"/>
          <w:bCs/>
          <w:color w:val="auto"/>
          <w:highlight w:val="none"/>
        </w:rPr>
      </w:pPr>
      <w:r>
        <w:rPr>
          <w:rFonts w:hAnsi="宋体"/>
          <w:b w:val="0"/>
          <w:bCs/>
          <w:color w:val="auto"/>
          <w:highlight w:val="none"/>
        </w:rPr>
        <w:t>七、转包或分包</w:t>
      </w:r>
    </w:p>
    <w:p w14:paraId="32E58251">
      <w:pPr>
        <w:pStyle w:val="20"/>
        <w:snapToGrid w:val="0"/>
        <w:spacing w:before="120" w:after="120" w:line="420" w:lineRule="exact"/>
        <w:rPr>
          <w:rFonts w:hAnsi="宋体"/>
          <w:b w:val="0"/>
          <w:bCs/>
          <w:color w:val="auto"/>
          <w:highlight w:val="none"/>
        </w:rPr>
      </w:pPr>
      <w:r>
        <w:rPr>
          <w:rFonts w:hAnsi="宋体"/>
          <w:b w:val="0"/>
          <w:bCs/>
          <w:color w:val="auto"/>
          <w:highlight w:val="none"/>
        </w:rPr>
        <w:t>7.1本合同范围的货物，应由乙方直接供应，不得转让他人供应；</w:t>
      </w:r>
    </w:p>
    <w:p w14:paraId="3D872868">
      <w:pPr>
        <w:pStyle w:val="20"/>
        <w:snapToGrid w:val="0"/>
        <w:spacing w:before="120" w:after="120" w:line="420" w:lineRule="exact"/>
        <w:rPr>
          <w:rFonts w:hAnsi="宋体"/>
          <w:b w:val="0"/>
          <w:bCs/>
          <w:color w:val="auto"/>
          <w:highlight w:val="none"/>
        </w:rPr>
      </w:pPr>
      <w:r>
        <w:rPr>
          <w:rFonts w:hAnsi="宋体"/>
          <w:b w:val="0"/>
          <w:bCs/>
          <w:color w:val="auto"/>
          <w:highlight w:val="none"/>
        </w:rPr>
        <w:t>7.2 除非得到甲方的书面同意，乙方不得部分分包给他人供应。</w:t>
      </w:r>
    </w:p>
    <w:p w14:paraId="33F83635">
      <w:pPr>
        <w:pStyle w:val="20"/>
        <w:snapToGrid w:val="0"/>
        <w:spacing w:before="120" w:after="120" w:line="420" w:lineRule="exact"/>
        <w:rPr>
          <w:rFonts w:hAnsi="宋体"/>
          <w:b w:val="0"/>
          <w:bCs/>
          <w:color w:val="auto"/>
          <w:highlight w:val="none"/>
        </w:rPr>
      </w:pPr>
      <w:r>
        <w:rPr>
          <w:rFonts w:hAnsi="宋体"/>
          <w:b w:val="0"/>
          <w:bCs/>
          <w:color w:val="auto"/>
          <w:highlight w:val="none"/>
        </w:rPr>
        <w:t>7.3如有转让和未经甲方同意的分包行为，甲方有权给予终止合同。</w:t>
      </w:r>
    </w:p>
    <w:p w14:paraId="4BFF4A2E">
      <w:pPr>
        <w:pStyle w:val="20"/>
        <w:snapToGrid w:val="0"/>
        <w:spacing w:before="120" w:after="120" w:line="420" w:lineRule="exact"/>
        <w:rPr>
          <w:rFonts w:hAnsi="宋体"/>
          <w:b w:val="0"/>
          <w:bCs/>
          <w:color w:val="auto"/>
          <w:highlight w:val="none"/>
        </w:rPr>
      </w:pPr>
      <w:r>
        <w:rPr>
          <w:rFonts w:hAnsi="宋体"/>
          <w:b w:val="0"/>
          <w:bCs/>
          <w:color w:val="auto"/>
          <w:highlight w:val="none"/>
        </w:rPr>
        <w:t>八、质保期和质保金</w:t>
      </w:r>
    </w:p>
    <w:p w14:paraId="5BF444A7">
      <w:pPr>
        <w:pStyle w:val="20"/>
        <w:snapToGrid w:val="0"/>
        <w:spacing w:before="120" w:after="120" w:line="420" w:lineRule="exact"/>
        <w:rPr>
          <w:rFonts w:hAnsi="宋体"/>
          <w:b w:val="0"/>
          <w:bCs/>
          <w:color w:val="auto"/>
          <w:highlight w:val="none"/>
        </w:rPr>
      </w:pPr>
      <w:r>
        <w:rPr>
          <w:rFonts w:hAnsi="宋体"/>
          <w:b w:val="0"/>
          <w:bCs/>
          <w:color w:val="auto"/>
          <w:highlight w:val="none"/>
        </w:rPr>
        <w:t>8.1 质保期</w:t>
      </w:r>
      <w:r>
        <w:rPr>
          <w:rFonts w:hAnsi="宋体"/>
          <w:b w:val="0"/>
          <w:bCs/>
          <w:color w:val="auto"/>
          <w:highlight w:val="none"/>
          <w:u w:val="single"/>
        </w:rPr>
        <w:t xml:space="preserve">   </w:t>
      </w:r>
      <w:r>
        <w:rPr>
          <w:rFonts w:hAnsi="宋体"/>
          <w:b w:val="0"/>
          <w:bCs/>
          <w:color w:val="auto"/>
          <w:highlight w:val="none"/>
        </w:rPr>
        <w:t>年。（该项目货物验收合格并办理项目移交次日起计）</w:t>
      </w:r>
    </w:p>
    <w:p w14:paraId="1A4427C3">
      <w:pPr>
        <w:pStyle w:val="20"/>
        <w:snapToGrid w:val="0"/>
        <w:spacing w:before="120" w:after="120" w:line="420" w:lineRule="exact"/>
        <w:rPr>
          <w:rFonts w:hAnsi="宋体"/>
          <w:b w:val="0"/>
          <w:bCs/>
          <w:color w:val="auto"/>
          <w:highlight w:val="none"/>
        </w:rPr>
      </w:pPr>
      <w:r>
        <w:rPr>
          <w:rFonts w:hAnsi="宋体"/>
          <w:b w:val="0"/>
          <w:bCs/>
          <w:color w:val="auto"/>
          <w:highlight w:val="none"/>
        </w:rPr>
        <w:t>8.2 质保金：结算价的3%。</w:t>
      </w:r>
    </w:p>
    <w:p w14:paraId="5C8A05CD">
      <w:pPr>
        <w:pStyle w:val="20"/>
        <w:snapToGrid w:val="0"/>
        <w:spacing w:before="120" w:after="120" w:line="420" w:lineRule="exact"/>
        <w:rPr>
          <w:rFonts w:hAnsi="宋体"/>
          <w:b w:val="0"/>
          <w:bCs/>
          <w:color w:val="auto"/>
          <w:highlight w:val="none"/>
        </w:rPr>
      </w:pPr>
      <w:r>
        <w:rPr>
          <w:rFonts w:hAnsi="宋体"/>
          <w:b w:val="0"/>
          <w:bCs/>
          <w:color w:val="auto"/>
          <w:highlight w:val="none"/>
        </w:rPr>
        <w:t>九、交货期、交货方式及交货地点</w:t>
      </w:r>
    </w:p>
    <w:p w14:paraId="78F734AD">
      <w:pPr>
        <w:pStyle w:val="20"/>
        <w:snapToGrid w:val="0"/>
        <w:spacing w:before="120" w:after="120" w:line="420" w:lineRule="exact"/>
        <w:rPr>
          <w:rFonts w:hAnsi="宋体"/>
          <w:b w:val="0"/>
          <w:bCs/>
          <w:color w:val="auto"/>
          <w:highlight w:val="none"/>
        </w:rPr>
      </w:pPr>
      <w:r>
        <w:rPr>
          <w:rFonts w:hAnsi="宋体"/>
          <w:b w:val="0"/>
          <w:bCs/>
          <w:color w:val="auto"/>
          <w:highlight w:val="none"/>
        </w:rPr>
        <w:t>9.1 交货期：</w:t>
      </w:r>
      <w:r>
        <w:rPr>
          <w:rFonts w:hint="eastAsia" w:hAnsi="宋体"/>
          <w:b w:val="0"/>
          <w:bCs/>
          <w:color w:val="auto"/>
          <w:highlight w:val="none"/>
          <w:lang w:val="en-US" w:eastAsia="zh-CN"/>
        </w:rPr>
        <w:t>自合同签订之日起25天内完成供货、运输、安装、调试，且验收合格达到交付使用要求。</w:t>
      </w:r>
    </w:p>
    <w:p w14:paraId="12A8F567">
      <w:pPr>
        <w:pStyle w:val="20"/>
        <w:snapToGrid w:val="0"/>
        <w:spacing w:before="120" w:after="120" w:line="420" w:lineRule="exact"/>
        <w:rPr>
          <w:rFonts w:hAnsi="宋体"/>
          <w:b w:val="0"/>
          <w:bCs/>
          <w:color w:val="auto"/>
          <w:highlight w:val="none"/>
        </w:rPr>
      </w:pPr>
      <w:r>
        <w:rPr>
          <w:rFonts w:hAnsi="宋体"/>
          <w:b w:val="0"/>
          <w:bCs/>
          <w:color w:val="auto"/>
          <w:highlight w:val="none"/>
        </w:rPr>
        <w:t>9.2 交货方式：乙方负责送货上门，并负责将货物按照甲方或使用人要求安装、调试就位完成。</w:t>
      </w:r>
    </w:p>
    <w:p w14:paraId="3B88497B">
      <w:pPr>
        <w:pStyle w:val="20"/>
        <w:snapToGrid w:val="0"/>
        <w:spacing w:before="120" w:after="120" w:line="420" w:lineRule="exact"/>
        <w:rPr>
          <w:rFonts w:hAnsi="宋体"/>
          <w:b w:val="0"/>
          <w:bCs/>
          <w:color w:val="auto"/>
          <w:highlight w:val="none"/>
        </w:rPr>
      </w:pPr>
      <w:r>
        <w:rPr>
          <w:rFonts w:hAnsi="宋体"/>
          <w:b w:val="0"/>
          <w:bCs/>
          <w:color w:val="auto"/>
          <w:highlight w:val="none"/>
        </w:rPr>
        <w:t>9.3 交货地点：</w:t>
      </w:r>
    </w:p>
    <w:p w14:paraId="08AE9632">
      <w:pPr>
        <w:pStyle w:val="20"/>
        <w:snapToGrid w:val="0"/>
        <w:spacing w:before="120" w:after="120" w:line="420" w:lineRule="exact"/>
        <w:rPr>
          <w:rFonts w:hAnsi="宋体"/>
          <w:b w:val="0"/>
          <w:bCs/>
          <w:color w:val="auto"/>
          <w:highlight w:val="none"/>
        </w:rPr>
      </w:pPr>
      <w:r>
        <w:rPr>
          <w:rFonts w:hAnsi="宋体"/>
          <w:b w:val="0"/>
          <w:bCs/>
          <w:color w:val="auto"/>
          <w:highlight w:val="none"/>
        </w:rPr>
        <w:t>十、货款支付</w:t>
      </w:r>
    </w:p>
    <w:p w14:paraId="5AA285DD">
      <w:pPr>
        <w:pStyle w:val="20"/>
        <w:snapToGrid w:val="0"/>
        <w:spacing w:before="120" w:after="120" w:line="420" w:lineRule="exact"/>
        <w:rPr>
          <w:rFonts w:hAnsi="宋体"/>
          <w:b w:val="0"/>
          <w:bCs/>
          <w:color w:val="auto"/>
          <w:highlight w:val="none"/>
        </w:rPr>
      </w:pPr>
      <w:r>
        <w:rPr>
          <w:rFonts w:hAnsi="宋体"/>
          <w:b w:val="0"/>
          <w:bCs/>
          <w:color w:val="auto"/>
          <w:highlight w:val="none"/>
        </w:rPr>
        <w:t>10.1 付款方式：</w:t>
      </w:r>
    </w:p>
    <w:p w14:paraId="4C272441">
      <w:pPr>
        <w:pStyle w:val="20"/>
        <w:snapToGrid w:val="0"/>
        <w:spacing w:before="120" w:after="120" w:line="420" w:lineRule="exact"/>
        <w:rPr>
          <w:rFonts w:hAnsi="宋体"/>
          <w:b w:val="0"/>
          <w:bCs/>
          <w:color w:val="auto"/>
          <w:highlight w:val="none"/>
        </w:rPr>
      </w:pPr>
      <w:r>
        <w:rPr>
          <w:rFonts w:hAnsi="宋体"/>
          <w:b w:val="0"/>
          <w:bCs/>
          <w:color w:val="auto"/>
          <w:highlight w:val="none"/>
        </w:rPr>
        <w:t>付款方式：</w:t>
      </w:r>
      <w:r>
        <w:rPr>
          <w:rFonts w:hint="eastAsia" w:hAnsi="宋体"/>
          <w:b w:val="0"/>
          <w:bCs/>
          <w:color w:val="auto"/>
          <w:highlight w:val="none"/>
          <w:lang w:val="en-US" w:eastAsia="zh-CN"/>
        </w:rPr>
        <w:t>合同签订后的供货数量以甲方供货清单为准，</w:t>
      </w:r>
      <w:r>
        <w:rPr>
          <w:rFonts w:hint="eastAsia" w:hAnsi="宋体"/>
          <w:b w:val="0"/>
          <w:bCs/>
          <w:color w:val="auto"/>
          <w:highlight w:val="none"/>
        </w:rPr>
        <w:t>甲方发出供货通知后，</w:t>
      </w:r>
      <w:r>
        <w:rPr>
          <w:rFonts w:hAnsi="宋体"/>
          <w:b w:val="0"/>
          <w:bCs/>
          <w:color w:val="auto"/>
          <w:highlight w:val="none"/>
        </w:rPr>
        <w:t>14个工作日内</w:t>
      </w:r>
      <w:r>
        <w:rPr>
          <w:rFonts w:hint="eastAsia" w:hAnsi="宋体"/>
          <w:b w:val="0"/>
          <w:bCs/>
          <w:color w:val="auto"/>
          <w:highlight w:val="none"/>
          <w:lang w:val="en-US" w:eastAsia="zh-CN"/>
        </w:rPr>
        <w:t>甲方支付乙方合同</w:t>
      </w:r>
      <w:r>
        <w:rPr>
          <w:rFonts w:hAnsi="宋体"/>
          <w:b w:val="0"/>
          <w:bCs/>
          <w:color w:val="auto"/>
          <w:highlight w:val="none"/>
        </w:rPr>
        <w:t>价</w:t>
      </w:r>
      <w:r>
        <w:rPr>
          <w:rFonts w:hint="eastAsia" w:hAnsi="宋体"/>
          <w:b w:val="0"/>
          <w:bCs/>
          <w:color w:val="auto"/>
          <w:highlight w:val="none"/>
          <w:lang w:val="en-US" w:eastAsia="zh-CN"/>
        </w:rPr>
        <w:t>的40</w:t>
      </w:r>
      <w:r>
        <w:rPr>
          <w:rFonts w:hAnsi="宋体"/>
          <w:b w:val="0"/>
          <w:bCs/>
          <w:color w:val="auto"/>
          <w:highlight w:val="none"/>
        </w:rPr>
        <w:t>%</w:t>
      </w:r>
      <w:r>
        <w:rPr>
          <w:rFonts w:hint="eastAsia" w:hAnsi="宋体"/>
          <w:b w:val="0"/>
          <w:bCs/>
          <w:color w:val="auto"/>
          <w:highlight w:val="none"/>
          <w:lang w:eastAsia="zh-CN"/>
        </w:rPr>
        <w:t>（</w:t>
      </w:r>
      <w:r>
        <w:rPr>
          <w:rFonts w:hint="eastAsia" w:hAnsi="宋体"/>
          <w:b w:val="0"/>
          <w:bCs/>
          <w:color w:val="auto"/>
          <w:highlight w:val="none"/>
          <w:lang w:val="en-US" w:eastAsia="zh-CN"/>
        </w:rPr>
        <w:t>乙方</w:t>
      </w:r>
      <w:r>
        <w:rPr>
          <w:rFonts w:hint="eastAsia" w:hAnsi="宋体"/>
          <w:b w:val="0"/>
          <w:bCs/>
          <w:color w:val="auto"/>
          <w:highlight w:val="none"/>
          <w:lang w:eastAsia="zh-CN"/>
        </w:rPr>
        <w:t>提供相应金额的支付担保），</w:t>
      </w:r>
      <w:r>
        <w:rPr>
          <w:rFonts w:hint="eastAsia" w:hAnsi="宋体"/>
          <w:b w:val="0"/>
          <w:bCs/>
          <w:color w:val="auto"/>
          <w:highlight w:val="none"/>
        </w:rPr>
        <w:t>乙方按照交货周期要求，将合同标的物运抵甲方</w:t>
      </w:r>
      <w:r>
        <w:rPr>
          <w:rFonts w:hint="eastAsia" w:hAnsi="宋体"/>
          <w:b w:val="0"/>
          <w:bCs/>
          <w:color w:val="auto"/>
          <w:highlight w:val="none"/>
          <w:lang w:val="en-US" w:eastAsia="zh-CN"/>
        </w:rPr>
        <w:t>指定地点</w:t>
      </w:r>
      <w:r>
        <w:rPr>
          <w:rFonts w:hAnsi="宋体"/>
          <w:b w:val="0"/>
          <w:bCs/>
          <w:color w:val="auto"/>
          <w:highlight w:val="none"/>
        </w:rPr>
        <w:t>，全部</w:t>
      </w:r>
      <w:r>
        <w:rPr>
          <w:rFonts w:hint="eastAsia" w:hAnsi="宋体"/>
          <w:b w:val="0"/>
          <w:bCs/>
          <w:color w:val="auto"/>
          <w:highlight w:val="none"/>
          <w:lang w:val="en-US" w:eastAsia="zh-CN"/>
        </w:rPr>
        <w:t>货物</w:t>
      </w:r>
      <w:r>
        <w:rPr>
          <w:rFonts w:hAnsi="宋体"/>
          <w:b w:val="0"/>
          <w:bCs/>
          <w:color w:val="auto"/>
          <w:highlight w:val="none"/>
        </w:rPr>
        <w:t>安装</w:t>
      </w:r>
      <w:r>
        <w:rPr>
          <w:rFonts w:hint="eastAsia" w:hAnsi="宋体"/>
          <w:b w:val="0"/>
          <w:bCs/>
          <w:color w:val="auto"/>
          <w:highlight w:val="none"/>
          <w:lang w:eastAsia="zh-CN"/>
        </w:rPr>
        <w:t>、</w:t>
      </w:r>
      <w:r>
        <w:rPr>
          <w:rFonts w:hint="eastAsia" w:hAnsi="宋体"/>
          <w:b w:val="0"/>
          <w:bCs/>
          <w:color w:val="auto"/>
          <w:highlight w:val="none"/>
          <w:lang w:val="en-US" w:eastAsia="zh-CN"/>
        </w:rPr>
        <w:t>调试</w:t>
      </w:r>
      <w:r>
        <w:rPr>
          <w:rFonts w:hAnsi="宋体"/>
          <w:b w:val="0"/>
          <w:bCs/>
          <w:color w:val="auto"/>
          <w:highlight w:val="none"/>
        </w:rPr>
        <w:t>完成并验收</w:t>
      </w:r>
      <w:r>
        <w:rPr>
          <w:rFonts w:hint="eastAsia" w:hAnsi="宋体"/>
          <w:b w:val="0"/>
          <w:bCs/>
          <w:color w:val="auto"/>
          <w:highlight w:val="none"/>
          <w:lang w:val="en-US" w:eastAsia="zh-CN"/>
        </w:rPr>
        <w:t>合格</w:t>
      </w:r>
      <w:r>
        <w:rPr>
          <w:rFonts w:hAnsi="宋体"/>
          <w:b w:val="0"/>
          <w:bCs/>
          <w:color w:val="auto"/>
          <w:highlight w:val="none"/>
        </w:rPr>
        <w:t>后付至97%，剩余3%作为质量保证金。</w:t>
      </w:r>
    </w:p>
    <w:p w14:paraId="3BBC5B99">
      <w:pPr>
        <w:pStyle w:val="20"/>
        <w:snapToGrid w:val="0"/>
        <w:spacing w:before="120" w:after="120" w:line="420" w:lineRule="exact"/>
        <w:rPr>
          <w:rFonts w:hAnsi="宋体"/>
          <w:b w:val="0"/>
          <w:bCs/>
          <w:color w:val="auto"/>
          <w:highlight w:val="none"/>
        </w:rPr>
      </w:pPr>
      <w:r>
        <w:rPr>
          <w:rFonts w:hAnsi="宋体"/>
          <w:b w:val="0"/>
          <w:bCs/>
          <w:color w:val="auto"/>
          <w:highlight w:val="none"/>
        </w:rPr>
        <w:t>质保金：余下结算价的3%作为质保金</w:t>
      </w:r>
      <w:r>
        <w:rPr>
          <w:rFonts w:hint="eastAsia" w:hAnsi="宋体"/>
          <w:b w:val="0"/>
          <w:bCs/>
          <w:color w:val="auto"/>
          <w:highlight w:val="none"/>
          <w:lang w:val="en-US" w:eastAsia="zh-CN"/>
        </w:rPr>
        <w:t>的退还具体详见质量保修协议书</w:t>
      </w:r>
      <w:r>
        <w:rPr>
          <w:rFonts w:hAnsi="宋体"/>
          <w:b w:val="0"/>
          <w:bCs/>
          <w:color w:val="auto"/>
          <w:highlight w:val="none"/>
        </w:rPr>
        <w:t>。</w:t>
      </w:r>
    </w:p>
    <w:p w14:paraId="70D89CE6">
      <w:pPr>
        <w:pStyle w:val="20"/>
        <w:snapToGrid w:val="0"/>
        <w:spacing w:before="120" w:after="120" w:line="420" w:lineRule="exact"/>
        <w:rPr>
          <w:rFonts w:hAnsi="宋体"/>
          <w:b w:val="0"/>
          <w:bCs/>
          <w:color w:val="auto"/>
          <w:highlight w:val="none"/>
        </w:rPr>
      </w:pPr>
      <w:r>
        <w:rPr>
          <w:rFonts w:hAnsi="宋体"/>
          <w:b w:val="0"/>
          <w:bCs/>
          <w:color w:val="auto"/>
          <w:highlight w:val="none"/>
        </w:rPr>
        <w:t>10.2合同款项支付：</w:t>
      </w:r>
    </w:p>
    <w:p w14:paraId="18F4D8B9">
      <w:pPr>
        <w:pStyle w:val="20"/>
        <w:snapToGrid w:val="0"/>
        <w:spacing w:before="120" w:after="120" w:line="420" w:lineRule="exact"/>
        <w:rPr>
          <w:rFonts w:hAnsi="宋体"/>
          <w:b w:val="0"/>
          <w:bCs/>
          <w:color w:val="auto"/>
          <w:highlight w:val="none"/>
        </w:rPr>
      </w:pPr>
      <w:r>
        <w:rPr>
          <w:rFonts w:hAnsi="宋体"/>
          <w:b w:val="0"/>
          <w:bCs/>
          <w:color w:val="auto"/>
          <w:highlight w:val="none"/>
        </w:rPr>
        <w:t>10.2.1</w:t>
      </w:r>
      <w:r>
        <w:rPr>
          <w:rFonts w:hAnsi="宋体"/>
          <w:b w:val="0"/>
          <w:bCs/>
          <w:color w:val="auto"/>
          <w:highlight w:val="none"/>
        </w:rPr>
        <w:tab/>
      </w:r>
      <w:r>
        <w:rPr>
          <w:rFonts w:hAnsi="宋体"/>
          <w:b w:val="0"/>
          <w:bCs/>
          <w:color w:val="auto"/>
          <w:highlight w:val="none"/>
        </w:rPr>
        <w:t>付款时需提供的材料：乙方的付款申请单、收款账号资料证明、相应金额的增值税专用发票、材料/设备验收单、合同经济条款复印件等。</w:t>
      </w:r>
    </w:p>
    <w:p w14:paraId="3772A87C">
      <w:pPr>
        <w:pStyle w:val="20"/>
        <w:snapToGrid w:val="0"/>
        <w:spacing w:before="120" w:after="120" w:line="420" w:lineRule="exact"/>
        <w:rPr>
          <w:rFonts w:hAnsi="宋体"/>
          <w:b w:val="0"/>
          <w:bCs/>
          <w:color w:val="auto"/>
          <w:highlight w:val="none"/>
        </w:rPr>
      </w:pPr>
      <w:r>
        <w:rPr>
          <w:rFonts w:hAnsi="宋体"/>
          <w:b w:val="0"/>
          <w:bCs/>
          <w:color w:val="auto"/>
          <w:highlight w:val="none"/>
        </w:rPr>
        <w:t>10.2.2</w:t>
      </w:r>
      <w:r>
        <w:rPr>
          <w:rFonts w:hAnsi="宋体"/>
          <w:b w:val="0"/>
          <w:bCs/>
          <w:color w:val="auto"/>
          <w:highlight w:val="none"/>
        </w:rPr>
        <w:tab/>
      </w:r>
      <w:r>
        <w:rPr>
          <w:rFonts w:hAnsi="宋体"/>
          <w:b w:val="0"/>
          <w:bCs/>
          <w:color w:val="auto"/>
          <w:highlight w:val="none"/>
        </w:rPr>
        <w:t>质量保修金退还需提供的材料：乙方的付款申请单、收款账号资料证明、甲方指定部门出具的保修期满质量合格证明、合同保修条款、财务往来款项流水（盖财务章）等。</w:t>
      </w:r>
    </w:p>
    <w:p w14:paraId="13796E8D">
      <w:pPr>
        <w:pStyle w:val="20"/>
        <w:snapToGrid w:val="0"/>
        <w:spacing w:before="120" w:after="120" w:line="420" w:lineRule="exact"/>
        <w:rPr>
          <w:rFonts w:hAnsi="宋体"/>
          <w:b w:val="0"/>
          <w:bCs/>
          <w:color w:val="auto"/>
          <w:highlight w:val="none"/>
        </w:rPr>
      </w:pPr>
      <w:r>
        <w:rPr>
          <w:rFonts w:hAnsi="宋体"/>
          <w:b w:val="0"/>
          <w:bCs/>
          <w:color w:val="auto"/>
          <w:highlight w:val="none"/>
        </w:rPr>
        <w:t>10.2.3</w:t>
      </w:r>
      <w:r>
        <w:rPr>
          <w:rFonts w:hAnsi="宋体"/>
          <w:b w:val="0"/>
          <w:bCs/>
          <w:color w:val="auto"/>
          <w:highlight w:val="none"/>
        </w:rPr>
        <w:tab/>
      </w:r>
      <w:r>
        <w:rPr>
          <w:rFonts w:hAnsi="宋体"/>
          <w:b w:val="0"/>
          <w:bCs/>
          <w:color w:val="auto"/>
          <w:highlight w:val="none"/>
        </w:rPr>
        <w:t>因乙方无法及时提供正确有效的付款证明文件而导致的付款延误，由乙方负责。质量、交货期达不到合同要求的，在处理完成之前，乙方无权要求甲方支付任何款项。</w:t>
      </w:r>
    </w:p>
    <w:p w14:paraId="69225792">
      <w:pPr>
        <w:pStyle w:val="20"/>
        <w:snapToGrid w:val="0"/>
        <w:spacing w:before="120" w:after="120" w:line="420" w:lineRule="exact"/>
        <w:rPr>
          <w:rFonts w:hAnsi="宋体"/>
          <w:b w:val="0"/>
          <w:bCs/>
          <w:color w:val="auto"/>
          <w:highlight w:val="none"/>
        </w:rPr>
      </w:pPr>
      <w:r>
        <w:rPr>
          <w:rFonts w:hAnsi="宋体"/>
          <w:b w:val="0"/>
          <w:bCs/>
          <w:color w:val="auto"/>
          <w:highlight w:val="none"/>
        </w:rPr>
        <w:t>10.2.4</w:t>
      </w:r>
      <w:r>
        <w:rPr>
          <w:rFonts w:hAnsi="宋体"/>
          <w:b w:val="0"/>
          <w:bCs/>
          <w:color w:val="auto"/>
          <w:highlight w:val="none"/>
        </w:rPr>
        <w:tab/>
      </w:r>
      <w:r>
        <w:rPr>
          <w:rFonts w:hAnsi="宋体"/>
          <w:b w:val="0"/>
          <w:bCs/>
          <w:color w:val="auto"/>
          <w:highlight w:val="none"/>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4E66ED0E">
      <w:pPr>
        <w:pStyle w:val="20"/>
        <w:snapToGrid w:val="0"/>
        <w:spacing w:before="120" w:after="120" w:line="420" w:lineRule="exact"/>
        <w:rPr>
          <w:rFonts w:hAnsi="宋体"/>
          <w:b w:val="0"/>
          <w:bCs/>
          <w:color w:val="auto"/>
          <w:highlight w:val="none"/>
        </w:rPr>
      </w:pPr>
      <w:r>
        <w:rPr>
          <w:rFonts w:hAnsi="宋体"/>
          <w:b w:val="0"/>
          <w:bCs/>
          <w:color w:val="auto"/>
          <w:highlight w:val="none"/>
        </w:rPr>
        <w:t>十一、税费</w:t>
      </w:r>
    </w:p>
    <w:p w14:paraId="43DA7BDD">
      <w:pPr>
        <w:pStyle w:val="20"/>
        <w:snapToGrid w:val="0"/>
        <w:spacing w:before="120" w:after="120" w:line="420" w:lineRule="exact"/>
        <w:rPr>
          <w:rFonts w:hAnsi="宋体"/>
          <w:b w:val="0"/>
          <w:bCs/>
          <w:color w:val="auto"/>
          <w:highlight w:val="none"/>
        </w:rPr>
      </w:pPr>
      <w:r>
        <w:rPr>
          <w:rFonts w:hAnsi="宋体"/>
          <w:b w:val="0"/>
          <w:bCs/>
          <w:color w:val="auto"/>
          <w:highlight w:val="none"/>
        </w:rPr>
        <w:t>11.1本合同执行中相关的一切税费均由乙方负担。</w:t>
      </w:r>
    </w:p>
    <w:p w14:paraId="3EFDFBA1">
      <w:pPr>
        <w:pStyle w:val="20"/>
        <w:snapToGrid w:val="0"/>
        <w:spacing w:before="120" w:after="120" w:line="420" w:lineRule="exact"/>
        <w:rPr>
          <w:rFonts w:hint="default" w:hAnsi="宋体"/>
          <w:b w:val="0"/>
          <w:bCs/>
          <w:color w:val="auto"/>
          <w:highlight w:val="none"/>
        </w:rPr>
      </w:pPr>
      <w:r>
        <w:rPr>
          <w:rFonts w:hAnsi="宋体"/>
          <w:b w:val="0"/>
          <w:bCs/>
          <w:color w:val="auto"/>
          <w:highlight w:val="none"/>
        </w:rPr>
        <w:t>11.2 乙方应向甲方开具税点</w:t>
      </w:r>
      <w:r>
        <w:rPr>
          <w:rFonts w:hAnsi="宋体"/>
          <w:b w:val="0"/>
          <w:bCs/>
          <w:color w:val="auto"/>
          <w:highlight w:val="none"/>
          <w:u w:val="single"/>
        </w:rPr>
        <w:t xml:space="preserve"> 13 </w:t>
      </w:r>
      <w:r>
        <w:rPr>
          <w:rFonts w:hAnsi="宋体"/>
          <w:b w:val="0"/>
          <w:bCs/>
          <w:color w:val="auto"/>
          <w:highlight w:val="none"/>
        </w:rPr>
        <w:t>%的增值税专用发票（</w:t>
      </w:r>
      <w:r>
        <w:rPr>
          <w:rFonts w:hint="eastAsia" w:hAnsi="宋体"/>
          <w:b w:val="0"/>
          <w:bCs/>
          <w:color w:val="auto"/>
          <w:highlight w:val="none"/>
          <w:lang w:val="zh-CN"/>
        </w:rPr>
        <w:t>若因乙方单位性质原因或国家政策调整出现税率变动不能开具 13%税率的增值税专用发票的情况下，乙方同意甲方在支付第二次货款前，直接扣除乙方已缴纳的税款与按 13%税率计算的税款差额。</w:t>
      </w:r>
      <w:r>
        <w:rPr>
          <w:rFonts w:hAnsi="宋体"/>
          <w:b w:val="0"/>
          <w:bCs/>
          <w:color w:val="auto"/>
          <w:highlight w:val="none"/>
        </w:rPr>
        <w:t>）。</w:t>
      </w:r>
    </w:p>
    <w:p w14:paraId="37DF5B69">
      <w:pPr>
        <w:pStyle w:val="20"/>
        <w:snapToGrid w:val="0"/>
        <w:spacing w:before="120" w:after="120" w:line="420" w:lineRule="exact"/>
        <w:rPr>
          <w:rFonts w:hAnsi="宋体"/>
          <w:b w:val="0"/>
          <w:bCs/>
          <w:color w:val="auto"/>
          <w:highlight w:val="none"/>
        </w:rPr>
      </w:pPr>
      <w:r>
        <w:rPr>
          <w:rFonts w:hAnsi="宋体"/>
          <w:b w:val="0"/>
          <w:bCs/>
          <w:color w:val="auto"/>
          <w:highlight w:val="none"/>
        </w:rPr>
        <w:t>十二、质量保证及售后服务</w:t>
      </w:r>
    </w:p>
    <w:p w14:paraId="6BE41A8F">
      <w:pPr>
        <w:pStyle w:val="20"/>
        <w:snapToGrid w:val="0"/>
        <w:spacing w:before="120" w:after="120" w:line="420" w:lineRule="exact"/>
        <w:rPr>
          <w:rFonts w:hAnsi="宋体"/>
          <w:b w:val="0"/>
          <w:bCs/>
          <w:color w:val="auto"/>
          <w:highlight w:val="none"/>
        </w:rPr>
      </w:pPr>
      <w:r>
        <w:rPr>
          <w:rFonts w:hAnsi="宋体"/>
          <w:b w:val="0"/>
          <w:bCs/>
          <w:color w:val="auto"/>
          <w:highlight w:val="none"/>
        </w:rPr>
        <w:t>12.1 乙方应按招标文件规定的货物性能、技术要求、质量标准向甲方提供未经使用的全新产品。</w:t>
      </w:r>
    </w:p>
    <w:p w14:paraId="08DDE54E">
      <w:pPr>
        <w:pStyle w:val="20"/>
        <w:snapToGrid w:val="0"/>
        <w:spacing w:before="120" w:after="120" w:line="420" w:lineRule="exact"/>
        <w:rPr>
          <w:rFonts w:hAnsi="宋体"/>
          <w:b w:val="0"/>
          <w:bCs/>
          <w:color w:val="auto"/>
          <w:highlight w:val="none"/>
        </w:rPr>
      </w:pPr>
      <w:r>
        <w:rPr>
          <w:rFonts w:hAnsi="宋体"/>
          <w:b w:val="0"/>
          <w:bCs/>
          <w:color w:val="auto"/>
          <w:highlight w:val="none"/>
        </w:rPr>
        <w:t>12.2 乙方提供的货物在质量保证期内因货物本身的质量问题发生故障，乙方应负责免费更换。对达不到技术要求者，根据实际情况，经双方协商，可按以下办法处理：</w:t>
      </w:r>
    </w:p>
    <w:p w14:paraId="59BD1F6E">
      <w:pPr>
        <w:pStyle w:val="20"/>
        <w:snapToGrid w:val="0"/>
        <w:spacing w:before="120" w:after="120" w:line="420" w:lineRule="exact"/>
        <w:rPr>
          <w:rFonts w:hAnsi="宋体"/>
          <w:b w:val="0"/>
          <w:bCs/>
          <w:color w:val="auto"/>
          <w:highlight w:val="none"/>
        </w:rPr>
      </w:pPr>
      <w:r>
        <w:rPr>
          <w:rFonts w:hAnsi="宋体"/>
          <w:b w:val="0"/>
          <w:bCs/>
          <w:color w:val="auto"/>
          <w:highlight w:val="none"/>
        </w:rPr>
        <w:t>⑴更换：由乙方承担所发生的全部费用。</w:t>
      </w:r>
    </w:p>
    <w:p w14:paraId="018F60A7">
      <w:pPr>
        <w:pStyle w:val="20"/>
        <w:snapToGrid w:val="0"/>
        <w:spacing w:before="120" w:after="120" w:line="420" w:lineRule="exact"/>
        <w:rPr>
          <w:rFonts w:hAnsi="宋体"/>
          <w:b w:val="0"/>
          <w:bCs/>
          <w:color w:val="auto"/>
          <w:highlight w:val="none"/>
        </w:rPr>
      </w:pPr>
      <w:r>
        <w:rPr>
          <w:rFonts w:hAnsi="宋体"/>
          <w:b w:val="0"/>
          <w:bCs/>
          <w:color w:val="auto"/>
          <w:highlight w:val="none"/>
        </w:rPr>
        <w:t>⑵贬值处理：由甲乙双方合议定价。</w:t>
      </w:r>
    </w:p>
    <w:p w14:paraId="114B1EB3">
      <w:pPr>
        <w:pStyle w:val="20"/>
        <w:snapToGrid w:val="0"/>
        <w:spacing w:before="120" w:after="120" w:line="420" w:lineRule="exact"/>
        <w:rPr>
          <w:rFonts w:hAnsi="宋体"/>
          <w:b w:val="0"/>
          <w:bCs/>
          <w:color w:val="auto"/>
          <w:highlight w:val="none"/>
        </w:rPr>
      </w:pPr>
      <w:r>
        <w:rPr>
          <w:rFonts w:hAnsi="宋体"/>
          <w:b w:val="0"/>
          <w:bCs/>
          <w:color w:val="auto"/>
          <w:highlight w:val="none"/>
        </w:rPr>
        <w:t>⑶退货处理：乙方应退还甲方支付的合同款，同时应承担该货物的直接费用（运输、保险、检验、货款利息及银行手续费等）。</w:t>
      </w:r>
    </w:p>
    <w:p w14:paraId="605893C8">
      <w:pPr>
        <w:pStyle w:val="20"/>
        <w:snapToGrid w:val="0"/>
        <w:spacing w:before="120" w:after="120" w:line="420" w:lineRule="exact"/>
        <w:rPr>
          <w:rFonts w:hAnsi="宋体"/>
          <w:b w:val="0"/>
          <w:bCs/>
          <w:color w:val="auto"/>
          <w:highlight w:val="none"/>
        </w:rPr>
      </w:pPr>
      <w:r>
        <w:rPr>
          <w:rFonts w:hAnsi="宋体"/>
          <w:b w:val="0"/>
          <w:bCs/>
          <w:color w:val="auto"/>
          <w:highlight w:val="none"/>
        </w:rPr>
        <w:t>12.3如在使用过程中发生质量问题，一般常规性质量维修问题乙方在接到甲方通知后在</w:t>
      </w:r>
      <w:r>
        <w:rPr>
          <w:rFonts w:hAnsi="宋体"/>
          <w:b w:val="0"/>
          <w:bCs/>
          <w:color w:val="auto"/>
          <w:highlight w:val="none"/>
          <w:u w:val="single"/>
        </w:rPr>
        <w:t>4</w:t>
      </w:r>
      <w:r>
        <w:rPr>
          <w:rFonts w:hAnsi="宋体"/>
          <w:b w:val="0"/>
          <w:bCs/>
          <w:color w:val="auto"/>
          <w:highlight w:val="none"/>
        </w:rPr>
        <w:t>小时内到达甲方现场</w:t>
      </w:r>
      <w:r>
        <w:rPr>
          <w:rFonts w:hint="eastAsia" w:hAnsi="宋体"/>
          <w:b w:val="0"/>
          <w:bCs/>
          <w:color w:val="auto"/>
          <w:highlight w:val="none"/>
          <w:lang w:eastAsia="zh-CN"/>
        </w:rPr>
        <w:t>，</w:t>
      </w:r>
      <w:r>
        <w:rPr>
          <w:rFonts w:hAnsi="宋体"/>
          <w:b w:val="0"/>
          <w:bCs/>
          <w:color w:val="auto"/>
          <w:highlight w:val="none"/>
          <w:u w:val="single"/>
        </w:rPr>
        <w:t>8</w:t>
      </w:r>
      <w:r>
        <w:rPr>
          <w:rFonts w:hAnsi="宋体"/>
          <w:b w:val="0"/>
          <w:bCs/>
          <w:color w:val="auto"/>
          <w:highlight w:val="none"/>
        </w:rPr>
        <w:t>小时内完成维修责任，并需业主和甲方管理人员确认。如遇紧急的质量维修问题，乙方在接到甲方通知后在</w:t>
      </w:r>
      <w:r>
        <w:rPr>
          <w:rFonts w:hAnsi="宋体"/>
          <w:b w:val="0"/>
          <w:bCs/>
          <w:color w:val="auto"/>
          <w:highlight w:val="none"/>
          <w:u w:val="single"/>
        </w:rPr>
        <w:t xml:space="preserve"> </w:t>
      </w:r>
      <w:r>
        <w:rPr>
          <w:rFonts w:hint="default" w:hAnsi="宋体"/>
          <w:b w:val="0"/>
          <w:bCs/>
          <w:color w:val="auto"/>
          <w:highlight w:val="none"/>
          <w:u w:val="single"/>
        </w:rPr>
        <w:t xml:space="preserve">3 </w:t>
      </w:r>
      <w:r>
        <w:rPr>
          <w:rFonts w:hAnsi="宋体"/>
          <w:b w:val="0"/>
          <w:bCs/>
          <w:color w:val="auto"/>
          <w:highlight w:val="none"/>
        </w:rPr>
        <w:t>小时内到达甲方现场，</w:t>
      </w:r>
      <w:r>
        <w:rPr>
          <w:rFonts w:hAnsi="宋体"/>
          <w:b w:val="0"/>
          <w:bCs/>
          <w:color w:val="auto"/>
          <w:highlight w:val="none"/>
          <w:u w:val="single"/>
        </w:rPr>
        <w:t xml:space="preserve"> </w:t>
      </w:r>
      <w:r>
        <w:rPr>
          <w:rFonts w:hint="default" w:hAnsi="宋体"/>
          <w:b w:val="0"/>
          <w:bCs/>
          <w:color w:val="auto"/>
          <w:highlight w:val="none"/>
          <w:u w:val="single"/>
        </w:rPr>
        <w:t xml:space="preserve">4 </w:t>
      </w:r>
      <w:r>
        <w:rPr>
          <w:rFonts w:hAnsi="宋体"/>
          <w:b w:val="0"/>
          <w:bCs/>
          <w:color w:val="auto"/>
          <w:highlight w:val="none"/>
          <w:u w:val="single"/>
        </w:rPr>
        <w:t xml:space="preserve"> </w:t>
      </w:r>
      <w:r>
        <w:rPr>
          <w:rFonts w:hAnsi="宋体"/>
          <w:b w:val="0"/>
          <w:bCs/>
          <w:color w:val="auto"/>
          <w:highlight w:val="none"/>
        </w:rPr>
        <w:t>小时内完成维修责任，并需业主和甲方管理人员确认。</w:t>
      </w:r>
    </w:p>
    <w:p w14:paraId="057E9DC6">
      <w:pPr>
        <w:pStyle w:val="20"/>
        <w:snapToGrid w:val="0"/>
        <w:spacing w:before="120" w:after="120" w:line="420" w:lineRule="exact"/>
        <w:rPr>
          <w:rFonts w:hAnsi="宋体"/>
          <w:b w:val="0"/>
          <w:bCs/>
          <w:color w:val="auto"/>
          <w:highlight w:val="none"/>
        </w:rPr>
      </w:pPr>
      <w:r>
        <w:rPr>
          <w:rFonts w:hAnsi="宋体"/>
          <w:b w:val="0"/>
          <w:bCs/>
          <w:color w:val="auto"/>
          <w:highlight w:val="none"/>
        </w:rPr>
        <w:t>12.4在质保期内，乙方应对货物出现的质量及安全问题负责处理解决并承担一切费用；若乙方接甲方通知后</w:t>
      </w:r>
      <w:r>
        <w:rPr>
          <w:rFonts w:hAnsi="宋体"/>
          <w:b w:val="0"/>
          <w:bCs/>
          <w:color w:val="auto"/>
          <w:highlight w:val="none"/>
          <w:u w:val="single"/>
        </w:rPr>
        <w:t>8</w:t>
      </w:r>
      <w:r>
        <w:rPr>
          <w:rFonts w:hAnsi="宋体"/>
          <w:b w:val="0"/>
          <w:bCs/>
          <w:color w:val="auto"/>
          <w:highlight w:val="none"/>
        </w:rPr>
        <w:t>小时内不派人处理的，甲方可自行处理或委托第三方处理，处理费用由甲方从乙方预留的质量保证金中相应扣除。</w:t>
      </w:r>
    </w:p>
    <w:p w14:paraId="5F9261D4">
      <w:pPr>
        <w:pStyle w:val="20"/>
        <w:snapToGrid w:val="0"/>
        <w:spacing w:before="120" w:after="120" w:line="420" w:lineRule="exact"/>
        <w:rPr>
          <w:rFonts w:hAnsi="宋体"/>
          <w:b w:val="0"/>
          <w:bCs/>
          <w:color w:val="auto"/>
          <w:highlight w:val="none"/>
        </w:rPr>
      </w:pPr>
      <w:r>
        <w:rPr>
          <w:rFonts w:hAnsi="宋体"/>
          <w:b w:val="0"/>
          <w:bCs/>
          <w:color w:val="auto"/>
          <w:highlight w:val="none"/>
        </w:rPr>
        <w:t>12.5由于乙方无法联系或维修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748D592A">
      <w:pPr>
        <w:pStyle w:val="20"/>
        <w:snapToGrid w:val="0"/>
        <w:spacing w:before="120" w:after="120" w:line="420" w:lineRule="exact"/>
        <w:rPr>
          <w:rFonts w:hAnsi="宋体"/>
          <w:b w:val="0"/>
          <w:bCs/>
          <w:color w:val="auto"/>
          <w:highlight w:val="none"/>
        </w:rPr>
      </w:pPr>
      <w:r>
        <w:rPr>
          <w:rFonts w:hAnsi="宋体"/>
          <w:b w:val="0"/>
          <w:bCs/>
          <w:color w:val="auto"/>
          <w:highlight w:val="none"/>
        </w:rPr>
        <w:t>12.6如乙方不能维修或未能在甲方指定的合理期限内维修完好或维修过程中乙方维修质量无法达到甲方及使用方要求的，甲方有权自行另请他人代为维修并确定价格。所有修复费用及甲方损失赔偿费用加上相应违约金(修复及赔偿费的15％)可以从甲方支付乙方的任何款项（包括质保金）中扣除，但不解除乙方的任何应负的责任。</w:t>
      </w:r>
    </w:p>
    <w:p w14:paraId="13BF3D3E">
      <w:pPr>
        <w:pStyle w:val="20"/>
        <w:snapToGrid w:val="0"/>
        <w:spacing w:before="120" w:after="120" w:line="420" w:lineRule="exact"/>
        <w:rPr>
          <w:rFonts w:hAnsi="宋体"/>
          <w:b w:val="0"/>
          <w:bCs/>
          <w:color w:val="auto"/>
          <w:highlight w:val="none"/>
        </w:rPr>
      </w:pPr>
      <w:r>
        <w:rPr>
          <w:rFonts w:hAnsi="宋体"/>
          <w:b w:val="0"/>
          <w:bCs/>
          <w:color w:val="auto"/>
          <w:highlight w:val="none"/>
        </w:rPr>
        <w:t>12.7保修期限内出现的质量问题，应当保证从修复验收合格之日起一年内在相同部位不出现类似问题。否则，即使货物已超出保修期，乙方也均应予保修，相应部分保修款待维修完成延长保修满六个月后支付。</w:t>
      </w:r>
    </w:p>
    <w:p w14:paraId="5EE9B4F1">
      <w:pPr>
        <w:pStyle w:val="20"/>
        <w:snapToGrid w:val="0"/>
        <w:spacing w:before="120" w:after="120" w:line="420" w:lineRule="exact"/>
        <w:rPr>
          <w:rFonts w:hAnsi="宋体"/>
          <w:b w:val="0"/>
          <w:bCs/>
          <w:color w:val="auto"/>
          <w:highlight w:val="none"/>
        </w:rPr>
      </w:pPr>
      <w:r>
        <w:rPr>
          <w:rFonts w:hAnsi="宋体"/>
          <w:b w:val="0"/>
          <w:bCs/>
          <w:color w:val="auto"/>
          <w:highlight w:val="none"/>
        </w:rPr>
        <w:t>12.8上述的货物免费保修期为</w:t>
      </w:r>
      <w:r>
        <w:rPr>
          <w:rFonts w:hAnsi="宋体"/>
          <w:b w:val="0"/>
          <w:bCs/>
          <w:color w:val="auto"/>
          <w:highlight w:val="none"/>
          <w:u w:val="single"/>
        </w:rPr>
        <w:t xml:space="preserve">   </w:t>
      </w:r>
      <w:r>
        <w:rPr>
          <w:rFonts w:hAnsi="宋体"/>
          <w:b w:val="0"/>
          <w:bCs/>
          <w:color w:val="auto"/>
          <w:highlight w:val="none"/>
        </w:rPr>
        <w:t>年，因人为因素出现的故障不在免费保修范围内。</w:t>
      </w:r>
    </w:p>
    <w:p w14:paraId="5B1EA031">
      <w:pPr>
        <w:pStyle w:val="20"/>
        <w:numPr>
          <w:ilvl w:val="0"/>
          <w:numId w:val="8"/>
        </w:numPr>
        <w:snapToGrid w:val="0"/>
        <w:spacing w:before="120" w:after="120" w:line="420" w:lineRule="exact"/>
        <w:rPr>
          <w:rFonts w:hAnsi="宋体"/>
          <w:b w:val="0"/>
          <w:bCs/>
          <w:color w:val="auto"/>
          <w:highlight w:val="none"/>
        </w:rPr>
      </w:pPr>
      <w:r>
        <w:rPr>
          <w:rFonts w:hAnsi="宋体"/>
          <w:b w:val="0"/>
          <w:bCs/>
          <w:color w:val="auto"/>
          <w:highlight w:val="none"/>
        </w:rPr>
        <w:t>供货、调试和验收</w:t>
      </w:r>
    </w:p>
    <w:p w14:paraId="683374A8">
      <w:pPr>
        <w:pStyle w:val="20"/>
        <w:snapToGrid w:val="0"/>
        <w:spacing w:before="120" w:after="120" w:line="420" w:lineRule="exact"/>
        <w:rPr>
          <w:rFonts w:hAnsi="宋体"/>
          <w:b w:val="0"/>
          <w:bCs/>
          <w:color w:val="auto"/>
          <w:highlight w:val="none"/>
        </w:rPr>
      </w:pPr>
      <w:r>
        <w:rPr>
          <w:rFonts w:hAnsi="宋体"/>
          <w:b w:val="0"/>
          <w:bCs/>
          <w:color w:val="auto"/>
          <w:highlight w:val="none"/>
        </w:rPr>
        <w:t>13.1供货、安装</w:t>
      </w:r>
    </w:p>
    <w:p w14:paraId="5BF7ABCE">
      <w:pPr>
        <w:pStyle w:val="20"/>
        <w:snapToGrid w:val="0"/>
        <w:spacing w:before="120" w:after="120" w:line="420" w:lineRule="exact"/>
        <w:rPr>
          <w:rFonts w:hAnsi="宋体"/>
          <w:b w:val="0"/>
          <w:bCs/>
          <w:color w:val="auto"/>
          <w:highlight w:val="none"/>
        </w:rPr>
      </w:pPr>
      <w:r>
        <w:rPr>
          <w:rFonts w:hAnsi="宋体"/>
          <w:b w:val="0"/>
          <w:bCs/>
          <w:color w:val="auto"/>
          <w:highlight w:val="none"/>
        </w:rPr>
        <w:t>13.1.1本合同约定的供货方式为乙方送货上门，除不可抗力因素外，乙方必须按合同规定的地点、时间安排供货、卸货及搬运。</w:t>
      </w:r>
    </w:p>
    <w:p w14:paraId="46D2E8F6">
      <w:pPr>
        <w:pStyle w:val="20"/>
        <w:snapToGrid w:val="0"/>
        <w:spacing w:before="120" w:after="120" w:line="420" w:lineRule="exact"/>
        <w:rPr>
          <w:rFonts w:hAnsi="宋体"/>
          <w:b w:val="0"/>
          <w:bCs/>
          <w:color w:val="auto"/>
          <w:highlight w:val="none"/>
        </w:rPr>
      </w:pPr>
      <w:r>
        <w:rPr>
          <w:rFonts w:hAnsi="宋体"/>
          <w:b w:val="0"/>
          <w:bCs/>
          <w:color w:val="auto"/>
          <w:highlight w:val="none"/>
        </w:rPr>
        <w:t>13.1.2乙方不能按时完成供货、运输、安装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4E735552">
      <w:pPr>
        <w:pStyle w:val="20"/>
        <w:snapToGrid w:val="0"/>
        <w:spacing w:before="120" w:after="120" w:line="420" w:lineRule="exact"/>
        <w:rPr>
          <w:rFonts w:hAnsi="宋体"/>
          <w:b w:val="0"/>
          <w:bCs/>
          <w:color w:val="auto"/>
          <w:highlight w:val="none"/>
        </w:rPr>
      </w:pPr>
      <w:r>
        <w:rPr>
          <w:rFonts w:hAnsi="宋体"/>
          <w:b w:val="0"/>
          <w:bCs/>
          <w:color w:val="auto"/>
          <w:highlight w:val="none"/>
        </w:rPr>
        <w:t>13.1.3</w:t>
      </w:r>
      <w:r>
        <w:rPr>
          <w:rFonts w:hAnsi="宋体"/>
          <w:b w:val="0"/>
          <w:bCs/>
          <w:color w:val="auto"/>
          <w:highlight w:val="none"/>
        </w:rPr>
        <w:tab/>
      </w:r>
      <w:r>
        <w:rPr>
          <w:rFonts w:hAnsi="宋体"/>
          <w:b w:val="0"/>
          <w:bCs/>
          <w:color w:val="auto"/>
          <w:highlight w:val="none"/>
        </w:rPr>
        <w:t>乙方送货前24小时通知甲方相关部门。待货物全部到场且按照甲方或使用方要求安装调试就位完成后，乙方应无条件配合甲方完成验收工作。</w:t>
      </w:r>
    </w:p>
    <w:p w14:paraId="3A0FC7C6">
      <w:pPr>
        <w:pStyle w:val="20"/>
        <w:snapToGrid w:val="0"/>
        <w:spacing w:before="120" w:after="120" w:line="420" w:lineRule="exact"/>
        <w:rPr>
          <w:rFonts w:hAnsi="宋体"/>
          <w:b w:val="0"/>
          <w:bCs/>
          <w:color w:val="auto"/>
          <w:highlight w:val="none"/>
        </w:rPr>
      </w:pPr>
      <w:r>
        <w:rPr>
          <w:rFonts w:hAnsi="宋体"/>
          <w:b w:val="0"/>
          <w:bCs/>
          <w:color w:val="auto"/>
          <w:highlight w:val="none"/>
        </w:rPr>
        <w:t>13.1.4</w:t>
      </w:r>
      <w:r>
        <w:rPr>
          <w:rFonts w:hAnsi="宋体"/>
          <w:b w:val="0"/>
          <w:bCs/>
          <w:color w:val="auto"/>
          <w:highlight w:val="none"/>
        </w:rPr>
        <w:tab/>
      </w:r>
      <w:r>
        <w:rPr>
          <w:rFonts w:hAnsi="宋体"/>
          <w:b w:val="0"/>
          <w:bCs/>
          <w:color w:val="auto"/>
          <w:highlight w:val="none"/>
        </w:rPr>
        <w:t>乙方应无条件接受甲方对供货期调整、暂停供货、恢复供货的要求，具体方式为：甲方提前15天发出有甲方代表签发的书面通知，乙方代表进行书面确认后即可执行。</w:t>
      </w:r>
    </w:p>
    <w:p w14:paraId="3E4E9705">
      <w:pPr>
        <w:pStyle w:val="20"/>
        <w:snapToGrid w:val="0"/>
        <w:spacing w:before="120" w:after="120" w:line="420" w:lineRule="exact"/>
        <w:rPr>
          <w:rFonts w:hAnsi="宋体"/>
          <w:b w:val="0"/>
          <w:bCs/>
          <w:color w:val="auto"/>
          <w:highlight w:val="none"/>
        </w:rPr>
      </w:pPr>
      <w:r>
        <w:rPr>
          <w:rFonts w:hAnsi="宋体"/>
          <w:b w:val="0"/>
          <w:bCs/>
          <w:color w:val="auto"/>
          <w:highlight w:val="none"/>
        </w:rPr>
        <w:t>13.2.调试和验收</w:t>
      </w:r>
    </w:p>
    <w:p w14:paraId="45117A9C">
      <w:pPr>
        <w:pStyle w:val="20"/>
        <w:snapToGrid w:val="0"/>
        <w:spacing w:before="120" w:after="120" w:line="420" w:lineRule="exact"/>
        <w:rPr>
          <w:rFonts w:hAnsi="宋体"/>
          <w:b w:val="0"/>
          <w:bCs/>
          <w:color w:val="auto"/>
          <w:highlight w:val="none"/>
        </w:rPr>
      </w:pPr>
      <w:r>
        <w:rPr>
          <w:rFonts w:hAnsi="宋体"/>
          <w:b w:val="0"/>
          <w:bCs/>
          <w:color w:val="auto"/>
          <w:highlight w:val="none"/>
        </w:rPr>
        <w:t>13.2.1</w:t>
      </w:r>
      <w:r>
        <w:rPr>
          <w:rFonts w:hAnsi="宋体"/>
          <w:b w:val="0"/>
          <w:bCs/>
          <w:color w:val="auto"/>
          <w:highlight w:val="none"/>
        </w:rPr>
        <w:tab/>
      </w:r>
      <w:r>
        <w:rPr>
          <w:rFonts w:hAnsi="宋体"/>
          <w:b w:val="0"/>
          <w:bCs/>
          <w:color w:val="auto"/>
          <w:highlight w:val="none"/>
        </w:rPr>
        <w:t>乙方将货物按照甲方或使用人要求安装、调试就位完成，向甲方提交验收申请后，由甲方组织验收，</w:t>
      </w:r>
      <w:r>
        <w:rPr>
          <w:rFonts w:hint="eastAsia" w:hAnsi="宋体"/>
          <w:b w:val="0"/>
          <w:bCs/>
          <w:color w:val="auto"/>
          <w:highlight w:val="none"/>
          <w:lang w:val="en-US" w:eastAsia="zh-CN"/>
        </w:rPr>
        <w:t>交货产品</w:t>
      </w:r>
      <w:r>
        <w:rPr>
          <w:rFonts w:hint="eastAsia" w:hAnsi="宋体"/>
          <w:b w:val="0"/>
          <w:bCs/>
          <w:color w:val="auto"/>
          <w:highlight w:val="none"/>
        </w:rPr>
        <w:t>（包括零部件）必须符合国家质量检测标准、符合</w:t>
      </w:r>
      <w:r>
        <w:rPr>
          <w:rFonts w:hint="eastAsia" w:hAnsi="宋体"/>
          <w:b w:val="0"/>
          <w:bCs/>
          <w:color w:val="auto"/>
          <w:highlight w:val="none"/>
          <w:lang w:val="en-US" w:eastAsia="zh-CN"/>
        </w:rPr>
        <w:t>合同标的物</w:t>
      </w:r>
      <w:r>
        <w:rPr>
          <w:rFonts w:hint="eastAsia" w:hAnsi="宋体"/>
          <w:b w:val="0"/>
          <w:bCs/>
          <w:color w:val="auto"/>
          <w:highlight w:val="none"/>
        </w:rPr>
        <w:t>中的规格、材质等要求</w:t>
      </w:r>
      <w:r>
        <w:rPr>
          <w:rFonts w:hint="eastAsia" w:hAnsi="宋体"/>
          <w:b w:val="0"/>
          <w:bCs/>
          <w:color w:val="auto"/>
          <w:highlight w:val="none"/>
          <w:lang w:eastAsia="zh-CN"/>
        </w:rPr>
        <w:t>，</w:t>
      </w:r>
      <w:r>
        <w:rPr>
          <w:rFonts w:hint="eastAsia" w:hAnsi="宋体"/>
          <w:b w:val="0"/>
          <w:bCs/>
          <w:color w:val="auto"/>
          <w:highlight w:val="none"/>
          <w:lang w:val="en-US" w:eastAsia="zh-CN"/>
        </w:rPr>
        <w:t>同时需提供交货产品的合格证书给甲方用于验收，</w:t>
      </w:r>
      <w:r>
        <w:rPr>
          <w:rFonts w:hAnsi="宋体"/>
          <w:b w:val="0"/>
          <w:bCs/>
          <w:color w:val="auto"/>
          <w:highlight w:val="none"/>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0CE6488E">
      <w:pPr>
        <w:pStyle w:val="20"/>
        <w:snapToGrid w:val="0"/>
        <w:spacing w:before="120" w:after="120" w:line="420" w:lineRule="exact"/>
        <w:rPr>
          <w:rFonts w:hAnsi="宋体"/>
          <w:b w:val="0"/>
          <w:bCs/>
          <w:color w:val="auto"/>
          <w:highlight w:val="none"/>
        </w:rPr>
      </w:pPr>
      <w:r>
        <w:rPr>
          <w:rFonts w:hAnsi="宋体"/>
          <w:b w:val="0"/>
          <w:bCs/>
          <w:color w:val="auto"/>
          <w:highlight w:val="none"/>
        </w:rPr>
        <w:t>13.2.2</w:t>
      </w:r>
      <w:r>
        <w:rPr>
          <w:rFonts w:hAnsi="宋体"/>
          <w:b w:val="0"/>
          <w:bCs/>
          <w:color w:val="auto"/>
          <w:highlight w:val="none"/>
        </w:rPr>
        <w:tab/>
      </w:r>
      <w:r>
        <w:rPr>
          <w:rFonts w:hAnsi="宋体"/>
          <w:b w:val="0"/>
          <w:bCs/>
          <w:color w:val="auto"/>
          <w:highlight w:val="none"/>
        </w:rPr>
        <w:t>不符合验收标准的货物，甲方有权拒收、部分拒收、退货、部分退货、解除合同，并向乙方索赔因此造成的甲方损失。验收不合格的货物，甲方不予计量和支付任何货款。</w:t>
      </w:r>
    </w:p>
    <w:p w14:paraId="13EA57B8">
      <w:pPr>
        <w:pStyle w:val="20"/>
        <w:snapToGrid w:val="0"/>
        <w:spacing w:before="120" w:after="120" w:line="420" w:lineRule="exact"/>
        <w:rPr>
          <w:rFonts w:hAnsi="宋体"/>
          <w:b w:val="0"/>
          <w:bCs/>
          <w:color w:val="auto"/>
          <w:highlight w:val="none"/>
        </w:rPr>
      </w:pPr>
      <w:r>
        <w:rPr>
          <w:rFonts w:hAnsi="宋体"/>
          <w:b w:val="0"/>
          <w:bCs/>
          <w:color w:val="auto"/>
          <w:highlight w:val="none"/>
        </w:rPr>
        <w:t>13.2.3 乙方交货前应对产品做出全面检查和对验收文件进行整理，并列出清单，作为甲方收货验收和使用的技术条件依据，检验的结果应随货物交甲方。</w:t>
      </w:r>
    </w:p>
    <w:p w14:paraId="3F683CD7">
      <w:pPr>
        <w:pStyle w:val="20"/>
        <w:snapToGrid w:val="0"/>
        <w:spacing w:before="120" w:after="120" w:line="420" w:lineRule="exact"/>
        <w:rPr>
          <w:rFonts w:hAnsi="宋体"/>
          <w:b w:val="0"/>
          <w:bCs/>
          <w:color w:val="auto"/>
          <w:highlight w:val="none"/>
        </w:rPr>
      </w:pPr>
      <w:r>
        <w:rPr>
          <w:rFonts w:hAnsi="宋体"/>
          <w:b w:val="0"/>
          <w:bCs/>
          <w:color w:val="auto"/>
          <w:highlight w:val="none"/>
        </w:rPr>
        <w:t>13.2.4 对技术复杂的货物，甲方应请国家认可的专业检测机构参与初步验收及最终验收，并由其出具质量检测报告。</w:t>
      </w:r>
    </w:p>
    <w:p w14:paraId="62C4A4AD">
      <w:pPr>
        <w:pStyle w:val="20"/>
        <w:snapToGrid w:val="0"/>
        <w:spacing w:before="120" w:after="120" w:line="420" w:lineRule="exact"/>
        <w:rPr>
          <w:rFonts w:hAnsi="宋体"/>
          <w:b w:val="0"/>
          <w:bCs/>
          <w:color w:val="auto"/>
          <w:highlight w:val="none"/>
        </w:rPr>
      </w:pPr>
      <w:r>
        <w:rPr>
          <w:rFonts w:hAnsi="宋体"/>
          <w:b w:val="0"/>
          <w:bCs/>
          <w:color w:val="auto"/>
          <w:highlight w:val="none"/>
        </w:rPr>
        <w:t>13.2.5 验收时乙方必须在现场，验收完毕后作出验收结果报告；验收费用已包含在合同内。</w:t>
      </w:r>
    </w:p>
    <w:p w14:paraId="5C8107A7">
      <w:pPr>
        <w:pStyle w:val="20"/>
        <w:snapToGrid w:val="0"/>
        <w:spacing w:before="120" w:after="120" w:line="420" w:lineRule="exact"/>
        <w:rPr>
          <w:rFonts w:hAnsi="宋体"/>
          <w:b w:val="0"/>
          <w:bCs/>
          <w:color w:val="auto"/>
          <w:highlight w:val="none"/>
        </w:rPr>
      </w:pPr>
      <w:r>
        <w:rPr>
          <w:rFonts w:hAnsi="宋体"/>
          <w:b w:val="0"/>
          <w:bCs/>
          <w:color w:val="auto"/>
          <w:highlight w:val="none"/>
        </w:rPr>
        <w:t>十四、货物包装、发运、运输及安装</w:t>
      </w:r>
    </w:p>
    <w:p w14:paraId="09F636E7">
      <w:pPr>
        <w:pStyle w:val="20"/>
        <w:snapToGrid w:val="0"/>
        <w:spacing w:before="120" w:after="120" w:line="420" w:lineRule="exact"/>
        <w:rPr>
          <w:rFonts w:hAnsi="宋体"/>
          <w:b w:val="0"/>
          <w:bCs/>
          <w:color w:val="auto"/>
          <w:highlight w:val="none"/>
        </w:rPr>
      </w:pPr>
      <w:r>
        <w:rPr>
          <w:rFonts w:hAnsi="宋体"/>
          <w:b w:val="0"/>
          <w:bCs/>
          <w:color w:val="auto"/>
          <w:highlight w:val="none"/>
        </w:rPr>
        <w:t>14.1 乙方应在货物发运前对其进行满足运输距离、防潮、防震、防锈和防破损装卸等要求包装，以保证货物安全运达甲方指定地点。</w:t>
      </w:r>
    </w:p>
    <w:p w14:paraId="1B7FA80A">
      <w:pPr>
        <w:pStyle w:val="20"/>
        <w:snapToGrid w:val="0"/>
        <w:spacing w:before="120" w:after="120" w:line="420" w:lineRule="exact"/>
        <w:rPr>
          <w:rFonts w:hAnsi="宋体"/>
          <w:b w:val="0"/>
          <w:bCs/>
          <w:color w:val="auto"/>
          <w:highlight w:val="none"/>
        </w:rPr>
      </w:pPr>
      <w:r>
        <w:rPr>
          <w:rFonts w:hAnsi="宋体"/>
          <w:b w:val="0"/>
          <w:bCs/>
          <w:color w:val="auto"/>
          <w:highlight w:val="none"/>
        </w:rPr>
        <w:t>14.2 使用说明书、质量检验证明书、随配附件和工具以及清单一并附于货物内。</w:t>
      </w:r>
    </w:p>
    <w:p w14:paraId="24DD28F1">
      <w:pPr>
        <w:pStyle w:val="20"/>
        <w:snapToGrid w:val="0"/>
        <w:spacing w:before="120" w:after="120" w:line="420" w:lineRule="exact"/>
        <w:rPr>
          <w:rFonts w:hAnsi="宋体"/>
          <w:b w:val="0"/>
          <w:bCs/>
          <w:color w:val="auto"/>
          <w:highlight w:val="none"/>
        </w:rPr>
      </w:pPr>
      <w:r>
        <w:rPr>
          <w:rFonts w:hAnsi="宋体"/>
          <w:b w:val="0"/>
          <w:bCs/>
          <w:color w:val="auto"/>
          <w:highlight w:val="none"/>
        </w:rPr>
        <w:t>14.3 乙方在货物发运手续办理完毕后24小时内或货到甲方的48小时前通知甲方，以准备接货。待货物全部到场后且按照甲方或使用方要求安装、调试、就位完成后，乙方应无条件配合甲方于5个日历天内完成验收工作。</w:t>
      </w:r>
    </w:p>
    <w:p w14:paraId="7FEF6BEC">
      <w:pPr>
        <w:pStyle w:val="20"/>
        <w:snapToGrid w:val="0"/>
        <w:spacing w:before="120" w:after="120" w:line="420" w:lineRule="exact"/>
        <w:rPr>
          <w:rFonts w:hAnsi="宋体"/>
          <w:b w:val="0"/>
          <w:bCs/>
          <w:color w:val="auto"/>
          <w:highlight w:val="none"/>
        </w:rPr>
      </w:pPr>
      <w:r>
        <w:rPr>
          <w:rFonts w:hAnsi="宋体"/>
          <w:b w:val="0"/>
          <w:bCs/>
          <w:color w:val="auto"/>
          <w:highlight w:val="none"/>
        </w:rPr>
        <w:t>14.4 货物在未经验收合格并交付甲方使用前，货物的成品与半成品的保管及保护均由乙方负责，保管及保护费用由乙方在投标报价中综合考虑，结算时不再计取。</w:t>
      </w:r>
    </w:p>
    <w:p w14:paraId="7EA3A3CD">
      <w:pPr>
        <w:pStyle w:val="20"/>
        <w:snapToGrid w:val="0"/>
        <w:spacing w:before="120" w:after="120" w:line="420" w:lineRule="exact"/>
        <w:rPr>
          <w:rFonts w:hAnsi="宋体"/>
          <w:b w:val="0"/>
          <w:bCs/>
          <w:color w:val="auto"/>
          <w:highlight w:val="none"/>
        </w:rPr>
      </w:pPr>
      <w:r>
        <w:rPr>
          <w:rFonts w:hAnsi="宋体"/>
          <w:b w:val="0"/>
          <w:bCs/>
          <w:color w:val="auto"/>
          <w:highlight w:val="none"/>
        </w:rPr>
        <w:t>14.5 货物在规定的交付期限内由乙方送达甲方指定的地点，同时需通知甲方对货物数量、外观尺寸进行核对。</w:t>
      </w:r>
    </w:p>
    <w:p w14:paraId="5D6DBD60">
      <w:pPr>
        <w:pStyle w:val="20"/>
        <w:snapToGrid w:val="0"/>
        <w:spacing w:before="120" w:after="120" w:line="420" w:lineRule="exact"/>
        <w:rPr>
          <w:rFonts w:hAnsi="宋体"/>
          <w:b w:val="0"/>
          <w:bCs/>
          <w:color w:val="auto"/>
          <w:highlight w:val="none"/>
        </w:rPr>
      </w:pPr>
      <w:r>
        <w:rPr>
          <w:rFonts w:hAnsi="宋体"/>
          <w:b w:val="0"/>
          <w:bCs/>
          <w:color w:val="auto"/>
          <w:highlight w:val="none"/>
        </w:rPr>
        <w:t>14.6 货到现场，乙方须在规定的时间内完成搬运、装配、强弱电布线、开孔等安装工作，如甲方需调整货物位置，乙方须无条件配合保证货物能准确安装到位。</w:t>
      </w:r>
    </w:p>
    <w:p w14:paraId="5DBE02B6">
      <w:pPr>
        <w:pStyle w:val="20"/>
        <w:snapToGrid w:val="0"/>
        <w:spacing w:before="120" w:after="120" w:line="420" w:lineRule="exact"/>
        <w:rPr>
          <w:rFonts w:hAnsi="宋体"/>
          <w:b w:val="0"/>
          <w:bCs/>
          <w:color w:val="auto"/>
          <w:highlight w:val="none"/>
        </w:rPr>
      </w:pPr>
      <w:r>
        <w:rPr>
          <w:rFonts w:hAnsi="宋体"/>
          <w:b w:val="0"/>
          <w:bCs/>
          <w:color w:val="auto"/>
          <w:highlight w:val="none"/>
        </w:rPr>
        <w:t>十五、违约责任</w:t>
      </w:r>
    </w:p>
    <w:p w14:paraId="5232EAC8">
      <w:pPr>
        <w:pStyle w:val="20"/>
        <w:snapToGrid w:val="0"/>
        <w:spacing w:before="120" w:after="120" w:line="420" w:lineRule="exact"/>
        <w:rPr>
          <w:rFonts w:hAnsi="宋体"/>
          <w:b w:val="0"/>
          <w:bCs/>
          <w:color w:val="auto"/>
          <w:highlight w:val="none"/>
        </w:rPr>
      </w:pPr>
      <w:r>
        <w:rPr>
          <w:rFonts w:hAnsi="宋体"/>
          <w:b w:val="0"/>
          <w:bCs/>
          <w:color w:val="auto"/>
          <w:highlight w:val="none"/>
        </w:rPr>
        <w:t xml:space="preserve">15.1 乙方逾期完成供货、运输、安装、施工工作的，乙方应按每延误一日以人民币1000元的标准向甲方支付违约金，由甲方从待付货款中扣除。逾期超过约定日期10个日历天不能完成供货、运输、安装、施工工作的，甲方可解除本合同。乙方因逾期交货或因其他违约行为导致甲方解除合同的，甲方可没收乙方的履约保证作为违约金，如造成甲方损失超过违约金的，超出部分由乙方继续承担赔偿责任。 </w:t>
      </w:r>
    </w:p>
    <w:p w14:paraId="6D556949">
      <w:pPr>
        <w:pStyle w:val="20"/>
        <w:snapToGrid w:val="0"/>
        <w:spacing w:before="120" w:after="120" w:line="420" w:lineRule="exact"/>
        <w:rPr>
          <w:rFonts w:hAnsi="宋体"/>
          <w:b w:val="0"/>
          <w:bCs/>
          <w:color w:val="auto"/>
          <w:highlight w:val="none"/>
        </w:rPr>
      </w:pPr>
      <w:r>
        <w:rPr>
          <w:rFonts w:hAnsi="宋体"/>
          <w:b w:val="0"/>
          <w:bCs/>
          <w:color w:val="auto"/>
          <w:highlight w:val="none"/>
        </w:rPr>
        <w:t>15.2 乙方安装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129E1A5E">
      <w:pPr>
        <w:pStyle w:val="20"/>
        <w:snapToGrid w:val="0"/>
        <w:spacing w:before="120" w:after="120" w:line="420" w:lineRule="exact"/>
        <w:rPr>
          <w:rFonts w:hAnsi="宋体"/>
          <w:b w:val="0"/>
          <w:bCs/>
          <w:color w:val="auto"/>
          <w:highlight w:val="none"/>
        </w:rPr>
      </w:pPr>
      <w:r>
        <w:rPr>
          <w:rFonts w:hAnsi="宋体"/>
          <w:b w:val="0"/>
          <w:bCs/>
          <w:color w:val="auto"/>
          <w:highlight w:val="none"/>
        </w:rPr>
        <w:t>15.3本合同中所有乙方应支付的违约金，甲方有权在给乙方的任何款项中扣除。</w:t>
      </w:r>
    </w:p>
    <w:p w14:paraId="069749F3">
      <w:pPr>
        <w:pStyle w:val="20"/>
        <w:snapToGrid w:val="0"/>
        <w:spacing w:before="120" w:after="120" w:line="420" w:lineRule="exact"/>
        <w:rPr>
          <w:rFonts w:hAnsi="宋体"/>
          <w:b w:val="0"/>
          <w:bCs/>
          <w:color w:val="auto"/>
          <w:highlight w:val="none"/>
        </w:rPr>
      </w:pPr>
      <w:r>
        <w:rPr>
          <w:rFonts w:hAnsi="宋体"/>
          <w:b w:val="0"/>
          <w:bCs/>
          <w:color w:val="auto"/>
          <w:highlight w:val="none"/>
        </w:rPr>
        <w:t>15.4如乙方在本项目有违反廉政规定并被纪检部门或司法机关查处的，则乙方向甲方支付合同价10%的违约金。</w:t>
      </w:r>
    </w:p>
    <w:p w14:paraId="71D03E4F">
      <w:pPr>
        <w:pStyle w:val="20"/>
        <w:snapToGrid w:val="0"/>
        <w:spacing w:before="120" w:after="120" w:line="420" w:lineRule="exact"/>
        <w:rPr>
          <w:rFonts w:hAnsi="宋体"/>
          <w:b w:val="0"/>
          <w:bCs/>
          <w:color w:val="auto"/>
          <w:highlight w:val="none"/>
        </w:rPr>
      </w:pPr>
      <w:r>
        <w:rPr>
          <w:rFonts w:hAnsi="宋体"/>
          <w:b w:val="0"/>
          <w:bCs/>
          <w:color w:val="auto"/>
          <w:highlight w:val="none"/>
        </w:rPr>
        <w:t>十六、不可抗力事件处理</w:t>
      </w:r>
    </w:p>
    <w:p w14:paraId="2BC2CA21">
      <w:pPr>
        <w:pStyle w:val="20"/>
        <w:snapToGrid w:val="0"/>
        <w:spacing w:before="120" w:after="120" w:line="420" w:lineRule="exact"/>
        <w:rPr>
          <w:rFonts w:hAnsi="宋体"/>
          <w:b w:val="0"/>
          <w:bCs/>
          <w:color w:val="auto"/>
          <w:highlight w:val="none"/>
        </w:rPr>
      </w:pPr>
      <w:r>
        <w:rPr>
          <w:rFonts w:hAnsi="宋体"/>
          <w:b w:val="0"/>
          <w:bCs/>
          <w:color w:val="auto"/>
          <w:highlight w:val="none"/>
        </w:rPr>
        <w:t>16.1 在合同有效期内，任何一方因不可抗力事件导致不能履行合同，则合同履行期可延长，其延长期与不可抗力影响期相同。</w:t>
      </w:r>
    </w:p>
    <w:p w14:paraId="58CE3EAF">
      <w:pPr>
        <w:pStyle w:val="20"/>
        <w:snapToGrid w:val="0"/>
        <w:spacing w:before="120" w:after="120" w:line="420" w:lineRule="exact"/>
        <w:rPr>
          <w:rFonts w:hAnsi="宋体"/>
          <w:b w:val="0"/>
          <w:bCs/>
          <w:color w:val="auto"/>
          <w:highlight w:val="none"/>
        </w:rPr>
      </w:pPr>
      <w:r>
        <w:rPr>
          <w:rFonts w:hAnsi="宋体"/>
          <w:b w:val="0"/>
          <w:bCs/>
          <w:color w:val="auto"/>
          <w:highlight w:val="none"/>
        </w:rPr>
        <w:t>16.2 不可抗力事件发生后，应立即通知对方，并寄送有关权威机构出具的证明。</w:t>
      </w:r>
    </w:p>
    <w:p w14:paraId="42245DE1">
      <w:pPr>
        <w:pStyle w:val="20"/>
        <w:snapToGrid w:val="0"/>
        <w:spacing w:before="120" w:after="120" w:line="420" w:lineRule="exact"/>
        <w:rPr>
          <w:rFonts w:hAnsi="宋体"/>
          <w:b w:val="0"/>
          <w:bCs/>
          <w:color w:val="auto"/>
          <w:highlight w:val="none"/>
        </w:rPr>
      </w:pPr>
      <w:r>
        <w:rPr>
          <w:rFonts w:hAnsi="宋体"/>
          <w:b w:val="0"/>
          <w:bCs/>
          <w:color w:val="auto"/>
          <w:highlight w:val="none"/>
        </w:rPr>
        <w:t>16.3 不可抗力事件延续120天以上，双方应通过友好协商，确定是否继续履行合同。</w:t>
      </w:r>
    </w:p>
    <w:p w14:paraId="60A65083">
      <w:pPr>
        <w:pStyle w:val="20"/>
        <w:snapToGrid w:val="0"/>
        <w:spacing w:before="120" w:after="120" w:line="420" w:lineRule="exact"/>
        <w:rPr>
          <w:rFonts w:hAnsi="宋体"/>
          <w:b w:val="0"/>
          <w:bCs/>
          <w:color w:val="auto"/>
          <w:highlight w:val="none"/>
        </w:rPr>
      </w:pPr>
      <w:r>
        <w:rPr>
          <w:rFonts w:hAnsi="宋体"/>
          <w:b w:val="0"/>
          <w:bCs/>
          <w:color w:val="auto"/>
          <w:highlight w:val="none"/>
        </w:rPr>
        <w:t>十七、诉讼</w:t>
      </w:r>
    </w:p>
    <w:p w14:paraId="00AC8B18">
      <w:pPr>
        <w:pStyle w:val="20"/>
        <w:snapToGrid w:val="0"/>
        <w:spacing w:before="120" w:after="120" w:line="420" w:lineRule="exact"/>
        <w:rPr>
          <w:rFonts w:hAnsi="宋体"/>
          <w:b w:val="0"/>
          <w:bCs/>
          <w:color w:val="auto"/>
          <w:highlight w:val="none"/>
        </w:rPr>
      </w:pPr>
      <w:r>
        <w:rPr>
          <w:rFonts w:hAnsi="宋体"/>
          <w:b w:val="0"/>
          <w:bCs/>
          <w:color w:val="auto"/>
          <w:highlight w:val="none"/>
        </w:rPr>
        <w:t>17.1 双方在执行合同中所发生的一切争议，应通过协商解决。如协商不成，可向合同签订的法院起诉，合同签订地在此约定为</w:t>
      </w:r>
      <w:r>
        <w:rPr>
          <w:rFonts w:hint="eastAsia" w:hAnsi="宋体"/>
          <w:b w:val="0"/>
          <w:bCs/>
          <w:color w:val="auto"/>
          <w:highlight w:val="none"/>
          <w:u w:val="single"/>
          <w:lang w:val="en-US" w:eastAsia="zh-CN"/>
        </w:rPr>
        <w:t xml:space="preserve"> 台州市 </w:t>
      </w:r>
      <w:r>
        <w:rPr>
          <w:rFonts w:hAnsi="宋体"/>
          <w:b w:val="0"/>
          <w:bCs/>
          <w:color w:val="auto"/>
          <w:highlight w:val="none"/>
        </w:rPr>
        <w:t>。</w:t>
      </w:r>
    </w:p>
    <w:p w14:paraId="4E059353">
      <w:pPr>
        <w:pStyle w:val="20"/>
        <w:snapToGrid w:val="0"/>
        <w:spacing w:before="120" w:after="120" w:line="420" w:lineRule="exact"/>
        <w:rPr>
          <w:rFonts w:hAnsi="宋体"/>
          <w:b w:val="0"/>
          <w:bCs/>
          <w:color w:val="auto"/>
          <w:highlight w:val="none"/>
        </w:rPr>
      </w:pPr>
      <w:r>
        <w:rPr>
          <w:rFonts w:hAnsi="宋体"/>
          <w:b w:val="0"/>
          <w:bCs/>
          <w:color w:val="auto"/>
          <w:highlight w:val="none"/>
        </w:rPr>
        <w:t>十八、合同生效及其它</w:t>
      </w:r>
    </w:p>
    <w:p w14:paraId="2D3ADE15">
      <w:pPr>
        <w:pStyle w:val="20"/>
        <w:snapToGrid w:val="0"/>
        <w:spacing w:before="120" w:after="120" w:line="420" w:lineRule="exact"/>
        <w:rPr>
          <w:rFonts w:hAnsi="宋体"/>
          <w:b w:val="0"/>
          <w:bCs/>
          <w:color w:val="auto"/>
          <w:highlight w:val="none"/>
        </w:rPr>
      </w:pPr>
      <w:r>
        <w:rPr>
          <w:rFonts w:hAnsi="宋体"/>
          <w:b w:val="0"/>
          <w:bCs/>
          <w:color w:val="auto"/>
          <w:highlight w:val="none"/>
        </w:rPr>
        <w:t>18.1 合同经双方法定代表人或授权委托代理人签字并加盖单位公章后生效。</w:t>
      </w:r>
    </w:p>
    <w:p w14:paraId="677061D2">
      <w:pPr>
        <w:pStyle w:val="20"/>
        <w:snapToGrid w:val="0"/>
        <w:spacing w:before="120" w:after="120" w:line="420" w:lineRule="exact"/>
        <w:rPr>
          <w:rFonts w:hAnsi="宋体"/>
          <w:b w:val="0"/>
          <w:bCs/>
          <w:color w:val="auto"/>
          <w:highlight w:val="none"/>
        </w:rPr>
      </w:pPr>
      <w:r>
        <w:rPr>
          <w:rFonts w:hAnsi="宋体"/>
          <w:b w:val="0"/>
          <w:bCs/>
          <w:color w:val="auto"/>
          <w:highlight w:val="none"/>
        </w:rPr>
        <w:t>18.2本合同未尽事宜，遵照《民法典》有关条文执行。</w:t>
      </w:r>
    </w:p>
    <w:p w14:paraId="10B06784">
      <w:pPr>
        <w:pStyle w:val="20"/>
        <w:snapToGrid w:val="0"/>
        <w:spacing w:before="120" w:after="120" w:line="420" w:lineRule="exact"/>
        <w:rPr>
          <w:rFonts w:hAnsi="宋体"/>
          <w:b w:val="0"/>
          <w:bCs/>
          <w:color w:val="auto"/>
          <w:highlight w:val="none"/>
        </w:rPr>
      </w:pPr>
      <w:r>
        <w:rPr>
          <w:rFonts w:hAnsi="宋体"/>
          <w:b w:val="0"/>
          <w:bCs/>
          <w:color w:val="auto"/>
          <w:highlight w:val="none"/>
        </w:rPr>
        <w:t>18.3本合同一式</w:t>
      </w:r>
      <w:r>
        <w:rPr>
          <w:rFonts w:hint="eastAsia" w:hAnsi="宋体"/>
          <w:b w:val="0"/>
          <w:bCs/>
          <w:color w:val="auto"/>
          <w:highlight w:val="none"/>
          <w:u w:val="single"/>
          <w:lang w:val="en-US" w:eastAsia="zh-CN"/>
        </w:rPr>
        <w:t>捌</w:t>
      </w:r>
      <w:r>
        <w:rPr>
          <w:rFonts w:hAnsi="宋体"/>
          <w:b w:val="0"/>
          <w:bCs/>
          <w:color w:val="auto"/>
          <w:highlight w:val="none"/>
        </w:rPr>
        <w:t>份。甲乙双方各执</w:t>
      </w:r>
      <w:r>
        <w:rPr>
          <w:rFonts w:hint="eastAsia" w:hAnsi="宋体"/>
          <w:b w:val="0"/>
          <w:bCs/>
          <w:color w:val="auto"/>
          <w:highlight w:val="none"/>
          <w:u w:val="single"/>
          <w:lang w:val="en-US" w:eastAsia="zh-CN"/>
        </w:rPr>
        <w:t>肆</w:t>
      </w:r>
      <w:r>
        <w:rPr>
          <w:rFonts w:hAnsi="宋体"/>
          <w:b w:val="0"/>
          <w:bCs/>
          <w:color w:val="auto"/>
          <w:highlight w:val="none"/>
        </w:rPr>
        <w:t>份，具有同等法律效力。</w:t>
      </w:r>
    </w:p>
    <w:p w14:paraId="3D564073">
      <w:pPr>
        <w:pStyle w:val="20"/>
        <w:snapToGrid w:val="0"/>
        <w:spacing w:before="120" w:after="120" w:line="240" w:lineRule="auto"/>
        <w:rPr>
          <w:rFonts w:hAnsi="宋体"/>
          <w:b w:val="0"/>
          <w:bCs/>
          <w:color w:val="auto"/>
          <w:highlight w:val="none"/>
        </w:rPr>
      </w:pPr>
    </w:p>
    <w:p w14:paraId="5CE91133">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甲方：                                   乙方： </w:t>
      </w:r>
    </w:p>
    <w:p w14:paraId="3FAB7A8F">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地址：                                   地址： </w:t>
      </w:r>
    </w:p>
    <w:p w14:paraId="67CF1C11">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法定代表人：                             法定代表人：</w:t>
      </w:r>
    </w:p>
    <w:p w14:paraId="5C37E73A">
      <w:pPr>
        <w:pStyle w:val="20"/>
        <w:snapToGrid w:val="0"/>
        <w:spacing w:before="120" w:after="120" w:line="360" w:lineRule="auto"/>
        <w:ind w:firstLine="120" w:firstLineChars="50"/>
        <w:rPr>
          <w:rFonts w:hAnsi="宋体"/>
          <w:b w:val="0"/>
          <w:bCs/>
          <w:color w:val="auto"/>
          <w:highlight w:val="none"/>
        </w:rPr>
      </w:pPr>
      <w:r>
        <w:rPr>
          <w:rFonts w:hAnsi="宋体"/>
          <w:b w:val="0"/>
          <w:bCs/>
          <w:color w:val="auto"/>
          <w:highlight w:val="none"/>
        </w:rPr>
        <w:t>或授权委托代理人：                        或授权委托代理人：</w:t>
      </w:r>
    </w:p>
    <w:p w14:paraId="35FDA434">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签订地点：                     签订日期：      年  月  日</w:t>
      </w:r>
    </w:p>
    <w:p w14:paraId="5CDEC996">
      <w:pPr>
        <w:pStyle w:val="4"/>
        <w:jc w:val="center"/>
        <w:rPr>
          <w:rFonts w:ascii="宋体" w:hAnsi="宋体"/>
          <w:color w:val="auto"/>
          <w:sz w:val="30"/>
          <w:highlight w:val="none"/>
        </w:rPr>
      </w:pPr>
      <w:bookmarkStart w:id="26" w:name="_Toc532562505"/>
      <w:r>
        <w:rPr>
          <w:rFonts w:hint="eastAsia"/>
          <w:color w:val="auto"/>
          <w:highlight w:val="none"/>
        </w:rPr>
        <w:br w:type="page"/>
      </w:r>
      <w:r>
        <w:rPr>
          <w:rFonts w:hint="eastAsia"/>
          <w:color w:val="auto"/>
          <w:highlight w:val="none"/>
        </w:rPr>
        <w:t>质量保修协议书</w:t>
      </w:r>
      <w:bookmarkEnd w:id="26"/>
    </w:p>
    <w:p w14:paraId="063F11B5">
      <w:pPr>
        <w:pStyle w:val="20"/>
        <w:snapToGrid w:val="0"/>
        <w:spacing w:before="120" w:after="120" w:line="420" w:lineRule="exact"/>
        <w:rPr>
          <w:rFonts w:hAnsi="宋体"/>
          <w:b w:val="0"/>
          <w:color w:val="auto"/>
          <w:highlight w:val="none"/>
        </w:rPr>
      </w:pPr>
      <w:r>
        <w:rPr>
          <w:rFonts w:hAnsi="宋体"/>
          <w:b w:val="0"/>
          <w:color w:val="auto"/>
          <w:highlight w:val="none"/>
        </w:rPr>
        <w:t>买方（全称）： _</w:t>
      </w:r>
      <w:r>
        <w:rPr>
          <w:rFonts w:hint="eastAsia" w:hAnsi="宋体"/>
          <w:b w:val="0"/>
          <w:color w:val="auto"/>
          <w:highlight w:val="none"/>
          <w:u w:val="single"/>
          <w:lang w:val="en-US" w:eastAsia="zh-CN"/>
        </w:rPr>
        <w:t>浙江台州湾文化旅游发展有限公司</w:t>
      </w:r>
      <w:r>
        <w:rPr>
          <w:rFonts w:hAnsi="宋体"/>
          <w:b w:val="0"/>
          <w:color w:val="auto"/>
          <w:highlight w:val="none"/>
        </w:rPr>
        <w:t>___</w:t>
      </w:r>
    </w:p>
    <w:p w14:paraId="6701F608">
      <w:pPr>
        <w:pStyle w:val="20"/>
        <w:snapToGrid w:val="0"/>
        <w:spacing w:before="120" w:after="120" w:line="420" w:lineRule="exact"/>
        <w:rPr>
          <w:rFonts w:hAnsi="宋体"/>
          <w:b w:val="0"/>
          <w:color w:val="auto"/>
          <w:highlight w:val="none"/>
        </w:rPr>
      </w:pPr>
      <w:r>
        <w:rPr>
          <w:rFonts w:hAnsi="宋体"/>
          <w:b w:val="0"/>
          <w:color w:val="auto"/>
          <w:highlight w:val="none"/>
        </w:rPr>
        <w:t xml:space="preserve">卖方（全称）：________________________________  </w:t>
      </w:r>
    </w:p>
    <w:p w14:paraId="76345C62">
      <w:pPr>
        <w:pStyle w:val="20"/>
        <w:snapToGrid w:val="0"/>
        <w:spacing w:before="120" w:after="120" w:line="420" w:lineRule="exact"/>
        <w:rPr>
          <w:rFonts w:hAnsi="宋体"/>
          <w:b w:val="0"/>
          <w:color w:val="auto"/>
          <w:highlight w:val="none"/>
        </w:rPr>
      </w:pPr>
      <w:r>
        <w:rPr>
          <w:rFonts w:hAnsi="宋体"/>
          <w:b w:val="0"/>
          <w:color w:val="auto"/>
          <w:highlight w:val="none"/>
        </w:rPr>
        <w:t>买方、卖方双方于  年  月 日签订了《</w:t>
      </w:r>
      <w:r>
        <w:rPr>
          <w:rFonts w:hint="eastAsia" w:hAnsi="宋体" w:cs="宋体"/>
          <w:b w:val="0"/>
          <w:bCs w:val="0"/>
          <w:color w:val="auto"/>
          <w:highlight w:val="none"/>
          <w:lang w:eastAsia="zh-CN"/>
        </w:rPr>
        <w:t>台州湾文旅综合体项目餐厅工程（家具采购）</w:t>
      </w:r>
      <w:r>
        <w:rPr>
          <w:rFonts w:hAnsi="宋体"/>
          <w:b w:val="0"/>
          <w:color w:val="auto"/>
          <w:highlight w:val="none"/>
        </w:rPr>
        <w:t>》（下称“本合同”），根据该合同约定，卖方应承担质量保修责任，现买方、卖方根据《中华人民共和国民法典》以及其他有关法律法规、规范等规定特约定如下：</w:t>
      </w:r>
    </w:p>
    <w:p w14:paraId="23FCF66B">
      <w:pPr>
        <w:spacing w:line="420" w:lineRule="exact"/>
        <w:ind w:firstLine="560" w:firstLineChars="200"/>
        <w:rPr>
          <w:rFonts w:ascii="宋体" w:hAnsi="宋体"/>
          <w:color w:val="auto"/>
          <w:highlight w:val="none"/>
        </w:rPr>
      </w:pPr>
    </w:p>
    <w:p w14:paraId="67C8928E">
      <w:pPr>
        <w:pStyle w:val="93"/>
        <w:numPr>
          <w:ilvl w:val="0"/>
          <w:numId w:val="9"/>
        </w:numPr>
        <w:spacing w:before="0" w:after="0" w:line="420" w:lineRule="exact"/>
        <w:ind w:right="720"/>
        <w:rPr>
          <w:rFonts w:ascii="宋体" w:hAnsi="宋体"/>
          <w:color w:val="auto"/>
          <w:highlight w:val="none"/>
        </w:rPr>
      </w:pPr>
      <w:r>
        <w:rPr>
          <w:rFonts w:hint="eastAsia" w:ascii="宋体" w:hAnsi="宋体"/>
          <w:color w:val="auto"/>
          <w:highlight w:val="none"/>
        </w:rPr>
        <w:t>项目保修概况</w:t>
      </w:r>
    </w:p>
    <w:p w14:paraId="3B53BEB8">
      <w:pPr>
        <w:pStyle w:val="20"/>
        <w:snapToGrid w:val="0"/>
        <w:spacing w:before="120" w:after="120" w:line="420" w:lineRule="exact"/>
        <w:rPr>
          <w:rFonts w:hAnsi="宋体"/>
          <w:b w:val="0"/>
          <w:color w:val="auto"/>
          <w:highlight w:val="none"/>
        </w:rPr>
      </w:pPr>
      <w:r>
        <w:rPr>
          <w:rFonts w:hAnsi="宋体"/>
          <w:b w:val="0"/>
          <w:color w:val="auto"/>
          <w:highlight w:val="none"/>
        </w:rPr>
        <w:t>1.1.项目名称：</w:t>
      </w:r>
      <w:r>
        <w:rPr>
          <w:rFonts w:hint="eastAsia" w:hAnsi="宋体" w:cs="宋体"/>
          <w:bCs/>
          <w:color w:val="auto"/>
          <w:highlight w:val="none"/>
          <w:u w:val="single"/>
          <w:lang w:eastAsia="zh-CN"/>
        </w:rPr>
        <w:t>台州湾文旅综合体项目餐厅工程（家具采购）</w:t>
      </w:r>
      <w:r>
        <w:rPr>
          <w:rFonts w:hAnsi="宋体"/>
          <w:b w:val="0"/>
          <w:color w:val="auto"/>
          <w:highlight w:val="none"/>
        </w:rPr>
        <w:t xml:space="preserve">                               </w:t>
      </w:r>
    </w:p>
    <w:p w14:paraId="75BEA78B">
      <w:pPr>
        <w:pStyle w:val="20"/>
        <w:snapToGrid w:val="0"/>
        <w:spacing w:before="120" w:after="120" w:line="420" w:lineRule="exact"/>
        <w:rPr>
          <w:rFonts w:hAnsi="宋体"/>
          <w:b w:val="0"/>
          <w:color w:val="auto"/>
          <w:highlight w:val="none"/>
        </w:rPr>
      </w:pPr>
      <w:r>
        <w:rPr>
          <w:rFonts w:hAnsi="宋体"/>
          <w:b w:val="0"/>
          <w:color w:val="auto"/>
          <w:highlight w:val="none"/>
        </w:rPr>
        <w:t xml:space="preserve">1.2.项目地点：_____________________________ </w:t>
      </w:r>
    </w:p>
    <w:p w14:paraId="586628F9">
      <w:pPr>
        <w:pStyle w:val="20"/>
        <w:snapToGrid w:val="0"/>
        <w:spacing w:before="120" w:after="120" w:line="420" w:lineRule="exact"/>
        <w:rPr>
          <w:rFonts w:hAnsi="宋体"/>
          <w:b w:val="0"/>
          <w:color w:val="auto"/>
          <w:highlight w:val="none"/>
        </w:rPr>
      </w:pPr>
      <w:r>
        <w:rPr>
          <w:rFonts w:hAnsi="宋体"/>
          <w:b w:val="0"/>
          <w:color w:val="auto"/>
          <w:highlight w:val="none"/>
        </w:rPr>
        <w:t>1.3.保修内容： ____________________________</w:t>
      </w:r>
    </w:p>
    <w:p w14:paraId="3A2C1C53">
      <w:pPr>
        <w:pStyle w:val="20"/>
        <w:snapToGrid w:val="0"/>
        <w:spacing w:before="120" w:after="120" w:line="420" w:lineRule="exact"/>
        <w:rPr>
          <w:rFonts w:hAnsi="宋体"/>
          <w:b w:val="0"/>
          <w:color w:val="auto"/>
          <w:highlight w:val="none"/>
        </w:rPr>
      </w:pPr>
      <w:r>
        <w:rPr>
          <w:rFonts w:hAnsi="宋体"/>
          <w:b w:val="0"/>
          <w:color w:val="auto"/>
          <w:highlight w:val="none"/>
        </w:rPr>
        <w:t>1.4项目保修款总额：___________________</w:t>
      </w:r>
    </w:p>
    <w:p w14:paraId="095C57F6">
      <w:pPr>
        <w:pStyle w:val="20"/>
        <w:snapToGrid w:val="0"/>
        <w:spacing w:before="120" w:after="120" w:line="420" w:lineRule="exact"/>
        <w:rPr>
          <w:rFonts w:hAnsi="宋体"/>
          <w:b w:val="0"/>
          <w:color w:val="auto"/>
          <w:highlight w:val="none"/>
        </w:rPr>
      </w:pPr>
      <w:r>
        <w:rPr>
          <w:rFonts w:hAnsi="宋体"/>
          <w:b w:val="0"/>
          <w:color w:val="auto"/>
          <w:highlight w:val="none"/>
        </w:rPr>
        <w:t>1.5.本项目保修阶段买方的代表部门为___________，卖方应接受____________的管理。</w:t>
      </w:r>
    </w:p>
    <w:p w14:paraId="1307F3D8">
      <w:pPr>
        <w:pStyle w:val="93"/>
        <w:numPr>
          <w:ilvl w:val="0"/>
          <w:numId w:val="9"/>
        </w:numPr>
        <w:spacing w:before="0" w:after="0" w:line="420" w:lineRule="exact"/>
        <w:ind w:right="720"/>
        <w:rPr>
          <w:rFonts w:ascii="宋体" w:hAnsi="宋体"/>
          <w:color w:val="auto"/>
          <w:highlight w:val="none"/>
        </w:rPr>
      </w:pPr>
      <w:r>
        <w:rPr>
          <w:rFonts w:hint="eastAsia" w:ascii="宋体" w:hAnsi="宋体"/>
          <w:color w:val="auto"/>
          <w:highlight w:val="none"/>
        </w:rPr>
        <w:t>项目质量保修范围和期限</w:t>
      </w:r>
    </w:p>
    <w:p w14:paraId="1D73AAF5">
      <w:pPr>
        <w:pStyle w:val="20"/>
        <w:snapToGrid w:val="0"/>
        <w:spacing w:before="120" w:after="120" w:line="420" w:lineRule="exact"/>
        <w:rPr>
          <w:rFonts w:hAnsi="宋体"/>
          <w:b w:val="0"/>
          <w:color w:val="auto"/>
          <w:highlight w:val="none"/>
        </w:rPr>
      </w:pPr>
      <w:r>
        <w:rPr>
          <w:rFonts w:hAnsi="宋体"/>
          <w:b w:val="0"/>
          <w:color w:val="auto"/>
          <w:highlight w:val="none"/>
        </w:rPr>
        <w:t>2.1.双方根据有关规定，约定本项目的质量保修期以家具验收合格，完善整改意见并正式移交买方，交付买方之日起计算。</w:t>
      </w:r>
    </w:p>
    <w:p w14:paraId="623C4727">
      <w:pPr>
        <w:pStyle w:val="20"/>
        <w:snapToGrid w:val="0"/>
        <w:spacing w:before="120" w:after="120" w:line="420" w:lineRule="exact"/>
        <w:rPr>
          <w:rFonts w:hAnsi="宋体"/>
          <w:b w:val="0"/>
          <w:color w:val="auto"/>
          <w:highlight w:val="none"/>
        </w:rPr>
      </w:pPr>
      <w:r>
        <w:rPr>
          <w:rFonts w:hAnsi="宋体"/>
          <w:b w:val="0"/>
          <w:color w:val="auto"/>
          <w:highlight w:val="none"/>
        </w:rPr>
        <w:t>2.2.卖方在质量保修期内，按照有关法律、法规、规章的管理规定和双方约定，承担合同约定的所有承包范围内质量保修责任。</w:t>
      </w:r>
    </w:p>
    <w:p w14:paraId="27CD3991">
      <w:pPr>
        <w:pStyle w:val="20"/>
        <w:snapToGrid w:val="0"/>
        <w:spacing w:before="120" w:after="120" w:line="420" w:lineRule="exact"/>
        <w:rPr>
          <w:rFonts w:hAnsi="宋体"/>
          <w:b w:val="0"/>
          <w:color w:val="auto"/>
          <w:highlight w:val="none"/>
        </w:rPr>
      </w:pPr>
      <w:r>
        <w:rPr>
          <w:rFonts w:hAnsi="宋体"/>
          <w:b w:val="0"/>
          <w:color w:val="auto"/>
          <w:highlight w:val="none"/>
        </w:rPr>
        <w:t>2.3.凡属于卖方原因造成的各部位的质量问题或其他缺陷，及由于卖方维修造成业主的相关损失，均属于卖方保修责任范围；不属于卖方责任的，卖方应配合维修，费用由责任方承担。非因卖方原因造成的原已建完部分质量保修工作由买方卖方双方协商解决。</w:t>
      </w:r>
    </w:p>
    <w:p w14:paraId="7CC0C1DF">
      <w:pPr>
        <w:pStyle w:val="20"/>
        <w:snapToGrid w:val="0"/>
        <w:spacing w:before="120" w:after="120" w:line="420" w:lineRule="exact"/>
        <w:rPr>
          <w:rFonts w:hAnsi="宋体"/>
          <w:b w:val="0"/>
          <w:color w:val="auto"/>
          <w:highlight w:val="none"/>
        </w:rPr>
      </w:pPr>
      <w:r>
        <w:rPr>
          <w:rFonts w:hAnsi="宋体"/>
          <w:b w:val="0"/>
          <w:color w:val="auto"/>
          <w:highlight w:val="none"/>
        </w:rPr>
        <w:t>2.6保修期限：详见投标承诺的质保期限约定</w:t>
      </w:r>
    </w:p>
    <w:p w14:paraId="746EFE52">
      <w:pPr>
        <w:pStyle w:val="93"/>
        <w:numPr>
          <w:ilvl w:val="0"/>
          <w:numId w:val="9"/>
        </w:numPr>
        <w:tabs>
          <w:tab w:val="left" w:pos="360"/>
          <w:tab w:val="clear" w:pos="420"/>
        </w:tabs>
        <w:spacing w:before="0" w:after="0" w:line="440" w:lineRule="exact"/>
        <w:ind w:right="720"/>
        <w:rPr>
          <w:rFonts w:ascii="宋体" w:hAnsi="宋体"/>
          <w:color w:val="auto"/>
          <w:highlight w:val="none"/>
        </w:rPr>
      </w:pPr>
      <w:r>
        <w:rPr>
          <w:rFonts w:hint="eastAsia" w:ascii="宋体" w:hAnsi="宋体"/>
          <w:color w:val="auto"/>
          <w:highlight w:val="none"/>
        </w:rPr>
        <w:t>质量保修责任</w:t>
      </w:r>
    </w:p>
    <w:p w14:paraId="5B98CB95">
      <w:pPr>
        <w:pStyle w:val="20"/>
        <w:snapToGrid w:val="0"/>
        <w:spacing w:before="120" w:after="120" w:line="420" w:lineRule="exact"/>
        <w:rPr>
          <w:rFonts w:hAnsi="宋体"/>
          <w:b w:val="0"/>
          <w:color w:val="auto"/>
          <w:highlight w:val="none"/>
        </w:rPr>
      </w:pPr>
      <w:r>
        <w:rPr>
          <w:rFonts w:hAnsi="宋体"/>
          <w:b w:val="0"/>
          <w:color w:val="auto"/>
          <w:highlight w:val="none"/>
        </w:rPr>
        <w:t>3.1.卖方在供货、安装完毕经买方验收时，应会同买方向用户进行必要的产品使用说明，所有部品的保修卡、合格证书、使用说明书都由卖方在移交时统一移交买方；否则因使用不当造成质量问题的，由卖方负责保修。</w:t>
      </w:r>
    </w:p>
    <w:p w14:paraId="277909CF">
      <w:pPr>
        <w:pStyle w:val="20"/>
        <w:snapToGrid w:val="0"/>
        <w:spacing w:before="120" w:after="120" w:line="420" w:lineRule="exact"/>
        <w:rPr>
          <w:rFonts w:hAnsi="宋体"/>
          <w:b w:val="0"/>
          <w:color w:val="auto"/>
          <w:highlight w:val="none"/>
        </w:rPr>
      </w:pPr>
      <w:r>
        <w:rPr>
          <w:rFonts w:hAnsi="宋体"/>
          <w:b w:val="0"/>
          <w:color w:val="auto"/>
          <w:highlight w:val="none"/>
        </w:rPr>
        <w:t>3.2.保修期内，质量保修工作应遵循先处理问题后划分责任的原则。</w:t>
      </w:r>
    </w:p>
    <w:p w14:paraId="358F77B3">
      <w:pPr>
        <w:pStyle w:val="20"/>
        <w:snapToGrid w:val="0"/>
        <w:spacing w:before="120" w:after="120" w:line="420" w:lineRule="exact"/>
        <w:rPr>
          <w:rFonts w:hAnsi="宋体"/>
          <w:b w:val="0"/>
          <w:color w:val="auto"/>
          <w:highlight w:val="none"/>
        </w:rPr>
      </w:pPr>
      <w:r>
        <w:rPr>
          <w:rFonts w:hAnsi="宋体"/>
          <w:b w:val="0"/>
          <w:color w:val="auto"/>
          <w:highlight w:val="none"/>
        </w:rPr>
        <w:t>3.3.赔偿责任：</w:t>
      </w:r>
    </w:p>
    <w:p w14:paraId="40A93D51">
      <w:pPr>
        <w:pStyle w:val="20"/>
        <w:snapToGrid w:val="0"/>
        <w:spacing w:before="120" w:after="120" w:line="420" w:lineRule="exact"/>
        <w:rPr>
          <w:rFonts w:hAnsi="宋体"/>
          <w:b w:val="0"/>
          <w:color w:val="auto"/>
          <w:highlight w:val="none"/>
        </w:rPr>
      </w:pPr>
      <w:r>
        <w:rPr>
          <w:rFonts w:hAnsi="宋体"/>
          <w:b w:val="0"/>
          <w:color w:val="auto"/>
          <w:highlight w:val="none"/>
        </w:rPr>
        <w:t xml:space="preserve">由于卖方质量问题造成买方的直接损失和间接损失，由卖方负责赔偿；卖方未按合同进行保修，或维修两次（含两次）以上仍然不能解决问题等原因，买方与用户进行索赔谈判，谈判结果经买方签字后立即生效，买方有义务知会卖方，卖方予以无条件承认；买方有权要求卖方代为支付给用户，卖方不按要求支付的，买方有权直接从卖方的保修款中扣除。 </w:t>
      </w:r>
    </w:p>
    <w:p w14:paraId="6FACCC4E">
      <w:pPr>
        <w:pStyle w:val="20"/>
        <w:snapToGrid w:val="0"/>
        <w:spacing w:before="120" w:after="120" w:line="420" w:lineRule="exact"/>
        <w:rPr>
          <w:rFonts w:hAnsi="宋体"/>
          <w:b w:val="0"/>
          <w:color w:val="auto"/>
          <w:highlight w:val="none"/>
        </w:rPr>
      </w:pPr>
      <w:r>
        <w:rPr>
          <w:rFonts w:hAnsi="宋体"/>
          <w:b w:val="0"/>
          <w:color w:val="auto"/>
          <w:highlight w:val="none"/>
        </w:rPr>
        <w:t>3.4.买方开出《现场行为过失处罚通知单》或《质量问题投诉处理知会》等公函，如卖方采取回避、推诿、拒绝签收的行为，导致投诉或赔偿，买方有权直接处理，产生一切费用直接从责任单位的保修款中扣除。</w:t>
      </w:r>
    </w:p>
    <w:p w14:paraId="3703C3CB">
      <w:pPr>
        <w:pStyle w:val="20"/>
        <w:snapToGrid w:val="0"/>
        <w:spacing w:before="120" w:after="120" w:line="420" w:lineRule="exact"/>
        <w:rPr>
          <w:rFonts w:hAnsi="宋体"/>
          <w:b w:val="0"/>
          <w:color w:val="auto"/>
          <w:highlight w:val="none"/>
        </w:rPr>
      </w:pPr>
      <w:r>
        <w:rPr>
          <w:rFonts w:hAnsi="宋体"/>
          <w:b w:val="0"/>
          <w:color w:val="auto"/>
          <w:highlight w:val="none"/>
        </w:rPr>
        <w:t>3.5.在维修过程中，买方将给予卖方必要的协调配合。</w:t>
      </w:r>
    </w:p>
    <w:p w14:paraId="23949A6D">
      <w:pPr>
        <w:pStyle w:val="93"/>
        <w:numPr>
          <w:ilvl w:val="0"/>
          <w:numId w:val="9"/>
        </w:numPr>
        <w:tabs>
          <w:tab w:val="left" w:pos="360"/>
          <w:tab w:val="clear" w:pos="420"/>
        </w:tabs>
        <w:spacing w:before="0" w:after="0" w:line="440" w:lineRule="exact"/>
        <w:ind w:right="720"/>
        <w:rPr>
          <w:rFonts w:ascii="宋体" w:hAnsi="宋体"/>
          <w:color w:val="auto"/>
          <w:highlight w:val="none"/>
        </w:rPr>
      </w:pPr>
      <w:r>
        <w:rPr>
          <w:rFonts w:hint="eastAsia" w:ascii="宋体" w:hAnsi="宋体"/>
          <w:color w:val="auto"/>
          <w:highlight w:val="none"/>
        </w:rPr>
        <w:t>保修作业管理</w:t>
      </w:r>
    </w:p>
    <w:p w14:paraId="212CC45D">
      <w:pPr>
        <w:pStyle w:val="20"/>
        <w:snapToGrid w:val="0"/>
        <w:spacing w:before="120" w:after="120" w:line="420" w:lineRule="exact"/>
        <w:rPr>
          <w:rFonts w:hAnsi="宋体"/>
          <w:b w:val="0"/>
          <w:color w:val="auto"/>
          <w:highlight w:val="none"/>
        </w:rPr>
      </w:pPr>
      <w:r>
        <w:rPr>
          <w:rFonts w:hAnsi="宋体"/>
          <w:b w:val="0"/>
          <w:color w:val="auto"/>
          <w:highlight w:val="none"/>
        </w:rPr>
        <w:t>4.1.维修人员安排及要求</w:t>
      </w:r>
    </w:p>
    <w:p w14:paraId="1368A59E">
      <w:pPr>
        <w:pStyle w:val="20"/>
        <w:snapToGrid w:val="0"/>
        <w:spacing w:before="120" w:after="120" w:line="420" w:lineRule="exact"/>
        <w:rPr>
          <w:rFonts w:hAnsi="宋体"/>
          <w:b w:val="0"/>
          <w:color w:val="auto"/>
          <w:highlight w:val="none"/>
        </w:rPr>
      </w:pPr>
      <w:r>
        <w:rPr>
          <w:rFonts w:hAnsi="宋体"/>
          <w:b w:val="0"/>
          <w:color w:val="auto"/>
          <w:highlight w:val="none"/>
        </w:rPr>
        <w:t>4.1.1.保修阶段卖方必须以书面授权委托形式指定一名维修负责人。维修负责人全面负责保修期间内所发生的各项维修事务的对接及实施工作。包括但不限于：现场维修人员管理、钥匙领用、函件签收、维修任务单领取和维修实施、配合买方处理重大投诉、索赔的谈判及费用承担确认、保修期到期回访等工作。</w:t>
      </w:r>
    </w:p>
    <w:p w14:paraId="778DF62B">
      <w:pPr>
        <w:pStyle w:val="20"/>
        <w:snapToGrid w:val="0"/>
        <w:spacing w:before="120" w:after="120" w:line="420" w:lineRule="exact"/>
        <w:rPr>
          <w:rFonts w:hAnsi="宋体"/>
          <w:b w:val="0"/>
          <w:color w:val="auto"/>
          <w:highlight w:val="none"/>
        </w:rPr>
      </w:pPr>
      <w:r>
        <w:rPr>
          <w:rFonts w:hAnsi="宋体"/>
          <w:b w:val="0"/>
          <w:color w:val="auto"/>
          <w:highlight w:val="none"/>
        </w:rPr>
        <w:t>4.1.2.卖方维修负责人必须保证通讯畅通，如卖方关机或其他原因导致买方无法取得联系时，视为卖方已收到买方传达之信息。</w:t>
      </w:r>
    </w:p>
    <w:p w14:paraId="71B68559">
      <w:pPr>
        <w:pStyle w:val="20"/>
        <w:snapToGrid w:val="0"/>
        <w:spacing w:before="120" w:after="120" w:line="420" w:lineRule="exact"/>
        <w:rPr>
          <w:rFonts w:hAnsi="宋体"/>
          <w:b w:val="0"/>
          <w:color w:val="auto"/>
          <w:highlight w:val="none"/>
        </w:rPr>
      </w:pPr>
      <w:r>
        <w:rPr>
          <w:rFonts w:hAnsi="宋体"/>
          <w:b w:val="0"/>
          <w:color w:val="auto"/>
          <w:highlight w:val="none"/>
        </w:rPr>
        <w:t>4.1.3.维修完工后，须将维修物品、工具、杂物等一并清理干净，不得遗留任何杂物，必须关好门窗、水、电开关等。出现任何不良事件，相关费用由卖方负责承担。维修完毕后把需归还的物品如数归还项目买方。</w:t>
      </w:r>
    </w:p>
    <w:p w14:paraId="289F4C4E">
      <w:pPr>
        <w:pStyle w:val="20"/>
        <w:snapToGrid w:val="0"/>
        <w:spacing w:before="120" w:after="120" w:line="420" w:lineRule="exact"/>
        <w:rPr>
          <w:rFonts w:hAnsi="宋体"/>
          <w:b w:val="0"/>
          <w:color w:val="auto"/>
          <w:highlight w:val="none"/>
        </w:rPr>
      </w:pPr>
      <w:r>
        <w:rPr>
          <w:rFonts w:hAnsi="宋体"/>
          <w:b w:val="0"/>
          <w:color w:val="auto"/>
          <w:highlight w:val="none"/>
        </w:rPr>
        <w:t>4.1.4.卖方必须接受买方的统一管理，服从买方各项管理制度和规定。</w:t>
      </w:r>
    </w:p>
    <w:p w14:paraId="0F5D1F7D">
      <w:pPr>
        <w:pStyle w:val="20"/>
        <w:snapToGrid w:val="0"/>
        <w:spacing w:before="120" w:after="120" w:line="420" w:lineRule="exact"/>
        <w:rPr>
          <w:rFonts w:hAnsi="宋体"/>
          <w:b w:val="0"/>
          <w:color w:val="auto"/>
          <w:highlight w:val="none"/>
        </w:rPr>
      </w:pPr>
      <w:r>
        <w:rPr>
          <w:rFonts w:hAnsi="宋体"/>
          <w:b w:val="0"/>
          <w:color w:val="auto"/>
          <w:highlight w:val="none"/>
        </w:rPr>
        <w:t>4.2.维修的及时性</w:t>
      </w:r>
    </w:p>
    <w:p w14:paraId="64904F0B">
      <w:pPr>
        <w:pStyle w:val="20"/>
        <w:snapToGrid w:val="0"/>
        <w:spacing w:before="120" w:after="120" w:line="420" w:lineRule="exact"/>
        <w:rPr>
          <w:rFonts w:hAnsi="宋体"/>
          <w:b w:val="0"/>
          <w:color w:val="auto"/>
          <w:highlight w:val="none"/>
        </w:rPr>
      </w:pPr>
      <w:r>
        <w:rPr>
          <w:rFonts w:hAnsi="宋体"/>
          <w:b w:val="0"/>
          <w:color w:val="auto"/>
          <w:highlight w:val="none"/>
        </w:rPr>
        <w:t>4.2.1. 卖方接到买方的质量投诉处理或质量缺陷、未完成项目通知（包括：口头、电话、书面通知），应立即组织专业技术人员对出现的质量问题进行科学的论证，认真组织加工并最终对维修结果承担全部责任。</w:t>
      </w:r>
    </w:p>
    <w:p w14:paraId="55F13F8F">
      <w:pPr>
        <w:pStyle w:val="20"/>
        <w:snapToGrid w:val="0"/>
        <w:spacing w:before="120" w:after="120" w:line="420" w:lineRule="exact"/>
        <w:rPr>
          <w:rFonts w:hAnsi="宋体"/>
          <w:b w:val="0"/>
          <w:color w:val="auto"/>
          <w:highlight w:val="none"/>
        </w:rPr>
      </w:pPr>
      <w:r>
        <w:rPr>
          <w:rFonts w:hAnsi="宋体"/>
          <w:b w:val="0"/>
          <w:color w:val="auto"/>
          <w:highlight w:val="none"/>
        </w:rPr>
        <w:t>4.2.1.1.一般常规性质量问题卖方必须</w:t>
      </w:r>
      <w:r>
        <w:rPr>
          <w:rFonts w:hAnsi="宋体"/>
          <w:b w:val="0"/>
          <w:bCs/>
          <w:color w:val="auto"/>
          <w:highlight w:val="none"/>
        </w:rPr>
        <w:t>在接到买方通知后在</w:t>
      </w:r>
      <w:r>
        <w:rPr>
          <w:rFonts w:hint="default" w:hAnsi="宋体"/>
          <w:b w:val="0"/>
          <w:bCs/>
          <w:color w:val="auto"/>
          <w:highlight w:val="none"/>
        </w:rPr>
        <w:t>4</w:t>
      </w:r>
      <w:r>
        <w:rPr>
          <w:rFonts w:hAnsi="宋体"/>
          <w:b w:val="0"/>
          <w:bCs/>
          <w:color w:val="auto"/>
          <w:highlight w:val="none"/>
        </w:rPr>
        <w:t>小时内</w:t>
      </w:r>
      <w:r>
        <w:rPr>
          <w:rFonts w:hAnsi="宋体"/>
          <w:b w:val="0"/>
          <w:color w:val="auto"/>
          <w:highlight w:val="none"/>
        </w:rPr>
        <w:t>赶到现场，8小时内完成维修责任，并需业主和买方管理人员确认。</w:t>
      </w:r>
    </w:p>
    <w:p w14:paraId="42D79CFB">
      <w:pPr>
        <w:pStyle w:val="20"/>
        <w:snapToGrid w:val="0"/>
        <w:spacing w:before="120" w:after="120" w:line="420" w:lineRule="exact"/>
        <w:rPr>
          <w:rFonts w:hAnsi="宋体"/>
          <w:b w:val="0"/>
          <w:color w:val="auto"/>
          <w:highlight w:val="none"/>
        </w:rPr>
      </w:pPr>
      <w:r>
        <w:rPr>
          <w:rFonts w:hAnsi="宋体"/>
          <w:b w:val="0"/>
          <w:color w:val="auto"/>
          <w:highlight w:val="none"/>
        </w:rPr>
        <w:t>4.2.1.2.紧急情况卖方必须</w:t>
      </w:r>
      <w:r>
        <w:rPr>
          <w:rFonts w:hAnsi="宋体"/>
          <w:b w:val="0"/>
          <w:bCs/>
          <w:color w:val="auto"/>
          <w:highlight w:val="none"/>
        </w:rPr>
        <w:t>在接到买方通知后在</w:t>
      </w:r>
      <w:r>
        <w:rPr>
          <w:rFonts w:hint="default" w:hAnsi="宋体"/>
          <w:b w:val="0"/>
          <w:bCs/>
          <w:color w:val="auto"/>
          <w:highlight w:val="none"/>
        </w:rPr>
        <w:t>3</w:t>
      </w:r>
      <w:r>
        <w:rPr>
          <w:rFonts w:hAnsi="宋体"/>
          <w:b w:val="0"/>
          <w:bCs/>
          <w:color w:val="auto"/>
          <w:highlight w:val="none"/>
        </w:rPr>
        <w:t>小时内</w:t>
      </w:r>
      <w:r>
        <w:rPr>
          <w:rFonts w:hAnsi="宋体"/>
          <w:b w:val="0"/>
          <w:color w:val="auto"/>
          <w:highlight w:val="none"/>
        </w:rPr>
        <w:t>赶到现场，4小时内完成维修项目，并需业主和买方管理人员确认。</w:t>
      </w:r>
    </w:p>
    <w:p w14:paraId="15553C6A">
      <w:pPr>
        <w:pStyle w:val="20"/>
        <w:snapToGrid w:val="0"/>
        <w:spacing w:before="120" w:after="120" w:line="420" w:lineRule="exact"/>
        <w:rPr>
          <w:rFonts w:hAnsi="宋体"/>
          <w:b w:val="0"/>
          <w:color w:val="auto"/>
          <w:highlight w:val="none"/>
        </w:rPr>
      </w:pPr>
      <w:r>
        <w:rPr>
          <w:rFonts w:hAnsi="宋体"/>
          <w:b w:val="0"/>
          <w:color w:val="auto"/>
          <w:highlight w:val="none"/>
        </w:rPr>
        <w:t>4.2.2.卖方接到买方报修通知，到现场勘查确认属于保修范围内质量问题后，通知卖方维修，在卖方人员到达之前，买方可采取适当的应急措施，由此发生的费用由卖方承担。</w:t>
      </w:r>
    </w:p>
    <w:p w14:paraId="019C4BE8">
      <w:pPr>
        <w:pStyle w:val="20"/>
        <w:snapToGrid w:val="0"/>
        <w:spacing w:before="120" w:after="120" w:line="420" w:lineRule="exact"/>
        <w:rPr>
          <w:rFonts w:hAnsi="宋体"/>
          <w:b w:val="0"/>
          <w:color w:val="auto"/>
          <w:highlight w:val="none"/>
        </w:rPr>
      </w:pPr>
      <w:r>
        <w:rPr>
          <w:rFonts w:hAnsi="宋体"/>
          <w:b w:val="0"/>
          <w:color w:val="auto"/>
          <w:highlight w:val="none"/>
        </w:rPr>
        <w:t>4.2.3.由于卖方无法联系或维修到场不及时、材料配备不及时，视为卖方同意由买方处理，买方将委派他方处理，处理结果由用户、买方签字认可后即生效，不再经由卖方确认（买方将处理情况知会卖方），因此所发生的一切费用并加15％违约金从卖方质保金中扣除。但不解除卖方的任何应负的责任。</w:t>
      </w:r>
    </w:p>
    <w:p w14:paraId="5A942CB5">
      <w:pPr>
        <w:pStyle w:val="20"/>
        <w:snapToGrid w:val="0"/>
        <w:spacing w:before="120" w:after="120" w:line="420" w:lineRule="exact"/>
        <w:rPr>
          <w:rFonts w:hAnsi="宋体"/>
          <w:b w:val="0"/>
          <w:color w:val="auto"/>
          <w:highlight w:val="none"/>
        </w:rPr>
      </w:pPr>
      <w:r>
        <w:rPr>
          <w:rFonts w:hAnsi="宋体"/>
          <w:b w:val="0"/>
          <w:color w:val="auto"/>
          <w:highlight w:val="none"/>
        </w:rPr>
        <w:t>4.2.4.如卖方不能维修或未能在买方指定的合理期限内维修完好或维修过程中卖方维修质量无法达到买方及业主要求，买方有权自行另请他人代为维修并确定价格。所有修复费用及赔偿费用加上相应违约金(修复及赔偿费的15％)可以从买方支付卖方的任何款项（包括质保金）中扣除，但不解除卖方的任何应负的责任。</w:t>
      </w:r>
    </w:p>
    <w:p w14:paraId="7B34406D">
      <w:pPr>
        <w:pStyle w:val="20"/>
        <w:snapToGrid w:val="0"/>
        <w:spacing w:before="120" w:after="120" w:line="420" w:lineRule="exact"/>
        <w:rPr>
          <w:rFonts w:hAnsi="宋体"/>
          <w:b w:val="0"/>
          <w:color w:val="auto"/>
          <w:highlight w:val="none"/>
        </w:rPr>
      </w:pPr>
      <w:r>
        <w:rPr>
          <w:rFonts w:hAnsi="宋体"/>
          <w:b w:val="0"/>
          <w:color w:val="auto"/>
          <w:highlight w:val="none"/>
        </w:rPr>
        <w:t>4.3.维修成品保护与质量控制</w:t>
      </w:r>
    </w:p>
    <w:p w14:paraId="1F8BF496">
      <w:pPr>
        <w:pStyle w:val="20"/>
        <w:snapToGrid w:val="0"/>
        <w:spacing w:before="120" w:after="120" w:line="420" w:lineRule="exact"/>
        <w:rPr>
          <w:rFonts w:hAnsi="宋体"/>
          <w:b w:val="0"/>
          <w:color w:val="auto"/>
          <w:highlight w:val="none"/>
        </w:rPr>
      </w:pPr>
      <w:r>
        <w:rPr>
          <w:rFonts w:hAnsi="宋体"/>
          <w:b w:val="0"/>
          <w:color w:val="auto"/>
          <w:highlight w:val="none"/>
        </w:rPr>
        <w:t>4.3.1.6.管理人员在维修前必须进行现场成品保护情况的检查。</w:t>
      </w:r>
    </w:p>
    <w:p w14:paraId="7F1D7399">
      <w:pPr>
        <w:pStyle w:val="20"/>
        <w:snapToGrid w:val="0"/>
        <w:spacing w:before="120" w:after="120" w:line="420" w:lineRule="exact"/>
        <w:rPr>
          <w:rFonts w:hAnsi="宋体"/>
          <w:b w:val="0"/>
          <w:color w:val="auto"/>
          <w:highlight w:val="none"/>
        </w:rPr>
      </w:pPr>
      <w:r>
        <w:rPr>
          <w:rFonts w:hAnsi="宋体"/>
          <w:b w:val="0"/>
          <w:color w:val="auto"/>
          <w:highlight w:val="none"/>
        </w:rPr>
        <w:t>4.3.2.卖方应选派经验丰富、责任心强、技术水平高的维修人员负责维修工作，本着一次性解决问题的态度处理各项维修工作。一般常规性质量问题，卖方保证一次性彻底解决。特殊情况的质量问题，在经买方同意后最多不超过二次维修。如经历两次（含两次）以上维修，仍然不能解决问题，买方有权要求卖方直接更换全新的该货物，由此引起的一切费用和责任由卖方负责承担。</w:t>
      </w:r>
    </w:p>
    <w:p w14:paraId="5F317B76">
      <w:pPr>
        <w:pStyle w:val="20"/>
        <w:snapToGrid w:val="0"/>
        <w:spacing w:before="120" w:after="120" w:line="420" w:lineRule="exact"/>
        <w:rPr>
          <w:rFonts w:hAnsi="宋体"/>
          <w:b w:val="0"/>
          <w:color w:val="auto"/>
          <w:highlight w:val="none"/>
        </w:rPr>
      </w:pPr>
      <w:r>
        <w:rPr>
          <w:rFonts w:hAnsi="宋体"/>
          <w:b w:val="0"/>
          <w:color w:val="auto"/>
          <w:highlight w:val="none"/>
        </w:rPr>
        <w:t>4.3.3.因质量问题卖方维修一次后，同一部位在三个月内再次出现同一性质问题，卖方除按合同再次进行维修外，卖方每次每项还需向买方支付违约金1000元。</w:t>
      </w:r>
    </w:p>
    <w:p w14:paraId="179F2706">
      <w:pPr>
        <w:pStyle w:val="20"/>
        <w:snapToGrid w:val="0"/>
        <w:spacing w:before="120" w:after="120" w:line="420" w:lineRule="exact"/>
        <w:rPr>
          <w:rFonts w:hAnsi="宋体"/>
          <w:b w:val="0"/>
          <w:color w:val="auto"/>
          <w:highlight w:val="none"/>
        </w:rPr>
      </w:pPr>
      <w:r>
        <w:rPr>
          <w:rFonts w:hAnsi="宋体"/>
          <w:b w:val="0"/>
          <w:color w:val="auto"/>
          <w:highlight w:val="none"/>
        </w:rPr>
        <w:t>4.3.4.卖方完成每项维修工作后，必须请买方在《维修服务单》签字确认，设施由买方签字确认，否则视为未履行保修职责。买方的签字确认只是证明卖方已对买方通知的质量问题进行了处理，不承担其他责任。</w:t>
      </w:r>
    </w:p>
    <w:p w14:paraId="53BE5806">
      <w:pPr>
        <w:pStyle w:val="20"/>
        <w:snapToGrid w:val="0"/>
        <w:spacing w:before="120" w:after="120" w:line="420" w:lineRule="exact"/>
        <w:rPr>
          <w:rFonts w:hAnsi="宋体"/>
          <w:b w:val="0"/>
          <w:color w:val="auto"/>
          <w:highlight w:val="none"/>
        </w:rPr>
      </w:pPr>
      <w:r>
        <w:rPr>
          <w:rFonts w:hAnsi="宋体"/>
          <w:b w:val="0"/>
          <w:color w:val="auto"/>
          <w:highlight w:val="none"/>
        </w:rPr>
        <w:t>4.3.5. 卖方人员在质量投诉处理过程中有不负责任的做法，如有推诿、拖延、不准时、不履行对业主和买方的约定或承诺，或有使用不合格的维修材料，有偷工减料等行为的，买方有权另外委托其他专业公司处理。卖方承担发生一切费用，买方可以将此费用加15％违约金从卖方质保金中扣除。</w:t>
      </w:r>
    </w:p>
    <w:p w14:paraId="320B1639">
      <w:pPr>
        <w:pStyle w:val="20"/>
        <w:snapToGrid w:val="0"/>
        <w:spacing w:before="120" w:after="120" w:line="420" w:lineRule="exact"/>
        <w:rPr>
          <w:rFonts w:hAnsi="宋体"/>
          <w:b w:val="0"/>
          <w:color w:val="auto"/>
          <w:highlight w:val="none"/>
        </w:rPr>
      </w:pPr>
      <w:r>
        <w:rPr>
          <w:rFonts w:hAnsi="宋体"/>
          <w:b w:val="0"/>
          <w:color w:val="auto"/>
          <w:highlight w:val="none"/>
        </w:rPr>
        <w:t>4.3.6. 卖方未严格履行上述各项职责，造成不良后果所发生的直接和间接损失均由卖方承担，损失金额将直接从卖方的项目款或质保金中扣除，不再另行知会。</w:t>
      </w:r>
    </w:p>
    <w:p w14:paraId="7F4699F1">
      <w:pPr>
        <w:pStyle w:val="93"/>
        <w:spacing w:before="0" w:after="0" w:line="440" w:lineRule="exact"/>
        <w:ind w:left="0" w:right="720"/>
        <w:rPr>
          <w:rFonts w:ascii="宋体" w:hAnsi="宋体"/>
          <w:color w:val="auto"/>
          <w:highlight w:val="none"/>
        </w:rPr>
      </w:pPr>
      <w:r>
        <w:rPr>
          <w:rFonts w:hint="eastAsia" w:ascii="宋体" w:hAnsi="宋体"/>
          <w:color w:val="auto"/>
          <w:highlight w:val="none"/>
        </w:rPr>
        <w:t>6.质量保修款的结算与支付</w:t>
      </w:r>
    </w:p>
    <w:p w14:paraId="336CEB2F">
      <w:pPr>
        <w:pStyle w:val="20"/>
        <w:snapToGrid w:val="0"/>
        <w:spacing w:before="120" w:after="120" w:line="420" w:lineRule="exact"/>
        <w:rPr>
          <w:rFonts w:hAnsi="宋体"/>
          <w:b w:val="0"/>
          <w:color w:val="auto"/>
          <w:highlight w:val="none"/>
        </w:rPr>
      </w:pPr>
      <w:r>
        <w:rPr>
          <w:rFonts w:hAnsi="宋体"/>
          <w:b w:val="0"/>
          <w:color w:val="auto"/>
          <w:highlight w:val="none"/>
        </w:rPr>
        <w:t>6.1.卖方授权买方对维修所发生的费用进行审核，并同意承担经买方确认的维修费用。买方代扣除金额从质保金中扣除，不足部分卖方同意支付超额。</w:t>
      </w:r>
    </w:p>
    <w:p w14:paraId="38B51565">
      <w:pPr>
        <w:pStyle w:val="20"/>
        <w:snapToGrid w:val="0"/>
        <w:spacing w:before="120" w:after="120" w:line="420" w:lineRule="exact"/>
        <w:rPr>
          <w:rFonts w:hAnsi="宋体"/>
          <w:b w:val="0"/>
          <w:color w:val="auto"/>
          <w:highlight w:val="none"/>
        </w:rPr>
      </w:pPr>
      <w:r>
        <w:rPr>
          <w:rFonts w:hAnsi="宋体"/>
          <w:b w:val="0"/>
          <w:color w:val="auto"/>
          <w:highlight w:val="none"/>
        </w:rPr>
        <w:t>6.2.结算时间：保修期起算满</w:t>
      </w:r>
      <w:r>
        <w:rPr>
          <w:rFonts w:hAnsi="宋体"/>
          <w:b w:val="0"/>
          <w:color w:val="auto"/>
          <w:highlight w:val="none"/>
          <w:u w:val="single"/>
        </w:rPr>
        <w:t xml:space="preserve">     </w:t>
      </w:r>
      <w:r>
        <w:rPr>
          <w:rFonts w:hAnsi="宋体"/>
          <w:b w:val="0"/>
          <w:color w:val="auto"/>
          <w:highlight w:val="none"/>
        </w:rPr>
        <w:t>年，卖方完成全部保修工作后，买方卖方双方针对质保金进行阶段性结算，结算完成后15个工作日内，将质保金余额（扣除两年保修期间发生的所有卖方承担费用及违约金后）的70％支付给卖方。保修期起算满</w:t>
      </w:r>
      <w:r>
        <w:rPr>
          <w:rFonts w:hAnsi="宋体"/>
          <w:b w:val="0"/>
          <w:color w:val="auto"/>
          <w:highlight w:val="none"/>
          <w:u w:val="single"/>
        </w:rPr>
        <w:t xml:space="preserve">     </w:t>
      </w:r>
      <w:r>
        <w:rPr>
          <w:rFonts w:hAnsi="宋体"/>
          <w:b w:val="0"/>
          <w:color w:val="auto"/>
          <w:highlight w:val="none"/>
        </w:rPr>
        <w:t>年，并且全部维修、投诉工作处理完毕后，买方卖方双方针对质保金进行结算，结算后15个工作日内将质保金余额（扣除</w:t>
      </w:r>
      <w:r>
        <w:rPr>
          <w:rFonts w:hint="eastAsia" w:hAnsi="宋体"/>
          <w:b w:val="0"/>
          <w:color w:val="auto"/>
          <w:highlight w:val="none"/>
          <w:u w:val="single"/>
          <w:lang w:val="en-US" w:eastAsia="zh-CN"/>
        </w:rPr>
        <w:t xml:space="preserve">    </w:t>
      </w:r>
      <w:r>
        <w:rPr>
          <w:rFonts w:hAnsi="宋体"/>
          <w:b w:val="0"/>
          <w:color w:val="auto"/>
          <w:highlight w:val="none"/>
        </w:rPr>
        <w:t>年保修期间发生的所有卖方承担费用及违约金后）一次性支付给卖方。每次质保金结算前卖方的质量情况和维修情况需买方（或经营管理单位）签字认可。</w:t>
      </w:r>
    </w:p>
    <w:p w14:paraId="6DFAE804">
      <w:pPr>
        <w:pStyle w:val="20"/>
        <w:snapToGrid w:val="0"/>
        <w:spacing w:before="120" w:after="120" w:line="420" w:lineRule="exact"/>
        <w:rPr>
          <w:rFonts w:hAnsi="宋体"/>
          <w:b w:val="0"/>
          <w:color w:val="auto"/>
          <w:highlight w:val="none"/>
        </w:rPr>
      </w:pPr>
      <w:r>
        <w:rPr>
          <w:rFonts w:hAnsi="宋体"/>
          <w:b w:val="0"/>
          <w:color w:val="auto"/>
          <w:highlight w:val="none"/>
        </w:rPr>
        <w:t>6.3.保修期限内出现的质量问题，应当保证从修复验收合格之日起一年内在相同部位不出现类似问题。否则，</w:t>
      </w:r>
      <w:r>
        <w:rPr>
          <w:rFonts w:hAnsi="宋体"/>
          <w:b w:val="0"/>
          <w:bCs/>
          <w:color w:val="auto"/>
          <w:highlight w:val="none"/>
        </w:rPr>
        <w:t>即使货物已超出保修期，卖家也均应予保修，相应部分保修款待维修完成延长保修满六个月后支付</w:t>
      </w:r>
      <w:r>
        <w:rPr>
          <w:rFonts w:hAnsi="宋体"/>
          <w:b w:val="0"/>
          <w:color w:val="auto"/>
          <w:highlight w:val="none"/>
        </w:rPr>
        <w:t>。</w:t>
      </w:r>
    </w:p>
    <w:p w14:paraId="1537766C">
      <w:pPr>
        <w:pStyle w:val="20"/>
        <w:snapToGrid w:val="0"/>
        <w:spacing w:before="120" w:after="120" w:line="420" w:lineRule="exact"/>
        <w:rPr>
          <w:rFonts w:hAnsi="宋体"/>
          <w:b w:val="0"/>
          <w:color w:val="auto"/>
          <w:highlight w:val="none"/>
        </w:rPr>
      </w:pPr>
      <w:r>
        <w:rPr>
          <w:rFonts w:hAnsi="宋体"/>
          <w:b w:val="0"/>
          <w:color w:val="auto"/>
          <w:highlight w:val="none"/>
        </w:rPr>
        <w:t>6.4.保修款结算后，卖方仍应继续完成第2条规定的保修期限内的保修工作。保修费用由造成质量缺陷的责任方承担。</w:t>
      </w:r>
    </w:p>
    <w:p w14:paraId="1A8F269D">
      <w:pPr>
        <w:pStyle w:val="20"/>
        <w:snapToGrid w:val="0"/>
        <w:spacing w:before="120" w:after="120" w:line="420" w:lineRule="exact"/>
        <w:rPr>
          <w:rFonts w:hAnsi="宋体"/>
          <w:b w:val="0"/>
          <w:color w:val="auto"/>
          <w:highlight w:val="none"/>
        </w:rPr>
      </w:pPr>
      <w:r>
        <w:rPr>
          <w:rFonts w:hAnsi="宋体"/>
          <w:b w:val="0"/>
          <w:color w:val="auto"/>
          <w:highlight w:val="none"/>
        </w:rPr>
        <w:t>6.5.当买方实际发生的保修费用未达到合同规定的保修款总额时，差额全部返还卖方；当买方实际发生的保修费用超过合同规定的保修款总额时，卖方应在接到买方书面通知之日起十个工作日内向买方补足差额。</w:t>
      </w:r>
    </w:p>
    <w:p w14:paraId="72780C9E">
      <w:pPr>
        <w:pStyle w:val="20"/>
        <w:snapToGrid w:val="0"/>
        <w:spacing w:before="120" w:after="120" w:line="420" w:lineRule="exact"/>
        <w:rPr>
          <w:rFonts w:hAnsi="宋体"/>
          <w:b w:val="0"/>
          <w:color w:val="auto"/>
          <w:highlight w:val="none"/>
        </w:rPr>
      </w:pPr>
      <w:r>
        <w:rPr>
          <w:rFonts w:hAnsi="宋体"/>
          <w:b w:val="0"/>
          <w:color w:val="auto"/>
          <w:highlight w:val="none"/>
        </w:rPr>
        <w:t>6.6.所有保修款在结算时均不计利息。</w:t>
      </w:r>
    </w:p>
    <w:p w14:paraId="336CF9CD">
      <w:pPr>
        <w:spacing w:line="440" w:lineRule="exact"/>
        <w:rPr>
          <w:rFonts w:ascii="宋体" w:hAnsi="宋体"/>
          <w:color w:val="auto"/>
          <w:highlight w:val="none"/>
        </w:rPr>
      </w:pPr>
      <w:r>
        <w:rPr>
          <w:rFonts w:hint="eastAsia" w:ascii="宋体" w:hAnsi="宋体"/>
          <w:color w:val="auto"/>
          <w:highlight w:val="none"/>
        </w:rPr>
        <w:t>7.违约责任</w:t>
      </w:r>
    </w:p>
    <w:p w14:paraId="2095DD3E">
      <w:pPr>
        <w:pStyle w:val="20"/>
        <w:snapToGrid w:val="0"/>
        <w:spacing w:before="120" w:after="120" w:line="420" w:lineRule="exact"/>
        <w:rPr>
          <w:rFonts w:hAnsi="宋体"/>
          <w:b w:val="0"/>
          <w:color w:val="auto"/>
          <w:highlight w:val="none"/>
        </w:rPr>
      </w:pPr>
      <w:r>
        <w:rPr>
          <w:rFonts w:hAnsi="宋体"/>
          <w:b w:val="0"/>
          <w:color w:val="auto"/>
          <w:highlight w:val="none"/>
        </w:rPr>
        <w:t>7.1.在合同有效期内，双方必须遵守合同的约定和国家及本市的有关规定，否则由违约方承担法律责任。</w:t>
      </w:r>
    </w:p>
    <w:p w14:paraId="22A95B41">
      <w:pPr>
        <w:pStyle w:val="20"/>
        <w:snapToGrid w:val="0"/>
        <w:spacing w:before="120" w:after="120" w:line="420" w:lineRule="exact"/>
        <w:rPr>
          <w:rFonts w:hAnsi="宋体"/>
          <w:b w:val="0"/>
          <w:color w:val="auto"/>
          <w:highlight w:val="none"/>
        </w:rPr>
      </w:pPr>
      <w:r>
        <w:rPr>
          <w:rFonts w:hAnsi="宋体"/>
          <w:b w:val="0"/>
          <w:color w:val="auto"/>
          <w:highlight w:val="none"/>
        </w:rPr>
        <w:t>7.2.卖方未按合同规定向买方支付6.5款约定的时，应承担逾期付款期间的利息。</w:t>
      </w:r>
    </w:p>
    <w:p w14:paraId="4026A9F8">
      <w:pPr>
        <w:pStyle w:val="20"/>
        <w:snapToGrid w:val="0"/>
        <w:spacing w:before="120" w:after="120" w:line="420" w:lineRule="exact"/>
        <w:rPr>
          <w:rFonts w:hAnsi="宋体"/>
          <w:b w:val="0"/>
          <w:color w:val="auto"/>
          <w:highlight w:val="none"/>
        </w:rPr>
      </w:pPr>
      <w:r>
        <w:rPr>
          <w:rFonts w:hAnsi="宋体"/>
          <w:b w:val="0"/>
          <w:color w:val="auto"/>
          <w:highlight w:val="none"/>
        </w:rPr>
        <w:t>7.3.买方非因正常原因未按规定返还保修款的，卖方有权要求买方支付逾期付款期间的存款利息。</w:t>
      </w:r>
    </w:p>
    <w:p w14:paraId="74AF7962">
      <w:pPr>
        <w:spacing w:line="440" w:lineRule="exact"/>
        <w:rPr>
          <w:rFonts w:ascii="宋体" w:hAnsi="宋体"/>
          <w:color w:val="auto"/>
          <w:highlight w:val="none"/>
        </w:rPr>
      </w:pPr>
      <w:r>
        <w:rPr>
          <w:rFonts w:hint="eastAsia" w:ascii="宋体" w:hAnsi="宋体"/>
          <w:color w:val="auto"/>
          <w:highlight w:val="none"/>
        </w:rPr>
        <w:t>8.其他</w:t>
      </w:r>
    </w:p>
    <w:p w14:paraId="1DED8B36">
      <w:pPr>
        <w:pStyle w:val="20"/>
        <w:snapToGrid w:val="0"/>
        <w:spacing w:before="120" w:after="120" w:line="420" w:lineRule="exact"/>
        <w:rPr>
          <w:rFonts w:hAnsi="宋体"/>
          <w:b w:val="0"/>
          <w:color w:val="auto"/>
          <w:highlight w:val="none"/>
        </w:rPr>
      </w:pPr>
      <w:r>
        <w:rPr>
          <w:rFonts w:hAnsi="宋体"/>
          <w:b w:val="0"/>
          <w:color w:val="auto"/>
          <w:highlight w:val="none"/>
        </w:rPr>
        <w:t>8.1.本协议如有未尽事宜，可由双方协商签订补充协议，补充协议与本协议具有同等法律效力。</w:t>
      </w:r>
    </w:p>
    <w:p w14:paraId="4CE57140">
      <w:pPr>
        <w:pStyle w:val="20"/>
        <w:snapToGrid w:val="0"/>
        <w:spacing w:before="120" w:after="120" w:line="420" w:lineRule="exact"/>
        <w:rPr>
          <w:rFonts w:hAnsi="宋体"/>
          <w:b w:val="0"/>
          <w:color w:val="auto"/>
          <w:highlight w:val="none"/>
        </w:rPr>
      </w:pPr>
      <w:r>
        <w:rPr>
          <w:rFonts w:hAnsi="宋体"/>
          <w:b w:val="0"/>
          <w:color w:val="auto"/>
          <w:highlight w:val="none"/>
        </w:rPr>
        <w:t>8.2.对项目质量责任发生纠纷的，当事人可以协商解决，也可向本项目所在地的人民法院起诉。</w:t>
      </w:r>
    </w:p>
    <w:p w14:paraId="28F1FBB6">
      <w:pPr>
        <w:pStyle w:val="20"/>
        <w:snapToGrid w:val="0"/>
        <w:spacing w:before="120" w:after="120" w:line="420" w:lineRule="exact"/>
        <w:rPr>
          <w:rFonts w:hAnsi="宋体"/>
          <w:b w:val="0"/>
          <w:color w:val="auto"/>
          <w:highlight w:val="none"/>
        </w:rPr>
      </w:pPr>
      <w:r>
        <w:rPr>
          <w:rFonts w:hAnsi="宋体"/>
          <w:b w:val="0"/>
          <w:color w:val="auto"/>
          <w:highlight w:val="none"/>
        </w:rPr>
        <w:t>8.3.本协议自双方签字盖章之日起生效。</w:t>
      </w:r>
    </w:p>
    <w:p w14:paraId="7B165EC6">
      <w:pPr>
        <w:pStyle w:val="20"/>
        <w:snapToGrid w:val="0"/>
        <w:spacing w:before="120" w:after="120" w:line="420" w:lineRule="exact"/>
        <w:rPr>
          <w:rFonts w:hAnsi="宋体"/>
          <w:b w:val="0"/>
          <w:color w:val="auto"/>
          <w:highlight w:val="none"/>
        </w:rPr>
      </w:pPr>
      <w:r>
        <w:rPr>
          <w:rFonts w:hAnsi="宋体"/>
          <w:b w:val="0"/>
          <w:color w:val="auto"/>
          <w:highlight w:val="none"/>
        </w:rPr>
        <w:t>买方单位名称(加盖章)：                   卖方单位名称(加盖章)：</w:t>
      </w:r>
    </w:p>
    <w:p w14:paraId="7D59CB44">
      <w:pPr>
        <w:pStyle w:val="20"/>
        <w:snapToGrid w:val="0"/>
        <w:spacing w:before="120" w:after="120" w:line="420" w:lineRule="exact"/>
        <w:rPr>
          <w:rFonts w:hAnsi="宋体"/>
          <w:b w:val="0"/>
          <w:color w:val="auto"/>
          <w:highlight w:val="none"/>
        </w:rPr>
      </w:pPr>
    </w:p>
    <w:p w14:paraId="7DD49B37">
      <w:pPr>
        <w:pStyle w:val="20"/>
        <w:snapToGrid w:val="0"/>
        <w:spacing w:before="120" w:after="120" w:line="420" w:lineRule="exact"/>
        <w:rPr>
          <w:rFonts w:hAnsi="宋体"/>
          <w:b w:val="0"/>
          <w:color w:val="auto"/>
          <w:highlight w:val="none"/>
        </w:rPr>
      </w:pPr>
      <w:r>
        <w:rPr>
          <w:rFonts w:hAnsi="宋体"/>
          <w:b w:val="0"/>
          <w:color w:val="auto"/>
          <w:highlight w:val="none"/>
        </w:rPr>
        <w:t>法定代表人(签字)：                       法定代表人(签字)：</w:t>
      </w:r>
    </w:p>
    <w:p w14:paraId="51ED279D">
      <w:pPr>
        <w:pStyle w:val="20"/>
        <w:snapToGrid w:val="0"/>
        <w:spacing w:before="120" w:after="120" w:line="420" w:lineRule="exact"/>
        <w:rPr>
          <w:rFonts w:hAnsi="宋体"/>
          <w:b w:val="0"/>
          <w:color w:val="auto"/>
          <w:highlight w:val="none"/>
        </w:rPr>
      </w:pPr>
      <w:r>
        <w:rPr>
          <w:rFonts w:hAnsi="宋体"/>
          <w:b w:val="0"/>
          <w:color w:val="auto"/>
          <w:highlight w:val="none"/>
        </w:rPr>
        <w:t>或授权代表(签字)：                       或授权代表(签字)：</w:t>
      </w:r>
    </w:p>
    <w:p w14:paraId="6F95565F">
      <w:pPr>
        <w:pStyle w:val="20"/>
        <w:snapToGrid w:val="0"/>
        <w:spacing w:before="120" w:after="120" w:line="420" w:lineRule="exact"/>
        <w:rPr>
          <w:rFonts w:hAnsi="宋体"/>
          <w:b w:val="0"/>
          <w:color w:val="auto"/>
          <w:highlight w:val="none"/>
        </w:rPr>
      </w:pPr>
      <w:r>
        <w:rPr>
          <w:rFonts w:hAnsi="宋体"/>
          <w:b w:val="0"/>
          <w:color w:val="auto"/>
          <w:highlight w:val="none"/>
        </w:rPr>
        <w:t>签订日期：                               签订日期：</w:t>
      </w:r>
    </w:p>
    <w:p w14:paraId="79587230">
      <w:pPr>
        <w:pStyle w:val="4"/>
        <w:spacing w:line="360" w:lineRule="auto"/>
        <w:rPr>
          <w:rFonts w:ascii="宋体" w:hAnsi="宋体" w:cs="宋体"/>
          <w:b w:val="0"/>
          <w:bCs w:val="0"/>
          <w:color w:val="auto"/>
          <w:highlight w:val="none"/>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72ED8A20">
      <w:pPr>
        <w:pStyle w:val="4"/>
        <w:spacing w:line="360" w:lineRule="auto"/>
        <w:jc w:val="center"/>
        <w:rPr>
          <w:rFonts w:hint="eastAsia" w:ascii="宋体" w:hAnsi="宋体" w:cs="宋体"/>
          <w:bCs w:val="0"/>
          <w:color w:val="auto"/>
          <w:szCs w:val="18"/>
          <w:highlight w:val="none"/>
        </w:rPr>
      </w:pPr>
      <w:r>
        <w:rPr>
          <w:rFonts w:hint="eastAsia" w:ascii="宋体" w:hAnsi="宋体" w:cs="宋体"/>
          <w:color w:val="auto"/>
          <w:highlight w:val="none"/>
        </w:rPr>
        <w:t>项目廉政责任书</w:t>
      </w:r>
    </w:p>
    <w:p w14:paraId="699B9A6E">
      <w:pPr>
        <w:spacing w:line="360" w:lineRule="auto"/>
        <w:ind w:right="-108"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bCs/>
          <w:color w:val="auto"/>
          <w:sz w:val="24"/>
          <w:szCs w:val="22"/>
          <w:highlight w:val="none"/>
          <w:lang w:eastAsia="zh-CN"/>
        </w:rPr>
        <w:t>台州湾文旅综合体项目餐厅工程（家具采购）</w:t>
      </w:r>
    </w:p>
    <w:p w14:paraId="53DD4050">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项目地址：                                                           </w:t>
      </w:r>
    </w:p>
    <w:p w14:paraId="14615794">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采购单位（甲方）：</w:t>
      </w:r>
      <w:r>
        <w:rPr>
          <w:rFonts w:hint="eastAsia" w:ascii="宋体" w:eastAsia="宋体" w:cs="宋体"/>
          <w:b w:val="0"/>
          <w:bCs w:val="0"/>
          <w:color w:val="auto"/>
          <w:szCs w:val="24"/>
          <w:highlight w:val="none"/>
          <w:lang w:val="en-US" w:eastAsia="zh-CN"/>
        </w:rPr>
        <w:t>浙江台州湾文化旅游发展有限公司</w:t>
      </w:r>
      <w:r>
        <w:rPr>
          <w:rFonts w:hint="eastAsia" w:ascii="宋体" w:eastAsia="宋体" w:cs="宋体"/>
          <w:b w:val="0"/>
          <w:bCs w:val="0"/>
          <w:color w:val="auto"/>
          <w:szCs w:val="24"/>
          <w:highlight w:val="none"/>
        </w:rPr>
        <w:t xml:space="preserve">                                                       </w:t>
      </w:r>
    </w:p>
    <w:p w14:paraId="0398FA47">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中标单位（乙方）：                                                        </w:t>
      </w:r>
    </w:p>
    <w:p w14:paraId="70AC34C8">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为加强采购过程中的廉政建设，规范项目双方的各项活动，防止发生各种谋取不正当利益的违法违纪行为，保护国家、集体和当事人的合法权益，根据国家有关的法律法规和廉政建设责任制规定，特订立本廉政责任书。</w:t>
      </w:r>
    </w:p>
    <w:p w14:paraId="675E64CE">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第一条 甲乙双方的责任</w:t>
      </w:r>
    </w:p>
    <w:p w14:paraId="5AB43D92">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（一）应严格遵守国家关于市场准入、项目招标投标、市场活动等有关法律、法规，相关政策，以及廉政建设的各项规定。</w:t>
      </w:r>
    </w:p>
    <w:p w14:paraId="43A03B5B">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（二）严格执行项目合同文件，自觉按合同办事。</w:t>
      </w:r>
    </w:p>
    <w:p w14:paraId="6276645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（三）业务活动必须坚持公开、公平、公正、诚信、透明的原则（除法律法规另有规定者外），不得为获取不正当的利益，损害国家、集体和对方利益。</w:t>
      </w:r>
    </w:p>
    <w:p w14:paraId="207FDD15">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（四）发现对方在业务活动中有违规、违纪、违法行为的，应及时提醒对方，情节严重的，应向其上级主管部门或纪检监察、司法等有关机关举报。</w:t>
      </w:r>
    </w:p>
    <w:p w14:paraId="2625404A">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第二条 甲方的责任</w:t>
      </w:r>
    </w:p>
    <w:p w14:paraId="38919155">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甲方的领导和从事该项目的工作人员，在采购的事前、事中、事后应遵守以下规定：</w:t>
      </w:r>
    </w:p>
    <w:p w14:paraId="337E33D5">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（一）不准向乙方和相关单位索要或接受回扣、礼金、有价证券、贵重物品和好处费、感谢费等。</w:t>
      </w:r>
    </w:p>
    <w:p w14:paraId="512C328A">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（二）不准在乙方和相关单位报销任何应由甲方或个人支付的费用。</w:t>
      </w:r>
    </w:p>
    <w:p w14:paraId="73220A60">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（三）不准要求、暗示和接受乙方和相关单位为个人装修住房、婚丧嫁娶、配偶子女的工作安排以及出国（境）、旅游等提供方便。</w:t>
      </w:r>
    </w:p>
    <w:p w14:paraId="11CCD71B">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（四）不准参加有可能影响公正执行公务的乙方和相关单位的宴请和健身、娱乐等活动。</w:t>
      </w:r>
    </w:p>
    <w:p w14:paraId="2D28570C">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（五）不准向乙方介绍或为配偶、子女、亲属参与同甲方项目合同有关的设备、材料、项目分包、劳务等经济活动。不得以任何理由向乙方和相关单位要求购买项目合同规定以外的材料、设备等。</w:t>
      </w:r>
    </w:p>
    <w:p w14:paraId="6D846A4B">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第三条 乙方的责任</w:t>
      </w:r>
    </w:p>
    <w:p w14:paraId="7F68066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应与甲方保持正常的业务交往，按照有关法律法规和程序开展业务工作，严格执行项目建设的有关方针、政策，并遵守以下规定：</w:t>
      </w:r>
    </w:p>
    <w:p w14:paraId="24EF5AFA">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（一）不准以任何理由向甲方、相关单位及其工作人员索要、接受或赠送礼金、有价证券、贵重物品和回扣、好处费、感谢费等。</w:t>
      </w:r>
    </w:p>
    <w:p w14:paraId="57DDD2B0">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（二）不准以任何理由为甲方和相关单位报销应由对方或个人支付的费用。</w:t>
      </w:r>
    </w:p>
    <w:p w14:paraId="1F7F8FE9">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（三）不准接受或暗示为甲方、相关单位或个人装修住房、婚丧嫁娶、配偶子女的工作安排以及出国（境）、旅游等提供方便。</w:t>
      </w:r>
    </w:p>
    <w:p w14:paraId="6833A289">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（四）不准以任何理由为甲方、相关单位或个人组织有可能影响公正执行公务的宴请、健身、娱乐等活动。</w:t>
      </w:r>
    </w:p>
    <w:p w14:paraId="42BD0BA9">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第四条 违约责任</w:t>
      </w:r>
    </w:p>
    <w:p w14:paraId="394A95DE">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D47B66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26D1F55">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第五条 本责任书作为合同的附件，与合同具有同等法律效力。经双方签署后立即生效。</w:t>
      </w:r>
    </w:p>
    <w:p w14:paraId="044531C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第六条 本责任书的有效期为双方签署之日起至该项目验收合格时止。</w:t>
      </w:r>
    </w:p>
    <w:p w14:paraId="6876109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第七条 本责任书一式</w:t>
      </w:r>
      <w:r>
        <w:rPr>
          <w:rFonts w:hint="eastAsia" w:ascii="宋体" w:eastAsia="宋体" w:cs="宋体"/>
          <w:b w:val="0"/>
          <w:bCs w:val="0"/>
          <w:color w:val="auto"/>
          <w:szCs w:val="24"/>
          <w:highlight w:val="none"/>
          <w:u w:val="single"/>
          <w:lang w:val="en-US" w:eastAsia="zh-CN"/>
        </w:rPr>
        <w:t xml:space="preserve">   </w:t>
      </w:r>
      <w:r>
        <w:rPr>
          <w:rFonts w:hint="eastAsia" w:ascii="宋体" w:eastAsia="宋体" w:cs="宋体"/>
          <w:b w:val="0"/>
          <w:bCs w:val="0"/>
          <w:color w:val="auto"/>
          <w:szCs w:val="24"/>
          <w:highlight w:val="none"/>
        </w:rPr>
        <w:t>份，由甲乙双方各执</w:t>
      </w:r>
      <w:r>
        <w:rPr>
          <w:rFonts w:hint="eastAsia" w:ascii="宋体" w:eastAsia="宋体" w:cs="宋体"/>
          <w:b w:val="0"/>
          <w:bCs w:val="0"/>
          <w:color w:val="auto"/>
          <w:szCs w:val="24"/>
          <w:highlight w:val="none"/>
          <w:u w:val="single"/>
          <w:lang w:val="en-US" w:eastAsia="zh-CN"/>
        </w:rPr>
        <w:t xml:space="preserve">   </w:t>
      </w:r>
      <w:r>
        <w:rPr>
          <w:rFonts w:hint="eastAsia" w:ascii="宋体" w:eastAsia="宋体" w:cs="宋体"/>
          <w:b w:val="0"/>
          <w:bCs w:val="0"/>
          <w:color w:val="auto"/>
          <w:szCs w:val="24"/>
          <w:highlight w:val="none"/>
        </w:rPr>
        <w:t>份。</w:t>
      </w:r>
    </w:p>
    <w:p w14:paraId="1FC4BF07">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甲方单位：（盖章）　　　　　　　　             乙方单位：（盖章）</w:t>
      </w:r>
    </w:p>
    <w:p w14:paraId="71E2F7D3">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法定代表人：　　　　　　　　　               　法定代表人：</w:t>
      </w:r>
    </w:p>
    <w:p w14:paraId="1BE277EC">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地址：　　　　　　　　　　　　　               地址：</w:t>
      </w:r>
    </w:p>
    <w:p w14:paraId="33F2D2DB">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电话：　　　　　　　　　　　　　　　           电话：</w:t>
      </w:r>
    </w:p>
    <w:p w14:paraId="1F79D46A">
      <w:pPr>
        <w:pStyle w:val="33"/>
        <w:widowControl w:val="0"/>
        <w:snapToGrid w:val="0"/>
        <w:spacing w:before="156" w:beforeLines="50" w:beforeAutospacing="0" w:after="0" w:afterAutospacing="0"/>
        <w:ind w:firstLine="360" w:firstLineChars="150"/>
        <w:jc w:val="both"/>
        <w:rPr>
          <w:color w:val="auto"/>
          <w:highlight w:val="none"/>
        </w:rPr>
      </w:pPr>
      <w:r>
        <w:rPr>
          <w:rFonts w:hint="eastAsia" w:ascii="宋体" w:eastAsia="宋体" w:cs="宋体"/>
          <w:b w:val="0"/>
          <w:bCs w:val="0"/>
          <w:color w:val="auto"/>
          <w:szCs w:val="24"/>
          <w:highlight w:val="none"/>
        </w:rPr>
        <w:t xml:space="preserve">   年　月　日　　　　　　　　　　　　　         　　年　月　日</w:t>
      </w:r>
    </w:p>
    <w:p w14:paraId="38A7678D">
      <w:pPr>
        <w:pStyle w:val="33"/>
        <w:widowControl w:val="0"/>
        <w:snapToGrid w:val="0"/>
        <w:spacing w:before="156" w:beforeLines="50" w:beforeAutospacing="0" w:after="0" w:afterAutospacing="0"/>
        <w:ind w:firstLine="360" w:firstLineChars="150"/>
        <w:jc w:val="both"/>
        <w:rPr>
          <w:color w:val="auto"/>
          <w:highlight w:val="none"/>
        </w:rPr>
        <w:sectPr>
          <w:headerReference r:id="rId12" w:type="default"/>
          <w:pgSz w:w="11907" w:h="16840"/>
          <w:pgMar w:top="1417" w:right="1418" w:bottom="1417" w:left="1531" w:header="851" w:footer="992" w:gutter="0"/>
          <w:cols w:space="720" w:num="1"/>
          <w:docGrid w:type="lines" w:linePitch="312" w:charSpace="0"/>
        </w:sectPr>
      </w:pPr>
    </w:p>
    <w:bookmarkEnd w:id="25"/>
    <w:p w14:paraId="17EB599F">
      <w:pPr>
        <w:spacing w:line="400" w:lineRule="exact"/>
        <w:jc w:val="center"/>
        <w:rPr>
          <w:rFonts w:eastAsia="黑体"/>
          <w:b/>
          <w:bCs/>
          <w:color w:val="auto"/>
          <w:sz w:val="32"/>
          <w:highlight w:val="none"/>
        </w:rPr>
      </w:pPr>
      <w:bookmarkStart w:id="27" w:name="_Toc152042575"/>
      <w:bookmarkStart w:id="28" w:name="_Toc144974855"/>
      <w:bookmarkStart w:id="29" w:name="_Toc152045786"/>
      <w:bookmarkStart w:id="30" w:name="_Toc184281694"/>
      <w:bookmarkStart w:id="31" w:name="_Toc386005314"/>
      <w:bookmarkStart w:id="32" w:name="_Toc343495772"/>
      <w:bookmarkStart w:id="33" w:name="_Toc184281693"/>
      <w:r>
        <w:rPr>
          <w:rFonts w:hint="eastAsia" w:eastAsia="黑体"/>
          <w:color w:val="auto"/>
          <w:sz w:val="32"/>
          <w:highlight w:val="none"/>
        </w:rPr>
        <w:t>第六章投标文件格式</w:t>
      </w:r>
      <w:bookmarkEnd w:id="27"/>
      <w:bookmarkEnd w:id="28"/>
      <w:bookmarkEnd w:id="29"/>
    </w:p>
    <w:p w14:paraId="25518792">
      <w:pPr>
        <w:pStyle w:val="86"/>
        <w:ind w:firstLine="140" w:firstLineChars="50"/>
        <w:jc w:val="left"/>
        <w:rPr>
          <w:color w:val="auto"/>
          <w:highlight w:val="none"/>
        </w:rPr>
      </w:pPr>
      <w:bookmarkStart w:id="34" w:name="_Toc13212"/>
      <w:r>
        <w:rPr>
          <w:rFonts w:hint="eastAsia"/>
          <w:color w:val="auto"/>
          <w:highlight w:val="none"/>
        </w:rPr>
        <w:t>格式一</w:t>
      </w:r>
      <w:bookmarkEnd w:id="34"/>
    </w:p>
    <w:p w14:paraId="6A1A1BAF">
      <w:pPr>
        <w:spacing w:line="360" w:lineRule="auto"/>
        <w:ind w:firstLine="480"/>
        <w:jc w:val="center"/>
        <w:rPr>
          <w:color w:val="auto"/>
          <w:sz w:val="24"/>
          <w:highlight w:val="none"/>
        </w:rPr>
      </w:pP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49F16FAB">
      <w:pPr>
        <w:spacing w:line="360" w:lineRule="auto"/>
        <w:jc w:val="center"/>
        <w:rPr>
          <w:b/>
          <w:color w:val="auto"/>
          <w:sz w:val="32"/>
          <w:szCs w:val="32"/>
          <w:highlight w:val="none"/>
        </w:rPr>
      </w:pPr>
      <w:r>
        <w:rPr>
          <w:rFonts w:hint="eastAsia"/>
          <w:b/>
          <w:color w:val="auto"/>
          <w:sz w:val="32"/>
          <w:szCs w:val="32"/>
          <w:highlight w:val="none"/>
        </w:rPr>
        <w:t>诚信投标承诺书</w:t>
      </w:r>
    </w:p>
    <w:p w14:paraId="74F3547A">
      <w:pPr>
        <w:adjustRightInd w:val="0"/>
        <w:snapToGrid w:val="0"/>
        <w:spacing w:line="586" w:lineRule="exact"/>
        <w:ind w:firstLine="624" w:firstLineChars="223"/>
        <w:rPr>
          <w:color w:val="auto"/>
          <w:szCs w:val="28"/>
          <w:highlight w:val="none"/>
        </w:rPr>
      </w:pPr>
      <w:r>
        <w:rPr>
          <w:rFonts w:hint="eastAsia"/>
          <w:color w:val="auto"/>
          <w:szCs w:val="28"/>
          <w:highlight w:val="none"/>
        </w:rPr>
        <w:t>本人以企业法定代表人的身份郑重承诺：</w:t>
      </w:r>
    </w:p>
    <w:p w14:paraId="6B5B68B0">
      <w:pPr>
        <w:adjustRightInd w:val="0"/>
        <w:snapToGrid w:val="0"/>
        <w:spacing w:line="586" w:lineRule="exact"/>
        <w:ind w:left="599" w:leftChars="214"/>
        <w:jc w:val="left"/>
        <w:rPr>
          <w:color w:val="auto"/>
          <w:szCs w:val="28"/>
          <w:highlight w:val="none"/>
        </w:rPr>
      </w:pPr>
      <w:r>
        <w:rPr>
          <w:rFonts w:hint="eastAsia"/>
          <w:color w:val="auto"/>
          <w:szCs w:val="28"/>
          <w:highlight w:val="none"/>
        </w:rPr>
        <w:t>一、将遵循公开、公平、公正和诚实信用的原则参加</w:t>
      </w:r>
      <w:r>
        <w:rPr>
          <w:color w:val="auto"/>
          <w:szCs w:val="28"/>
          <w:highlight w:val="none"/>
          <w:u w:val="single"/>
        </w:rPr>
        <w:t xml:space="preserve">             .      </w:t>
      </w:r>
      <w:r>
        <w:rPr>
          <w:rFonts w:hint="eastAsia"/>
          <w:color w:val="auto"/>
          <w:szCs w:val="28"/>
          <w:highlight w:val="none"/>
        </w:rPr>
        <w:t>（工程项目名称）的投标；</w:t>
      </w:r>
    </w:p>
    <w:p w14:paraId="3587E052">
      <w:pPr>
        <w:adjustRightInd w:val="0"/>
        <w:snapToGrid w:val="0"/>
        <w:spacing w:line="586" w:lineRule="exact"/>
        <w:ind w:firstLine="610" w:firstLineChars="218"/>
        <w:rPr>
          <w:color w:val="auto"/>
          <w:szCs w:val="28"/>
          <w:highlight w:val="none"/>
        </w:rPr>
      </w:pPr>
      <w:r>
        <w:rPr>
          <w:rFonts w:hint="eastAsia"/>
          <w:color w:val="auto"/>
          <w:szCs w:val="28"/>
          <w:highlight w:val="none"/>
        </w:rPr>
        <w:t>二、所提供的一切材料都是真实、有效、合法的；</w:t>
      </w:r>
    </w:p>
    <w:p w14:paraId="52182E21">
      <w:pPr>
        <w:adjustRightInd w:val="0"/>
        <w:snapToGrid w:val="0"/>
        <w:spacing w:line="586" w:lineRule="exact"/>
        <w:ind w:firstLine="624" w:firstLineChars="223"/>
        <w:rPr>
          <w:color w:val="auto"/>
          <w:szCs w:val="28"/>
          <w:highlight w:val="none"/>
        </w:rPr>
      </w:pPr>
      <w:r>
        <w:rPr>
          <w:rFonts w:hint="eastAsia"/>
          <w:color w:val="auto"/>
          <w:szCs w:val="28"/>
          <w:highlight w:val="none"/>
        </w:rPr>
        <w:t>三、不与其他投标人相互串通投标报价，不排挤其他投标人的公平竞争，不损害招标人或其他投标人的合法权益；</w:t>
      </w:r>
    </w:p>
    <w:p w14:paraId="257C23D9">
      <w:pPr>
        <w:adjustRightInd w:val="0"/>
        <w:snapToGrid w:val="0"/>
        <w:spacing w:line="586" w:lineRule="exact"/>
        <w:ind w:firstLine="646" w:firstLineChars="231"/>
        <w:rPr>
          <w:color w:val="auto"/>
          <w:szCs w:val="28"/>
          <w:highlight w:val="none"/>
        </w:rPr>
      </w:pPr>
      <w:r>
        <w:rPr>
          <w:rFonts w:hint="eastAsia"/>
          <w:color w:val="auto"/>
          <w:szCs w:val="28"/>
          <w:highlight w:val="none"/>
        </w:rPr>
        <w:t>四、不与招标人或招标代理机构串通投标，损害国家利益、社会公共利益或者他人的合法权益；</w:t>
      </w:r>
    </w:p>
    <w:p w14:paraId="2DF5EFEE">
      <w:pPr>
        <w:adjustRightInd w:val="0"/>
        <w:snapToGrid w:val="0"/>
        <w:spacing w:line="586" w:lineRule="exact"/>
        <w:ind w:firstLine="646" w:firstLineChars="231"/>
        <w:rPr>
          <w:color w:val="auto"/>
          <w:szCs w:val="28"/>
          <w:highlight w:val="none"/>
        </w:rPr>
      </w:pPr>
      <w:r>
        <w:rPr>
          <w:rFonts w:hint="eastAsia"/>
          <w:color w:val="auto"/>
          <w:szCs w:val="28"/>
          <w:highlight w:val="none"/>
        </w:rPr>
        <w:t>五、不向招标人或者评标委员会成员行贿以牟取中标；</w:t>
      </w:r>
    </w:p>
    <w:p w14:paraId="722EC8AC">
      <w:pPr>
        <w:adjustRightInd w:val="0"/>
        <w:snapToGrid w:val="0"/>
        <w:spacing w:line="586" w:lineRule="exact"/>
        <w:ind w:firstLine="672" w:firstLineChars="240"/>
        <w:rPr>
          <w:color w:val="auto"/>
          <w:szCs w:val="28"/>
          <w:highlight w:val="none"/>
        </w:rPr>
      </w:pPr>
      <w:r>
        <w:rPr>
          <w:rFonts w:hint="eastAsia"/>
          <w:color w:val="auto"/>
          <w:szCs w:val="28"/>
          <w:highlight w:val="none"/>
        </w:rPr>
        <w:t>六、不以他人名义投标或者以其他方式弄虚作假，骗取中标。</w:t>
      </w:r>
    </w:p>
    <w:p w14:paraId="75E5DBA8">
      <w:pPr>
        <w:adjustRightInd w:val="0"/>
        <w:snapToGrid w:val="0"/>
        <w:spacing w:line="586" w:lineRule="exact"/>
        <w:ind w:firstLine="672" w:firstLineChars="240"/>
        <w:rPr>
          <w:color w:val="auto"/>
          <w:szCs w:val="28"/>
          <w:highlight w:val="none"/>
        </w:rPr>
      </w:pPr>
      <w:r>
        <w:rPr>
          <w:rFonts w:hint="eastAsia"/>
          <w:color w:val="auto"/>
          <w:szCs w:val="28"/>
          <w:highlight w:val="none"/>
        </w:rPr>
        <w:t>七、本公司（如联合体投标，为联合体双方）的投标资格已按照招标文件约定的逐条自查，并如实填写。如招标人需要调查了解的，本公司负责本次投标的主管人员（分管经营的副总）将积极配合。</w:t>
      </w:r>
    </w:p>
    <w:p w14:paraId="1AA4205D">
      <w:pPr>
        <w:adjustRightInd w:val="0"/>
        <w:snapToGrid w:val="0"/>
        <w:spacing w:line="586" w:lineRule="exact"/>
        <w:ind w:firstLine="672" w:firstLineChars="240"/>
        <w:rPr>
          <w:color w:val="auto"/>
          <w:szCs w:val="28"/>
          <w:highlight w:val="none"/>
          <w:u w:val="single"/>
        </w:rPr>
      </w:pPr>
      <w:r>
        <w:rPr>
          <w:rFonts w:hint="eastAsia"/>
          <w:color w:val="auto"/>
          <w:szCs w:val="28"/>
          <w:highlight w:val="none"/>
        </w:rPr>
        <w:t>投标文件编制人员：</w:t>
      </w:r>
      <w:r>
        <w:rPr>
          <w:rFonts w:hint="eastAsia"/>
          <w:color w:val="auto"/>
          <w:szCs w:val="28"/>
          <w:highlight w:val="none"/>
          <w:u w:val="single"/>
        </w:rPr>
        <w:t xml:space="preserve">        </w:t>
      </w:r>
      <w:r>
        <w:rPr>
          <w:rFonts w:hint="eastAsia"/>
          <w:color w:val="auto"/>
          <w:szCs w:val="28"/>
          <w:highlight w:val="none"/>
        </w:rPr>
        <w:t>，手机号码：</w:t>
      </w:r>
      <w:r>
        <w:rPr>
          <w:rFonts w:hint="eastAsia"/>
          <w:color w:val="auto"/>
          <w:szCs w:val="28"/>
          <w:highlight w:val="none"/>
          <w:u w:val="single"/>
        </w:rPr>
        <w:t xml:space="preserve">         </w:t>
      </w:r>
      <w:r>
        <w:rPr>
          <w:rFonts w:hint="eastAsia"/>
          <w:color w:val="auto"/>
          <w:szCs w:val="28"/>
          <w:highlight w:val="none"/>
        </w:rPr>
        <w:t>。</w:t>
      </w:r>
    </w:p>
    <w:p w14:paraId="33406976">
      <w:pPr>
        <w:adjustRightInd w:val="0"/>
        <w:snapToGrid w:val="0"/>
        <w:spacing w:line="586" w:lineRule="exact"/>
        <w:ind w:firstLine="672" w:firstLineChars="240"/>
        <w:rPr>
          <w:color w:val="auto"/>
          <w:szCs w:val="28"/>
          <w:highlight w:val="none"/>
        </w:rPr>
      </w:pPr>
      <w:r>
        <w:rPr>
          <w:rFonts w:hint="eastAsia"/>
          <w:color w:val="auto"/>
          <w:szCs w:val="28"/>
          <w:highlight w:val="none"/>
        </w:rPr>
        <w:t>本公司若有违反本承诺内容的行为，愿意承担法律责任，并愿意接受招投标行政监督部门的任何处理。如已中标的，自动放弃中标资格；给招标人造成损失的，依法承担赔偿责任。</w:t>
      </w:r>
    </w:p>
    <w:p w14:paraId="01DF5CB1">
      <w:pPr>
        <w:adjustRightInd w:val="0"/>
        <w:snapToGrid w:val="0"/>
        <w:spacing w:line="586" w:lineRule="exact"/>
        <w:rPr>
          <w:color w:val="auto"/>
          <w:szCs w:val="28"/>
          <w:highlight w:val="none"/>
        </w:rPr>
      </w:pPr>
      <w:r>
        <w:rPr>
          <w:rFonts w:hint="eastAsia"/>
          <w:color w:val="auto"/>
          <w:szCs w:val="28"/>
          <w:highlight w:val="none"/>
        </w:rPr>
        <w:t>法定代表人（签字或盖章）：</w:t>
      </w:r>
    </w:p>
    <w:p w14:paraId="2FFB0375">
      <w:pPr>
        <w:adjustRightInd w:val="0"/>
        <w:snapToGrid w:val="0"/>
        <w:spacing w:line="586" w:lineRule="exact"/>
        <w:rPr>
          <w:color w:val="auto"/>
          <w:szCs w:val="28"/>
          <w:highlight w:val="none"/>
        </w:rPr>
      </w:pPr>
      <w:r>
        <w:rPr>
          <w:rFonts w:hint="eastAsia"/>
          <w:color w:val="auto"/>
          <w:szCs w:val="28"/>
          <w:highlight w:val="none"/>
        </w:rPr>
        <w:t>投标人（盖章）：</w:t>
      </w:r>
    </w:p>
    <w:p w14:paraId="45968E80">
      <w:pPr>
        <w:spacing w:line="360" w:lineRule="exact"/>
        <w:jc w:val="right"/>
        <w:textAlignment w:val="baseline"/>
        <w:rPr>
          <w:color w:val="auto"/>
          <w:szCs w:val="28"/>
          <w:highlight w:val="none"/>
        </w:rPr>
      </w:pPr>
      <w:r>
        <w:rPr>
          <w:rFonts w:hint="eastAsia"/>
          <w:color w:val="auto"/>
          <w:szCs w:val="28"/>
          <w:highlight w:val="none"/>
        </w:rPr>
        <w:t>年    月    日</w:t>
      </w:r>
    </w:p>
    <w:p w14:paraId="0B747656">
      <w:pPr>
        <w:pStyle w:val="86"/>
        <w:rPr>
          <w:rFonts w:hint="eastAsia"/>
          <w:color w:val="auto"/>
          <w:highlight w:val="none"/>
        </w:rPr>
        <w:sectPr>
          <w:pgSz w:w="11907" w:h="16840"/>
          <w:pgMar w:top="1417" w:right="1418" w:bottom="1417" w:left="1531" w:header="851" w:footer="992" w:gutter="0"/>
          <w:cols w:space="720" w:num="1"/>
          <w:docGrid w:type="lines" w:linePitch="312" w:charSpace="0"/>
        </w:sectPr>
      </w:pPr>
      <w:bookmarkStart w:id="35" w:name="_Toc1895"/>
    </w:p>
    <w:p w14:paraId="7FA8EA21">
      <w:pPr>
        <w:pStyle w:val="86"/>
        <w:rPr>
          <w:rFonts w:hint="eastAsia"/>
          <w:color w:val="auto"/>
          <w:highlight w:val="none"/>
        </w:rPr>
      </w:pPr>
      <w:r>
        <w:rPr>
          <w:rFonts w:hint="eastAsia"/>
          <w:color w:val="auto"/>
          <w:highlight w:val="none"/>
        </w:rPr>
        <w:t>格式</w:t>
      </w:r>
      <w:bookmarkEnd w:id="35"/>
      <w:r>
        <w:rPr>
          <w:rFonts w:hint="eastAsia"/>
          <w:color w:val="auto"/>
          <w:highlight w:val="none"/>
        </w:rPr>
        <w:t>二</w:t>
      </w:r>
    </w:p>
    <w:p w14:paraId="5D12191E">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5353E58F">
      <w:pPr>
        <w:pStyle w:val="10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类似项目业绩一览表</w:t>
      </w:r>
    </w:p>
    <w:tbl>
      <w:tblPr>
        <w:tblStyle w:val="37"/>
        <w:tblW w:w="1026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13"/>
        <w:gridCol w:w="1980"/>
        <w:gridCol w:w="1515"/>
        <w:gridCol w:w="1575"/>
        <w:gridCol w:w="1500"/>
        <w:gridCol w:w="1471"/>
        <w:gridCol w:w="913"/>
      </w:tblGrid>
      <w:tr w14:paraId="689694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91" w:hRule="atLeast"/>
          <w:jc w:val="center"/>
        </w:trPr>
        <w:tc>
          <w:tcPr>
            <w:tcW w:w="1313" w:type="dxa"/>
            <w:tcBorders>
              <w:top w:val="single" w:color="auto" w:sz="12" w:space="0"/>
              <w:left w:val="single" w:color="auto" w:sz="12" w:space="0"/>
              <w:bottom w:val="single" w:color="auto" w:sz="8" w:space="0"/>
              <w:right w:val="single" w:color="auto" w:sz="8" w:space="0"/>
            </w:tcBorders>
            <w:noWrap w:val="0"/>
            <w:vAlign w:val="center"/>
          </w:tcPr>
          <w:p w14:paraId="0FC04910">
            <w:pPr>
              <w:keepNext w:val="0"/>
              <w:keepLines w:val="0"/>
              <w:suppressLineNumbers w:val="0"/>
              <w:spacing w:before="0" w:beforeAutospacing="0" w:after="0" w:afterAutospacing="0"/>
              <w:ind w:left="0" w:right="0"/>
              <w:jc w:val="center"/>
              <w:rPr>
                <w:rFonts w:hint="default" w:ascii="Calibri" w:hAnsi="Calibri" w:cs="Calibri"/>
                <w:color w:val="auto"/>
                <w:sz w:val="24"/>
                <w:highlight w:val="none"/>
              </w:rPr>
            </w:pPr>
            <w:r>
              <w:rPr>
                <w:rFonts w:hint="eastAsia" w:ascii="Calibri" w:hAnsi="Calibri" w:cs="Calibri"/>
                <w:color w:val="auto"/>
                <w:sz w:val="24"/>
                <w:highlight w:val="none"/>
              </w:rPr>
              <w:t>项目名称</w:t>
            </w:r>
          </w:p>
        </w:tc>
        <w:tc>
          <w:tcPr>
            <w:tcW w:w="1980" w:type="dxa"/>
            <w:tcBorders>
              <w:top w:val="single" w:color="auto" w:sz="12" w:space="0"/>
              <w:left w:val="single" w:color="auto" w:sz="8" w:space="0"/>
              <w:bottom w:val="single" w:color="auto" w:sz="8" w:space="0"/>
              <w:right w:val="single" w:color="auto" w:sz="8" w:space="0"/>
            </w:tcBorders>
            <w:noWrap w:val="0"/>
            <w:vAlign w:val="center"/>
          </w:tcPr>
          <w:p w14:paraId="548B5B47">
            <w:pPr>
              <w:keepNext w:val="0"/>
              <w:keepLines w:val="0"/>
              <w:suppressLineNumbers w:val="0"/>
              <w:spacing w:before="0" w:beforeAutospacing="0" w:after="0" w:afterAutospacing="0"/>
              <w:ind w:left="0" w:right="0"/>
              <w:jc w:val="center"/>
              <w:rPr>
                <w:rFonts w:hint="default" w:ascii="Calibri" w:hAnsi="Calibri" w:cs="Calibri"/>
                <w:color w:val="auto"/>
                <w:sz w:val="24"/>
                <w:highlight w:val="none"/>
              </w:rPr>
            </w:pPr>
            <w:r>
              <w:rPr>
                <w:rFonts w:hint="eastAsia" w:ascii="宋体" w:hAnsi="宋体" w:cs="Calibri"/>
                <w:color w:val="auto"/>
                <w:spacing w:val="20"/>
                <w:sz w:val="24"/>
                <w:highlight w:val="none"/>
              </w:rPr>
              <w:t>合同</w:t>
            </w:r>
            <w:r>
              <w:rPr>
                <w:rFonts w:hint="eastAsia" w:ascii="宋体" w:hAnsi="宋体" w:cs="Calibri"/>
                <w:caps/>
                <w:color w:val="auto"/>
                <w:spacing w:val="20"/>
                <w:sz w:val="24"/>
                <w:highlight w:val="none"/>
              </w:rPr>
              <w:t>名称</w:t>
            </w:r>
          </w:p>
        </w:tc>
        <w:tc>
          <w:tcPr>
            <w:tcW w:w="1515" w:type="dxa"/>
            <w:tcBorders>
              <w:top w:val="single" w:color="auto" w:sz="12" w:space="0"/>
              <w:left w:val="single" w:color="auto" w:sz="8" w:space="0"/>
              <w:bottom w:val="single" w:color="auto" w:sz="8" w:space="0"/>
              <w:right w:val="single" w:color="auto" w:sz="8" w:space="0"/>
            </w:tcBorders>
            <w:noWrap w:val="0"/>
            <w:vAlign w:val="center"/>
          </w:tcPr>
          <w:p w14:paraId="543EC6C6">
            <w:pPr>
              <w:keepNext w:val="0"/>
              <w:keepLines w:val="0"/>
              <w:suppressLineNumbers w:val="0"/>
              <w:spacing w:before="0" w:beforeAutospacing="0" w:after="0" w:afterAutospacing="0"/>
              <w:ind w:left="0" w:right="0"/>
              <w:jc w:val="center"/>
              <w:rPr>
                <w:rFonts w:hint="default" w:ascii="宋体" w:hAnsi="宋体" w:cs="Calibri"/>
                <w:color w:val="auto"/>
                <w:spacing w:val="20"/>
                <w:sz w:val="24"/>
                <w:highlight w:val="none"/>
              </w:rPr>
            </w:pPr>
            <w:r>
              <w:rPr>
                <w:rFonts w:hint="eastAsia" w:ascii="宋体" w:hAnsi="宋体" w:cs="Calibri"/>
                <w:color w:val="auto"/>
                <w:spacing w:val="20"/>
                <w:sz w:val="24"/>
                <w:highlight w:val="none"/>
              </w:rPr>
              <w:t>合同金额（元）</w:t>
            </w:r>
          </w:p>
        </w:tc>
        <w:tc>
          <w:tcPr>
            <w:tcW w:w="1575" w:type="dxa"/>
            <w:tcBorders>
              <w:top w:val="single" w:color="auto" w:sz="12" w:space="0"/>
              <w:left w:val="single" w:color="auto" w:sz="8" w:space="0"/>
              <w:bottom w:val="single" w:color="auto" w:sz="8" w:space="0"/>
              <w:right w:val="single" w:color="auto" w:sz="8" w:space="0"/>
            </w:tcBorders>
            <w:noWrap w:val="0"/>
            <w:vAlign w:val="center"/>
          </w:tcPr>
          <w:p w14:paraId="5E048589">
            <w:pPr>
              <w:keepNext w:val="0"/>
              <w:keepLines w:val="0"/>
              <w:suppressLineNumbers w:val="0"/>
              <w:spacing w:before="0" w:beforeAutospacing="0" w:after="0" w:afterAutospacing="0"/>
              <w:ind w:left="-76" w:leftChars="-27" w:right="-87" w:rightChars="-31"/>
              <w:jc w:val="center"/>
              <w:rPr>
                <w:rFonts w:hint="default" w:ascii="Calibri" w:hAnsi="Calibri" w:cs="Calibri"/>
                <w:color w:val="auto"/>
                <w:sz w:val="24"/>
                <w:highlight w:val="none"/>
              </w:rPr>
            </w:pPr>
            <w:r>
              <w:rPr>
                <w:rFonts w:hint="eastAsia" w:ascii="Calibri" w:hAnsi="Calibri" w:cs="Calibri"/>
                <w:color w:val="auto"/>
                <w:sz w:val="24"/>
                <w:highlight w:val="none"/>
              </w:rPr>
              <w:t>合同签订日期</w:t>
            </w:r>
          </w:p>
        </w:tc>
        <w:tc>
          <w:tcPr>
            <w:tcW w:w="1500" w:type="dxa"/>
            <w:tcBorders>
              <w:top w:val="single" w:color="auto" w:sz="12" w:space="0"/>
              <w:left w:val="single" w:color="auto" w:sz="8" w:space="0"/>
              <w:bottom w:val="single" w:color="auto" w:sz="8" w:space="0"/>
              <w:right w:val="single" w:color="auto" w:sz="8" w:space="0"/>
            </w:tcBorders>
            <w:noWrap w:val="0"/>
            <w:vAlign w:val="center"/>
          </w:tcPr>
          <w:p w14:paraId="4B53BBD1">
            <w:pPr>
              <w:keepNext w:val="0"/>
              <w:keepLines w:val="0"/>
              <w:suppressLineNumbers w:val="0"/>
              <w:spacing w:before="0" w:beforeAutospacing="0" w:after="0" w:afterAutospacing="0"/>
              <w:ind w:left="0" w:right="0"/>
              <w:jc w:val="center"/>
              <w:rPr>
                <w:rFonts w:hint="default" w:ascii="Calibri" w:hAnsi="Calibri" w:cs="Calibri"/>
                <w:color w:val="auto"/>
                <w:sz w:val="24"/>
                <w:highlight w:val="none"/>
              </w:rPr>
            </w:pPr>
            <w:r>
              <w:rPr>
                <w:rFonts w:hint="eastAsia" w:ascii="Calibri" w:hAnsi="Calibri" w:cs="Calibri"/>
                <w:color w:val="auto"/>
                <w:sz w:val="24"/>
                <w:highlight w:val="none"/>
              </w:rPr>
              <w:t>证明材料名称</w:t>
            </w:r>
          </w:p>
        </w:tc>
        <w:tc>
          <w:tcPr>
            <w:tcW w:w="1471" w:type="dxa"/>
            <w:tcBorders>
              <w:top w:val="single" w:color="auto" w:sz="12" w:space="0"/>
              <w:left w:val="single" w:color="auto" w:sz="8" w:space="0"/>
              <w:bottom w:val="single" w:color="auto" w:sz="8" w:space="0"/>
              <w:right w:val="single" w:color="auto" w:sz="12" w:space="0"/>
            </w:tcBorders>
            <w:noWrap w:val="0"/>
            <w:vAlign w:val="center"/>
          </w:tcPr>
          <w:p w14:paraId="167359F3">
            <w:pPr>
              <w:keepNext w:val="0"/>
              <w:keepLines w:val="0"/>
              <w:suppressLineNumbers w:val="0"/>
              <w:spacing w:before="0" w:beforeAutospacing="0" w:after="0" w:afterAutospacing="0"/>
              <w:ind w:left="0" w:right="0"/>
              <w:jc w:val="center"/>
              <w:rPr>
                <w:rFonts w:hint="default" w:ascii="Calibri" w:hAnsi="Calibri" w:eastAsia="宋体" w:cs="Calibri"/>
                <w:color w:val="auto"/>
                <w:sz w:val="24"/>
                <w:highlight w:val="none"/>
                <w:lang w:val="en-US" w:eastAsia="zh-CN"/>
              </w:rPr>
            </w:pPr>
            <w:r>
              <w:rPr>
                <w:rFonts w:hint="eastAsia" w:ascii="Calibri" w:hAnsi="Calibri" w:cs="Calibri"/>
                <w:color w:val="auto"/>
                <w:sz w:val="24"/>
                <w:highlight w:val="none"/>
                <w:lang w:val="en-US" w:eastAsia="zh-CN"/>
              </w:rPr>
              <w:t>项目类型</w:t>
            </w:r>
          </w:p>
        </w:tc>
        <w:tc>
          <w:tcPr>
            <w:tcW w:w="913" w:type="dxa"/>
            <w:tcBorders>
              <w:top w:val="single" w:color="auto" w:sz="12" w:space="0"/>
              <w:left w:val="single" w:color="auto" w:sz="8" w:space="0"/>
              <w:bottom w:val="single" w:color="auto" w:sz="8" w:space="0"/>
              <w:right w:val="single" w:color="auto" w:sz="12" w:space="0"/>
            </w:tcBorders>
            <w:noWrap w:val="0"/>
            <w:vAlign w:val="center"/>
          </w:tcPr>
          <w:p w14:paraId="62618581">
            <w:pPr>
              <w:keepNext w:val="0"/>
              <w:keepLines w:val="0"/>
              <w:suppressLineNumbers w:val="0"/>
              <w:spacing w:before="0" w:beforeAutospacing="0" w:after="0" w:afterAutospacing="0"/>
              <w:ind w:left="0" w:right="0"/>
              <w:jc w:val="center"/>
              <w:rPr>
                <w:rFonts w:hint="eastAsia" w:ascii="Calibri" w:hAnsi="Calibri" w:cs="Calibri"/>
                <w:color w:val="auto"/>
                <w:sz w:val="24"/>
                <w:highlight w:val="none"/>
              </w:rPr>
            </w:pPr>
            <w:r>
              <w:rPr>
                <w:rFonts w:hint="eastAsia" w:ascii="Calibri" w:hAnsi="Calibri" w:cs="Calibri"/>
                <w:color w:val="auto"/>
                <w:sz w:val="24"/>
                <w:highlight w:val="none"/>
              </w:rPr>
              <w:t>备注</w:t>
            </w:r>
          </w:p>
        </w:tc>
      </w:tr>
      <w:tr w14:paraId="5C3E7D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0D11AFC2">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931AEE7">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120D806D">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7F6F9272">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519326B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6A6E4262">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1490E898">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140012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DED389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12A5623">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160B498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74BB053">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25C0E6AF">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1D49D7D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085F550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3D04D9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635DE2C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5800F779">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6639462F">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60C1A9AF">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783EADE9">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6190B19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53C548C1">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5A64C2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58315404">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18D92D02">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1CFEAC0F">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03EA1531">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63FD340C">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215B984D">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22169611">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05F1B7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73CDB36">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7866DD9">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3FED9864">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7F9A7B28">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46F0D33A">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3A5744A9">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24E50B7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1C6AD2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C869DEA">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4394325">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6C99E85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6290F15">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522D6917">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2F819FC1">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3014C1E6">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2278A3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313" w:type="dxa"/>
            <w:tcBorders>
              <w:top w:val="single" w:color="auto" w:sz="8" w:space="0"/>
              <w:left w:val="single" w:color="auto" w:sz="12" w:space="0"/>
              <w:bottom w:val="single" w:color="auto" w:sz="12" w:space="0"/>
              <w:right w:val="single" w:color="auto" w:sz="8" w:space="0"/>
            </w:tcBorders>
            <w:noWrap w:val="0"/>
            <w:vAlign w:val="center"/>
          </w:tcPr>
          <w:p w14:paraId="4B800CE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12" w:space="0"/>
              <w:right w:val="single" w:color="auto" w:sz="8" w:space="0"/>
            </w:tcBorders>
            <w:noWrap w:val="0"/>
            <w:vAlign w:val="center"/>
          </w:tcPr>
          <w:p w14:paraId="4AC250BC">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12" w:space="0"/>
              <w:right w:val="single" w:color="auto" w:sz="8" w:space="0"/>
            </w:tcBorders>
            <w:noWrap w:val="0"/>
            <w:vAlign w:val="center"/>
          </w:tcPr>
          <w:p w14:paraId="23868B6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12" w:space="0"/>
              <w:right w:val="single" w:color="auto" w:sz="8" w:space="0"/>
            </w:tcBorders>
            <w:noWrap w:val="0"/>
            <w:vAlign w:val="center"/>
          </w:tcPr>
          <w:p w14:paraId="77F1531B">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12" w:space="0"/>
              <w:right w:val="single" w:color="auto" w:sz="8" w:space="0"/>
            </w:tcBorders>
            <w:noWrap w:val="0"/>
            <w:vAlign w:val="center"/>
          </w:tcPr>
          <w:p w14:paraId="71B2A863">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12" w:space="0"/>
              <w:right w:val="single" w:color="auto" w:sz="12" w:space="0"/>
            </w:tcBorders>
            <w:noWrap w:val="0"/>
            <w:vAlign w:val="center"/>
          </w:tcPr>
          <w:p w14:paraId="0102238C">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12" w:space="0"/>
              <w:right w:val="single" w:color="auto" w:sz="12" w:space="0"/>
            </w:tcBorders>
            <w:noWrap w:val="0"/>
            <w:vAlign w:val="center"/>
          </w:tcPr>
          <w:p w14:paraId="00A5FFBA">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bl>
    <w:p w14:paraId="24E3FAD3">
      <w:pPr>
        <w:rPr>
          <w:rFonts w:ascii="宋体" w:hAnsi="宋体"/>
          <w:color w:val="auto"/>
          <w:szCs w:val="21"/>
          <w:highlight w:val="none"/>
        </w:rPr>
      </w:pPr>
      <w:r>
        <w:rPr>
          <w:rFonts w:hint="eastAsia" w:ascii="宋体" w:hAnsi="宋体"/>
          <w:color w:val="auto"/>
          <w:szCs w:val="21"/>
          <w:highlight w:val="none"/>
        </w:rPr>
        <w:t>注：（1）以上内容填写必须完整、真实。</w:t>
      </w:r>
    </w:p>
    <w:p w14:paraId="64D24668">
      <w:pPr>
        <w:ind w:firstLine="315"/>
        <w:rPr>
          <w:rFonts w:ascii="宋体" w:hAnsi="宋体"/>
          <w:color w:val="auto"/>
          <w:szCs w:val="21"/>
          <w:highlight w:val="none"/>
        </w:rPr>
      </w:pPr>
      <w:r>
        <w:rPr>
          <w:rFonts w:hint="eastAsia" w:ascii="宋体" w:hAnsi="宋体"/>
          <w:color w:val="auto"/>
          <w:szCs w:val="21"/>
          <w:highlight w:val="none"/>
        </w:rPr>
        <w:t>（2）评分以评标办法约定的合格证明材料为准。</w:t>
      </w:r>
    </w:p>
    <w:p w14:paraId="3729024F">
      <w:pPr>
        <w:ind w:firstLine="315"/>
        <w:rPr>
          <w:rFonts w:hint="eastAsia" w:ascii="宋体" w:hAnsi="宋体"/>
          <w:color w:val="auto"/>
          <w:szCs w:val="21"/>
          <w:highlight w:val="none"/>
        </w:rPr>
      </w:pPr>
      <w:r>
        <w:rPr>
          <w:rFonts w:hint="eastAsia" w:ascii="宋体" w:hAnsi="宋体"/>
          <w:color w:val="auto"/>
          <w:szCs w:val="21"/>
          <w:highlight w:val="none"/>
        </w:rPr>
        <w:t>（3）后附证明材料影印件或扫描件。</w:t>
      </w:r>
    </w:p>
    <w:p w14:paraId="5CCD34CE">
      <w:pPr>
        <w:jc w:val="left"/>
        <w:rPr>
          <w:color w:val="auto"/>
          <w:sz w:val="22"/>
          <w:highlight w:val="none"/>
        </w:rPr>
      </w:pPr>
    </w:p>
    <w:p w14:paraId="27AE904A">
      <w:pPr>
        <w:spacing w:line="320" w:lineRule="exact"/>
        <w:rPr>
          <w:rFonts w:ascii="宋体" w:hAnsi="宋体"/>
          <w:color w:val="auto"/>
          <w:sz w:val="24"/>
          <w:highlight w:val="none"/>
        </w:rPr>
      </w:pPr>
    </w:p>
    <w:p w14:paraId="56775C39">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4AEC10DD">
      <w:pPr>
        <w:ind w:firstLine="315"/>
        <w:rPr>
          <w:rFonts w:hint="eastAsia" w:ascii="宋体" w:hAnsi="宋体"/>
          <w:color w:val="auto"/>
          <w:sz w:val="24"/>
          <w:highlight w:val="none"/>
        </w:rPr>
      </w:pPr>
    </w:p>
    <w:p w14:paraId="6A46E865">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30EDE982">
      <w:pPr>
        <w:ind w:firstLine="315"/>
        <w:rPr>
          <w:rFonts w:hint="eastAsia" w:ascii="宋体" w:hAnsi="宋体"/>
          <w:color w:val="auto"/>
          <w:sz w:val="24"/>
          <w:highlight w:val="none"/>
        </w:rPr>
      </w:pPr>
    </w:p>
    <w:p w14:paraId="14EF51A1">
      <w:pPr>
        <w:ind w:firstLine="315"/>
        <w:rPr>
          <w:rFonts w:hint="eastAsia" w:ascii="宋体" w:hAnsi="宋体"/>
          <w:color w:val="auto"/>
          <w:sz w:val="24"/>
          <w:highlight w:val="none"/>
        </w:rPr>
      </w:pPr>
      <w:r>
        <w:rPr>
          <w:rFonts w:hint="eastAsia" w:ascii="宋体" w:hAnsi="宋体"/>
          <w:color w:val="auto"/>
          <w:sz w:val="24"/>
          <w:highlight w:val="none"/>
        </w:rPr>
        <w:t>日期：    年   月   日</w:t>
      </w:r>
    </w:p>
    <w:p w14:paraId="1FF676C6">
      <w:pPr>
        <w:pStyle w:val="86"/>
        <w:rPr>
          <w:rFonts w:hint="eastAsia"/>
          <w:color w:val="auto"/>
          <w:highlight w:val="none"/>
        </w:rPr>
        <w:sectPr>
          <w:pgSz w:w="11907" w:h="16840"/>
          <w:pgMar w:top="1417" w:right="1418" w:bottom="1417" w:left="1531" w:header="851" w:footer="992" w:gutter="0"/>
          <w:cols w:space="720" w:num="1"/>
          <w:docGrid w:type="lines" w:linePitch="312" w:charSpace="0"/>
        </w:sectPr>
      </w:pPr>
    </w:p>
    <w:p w14:paraId="4235AAF3">
      <w:pPr>
        <w:pStyle w:val="86"/>
        <w:rPr>
          <w:rFonts w:hint="eastAsia"/>
          <w:color w:val="auto"/>
          <w:highlight w:val="none"/>
        </w:rPr>
      </w:pPr>
      <w:bookmarkStart w:id="36" w:name="_Toc10074"/>
      <w:r>
        <w:rPr>
          <w:rFonts w:hint="eastAsia"/>
          <w:color w:val="auto"/>
          <w:highlight w:val="none"/>
        </w:rPr>
        <w:t>格式</w:t>
      </w:r>
      <w:bookmarkEnd w:id="36"/>
      <w:r>
        <w:rPr>
          <w:rFonts w:hint="eastAsia"/>
          <w:color w:val="auto"/>
          <w:highlight w:val="none"/>
        </w:rPr>
        <w:t>三</w:t>
      </w:r>
    </w:p>
    <w:p w14:paraId="1C7BD187">
      <w:pPr>
        <w:jc w:val="center"/>
        <w:outlineLvl w:val="0"/>
        <w:rPr>
          <w:rFonts w:hint="eastAsia" w:ascii="宋体" w:hAnsi="宋体" w:eastAsia="宋体"/>
          <w:color w:val="000000"/>
          <w:szCs w:val="28"/>
          <w:highlight w:val="none"/>
          <w:lang w:eastAsia="zh-CN"/>
        </w:rPr>
      </w:pPr>
      <w:r>
        <w:rPr>
          <w:rFonts w:hint="eastAsia"/>
          <w:color w:val="000000"/>
          <w:szCs w:val="28"/>
          <w:highlight w:val="none"/>
          <w:lang w:eastAsia="zh-CN"/>
        </w:rPr>
        <w:t>台州湾文旅综合体项目餐厅工程（家具采购）</w:t>
      </w:r>
    </w:p>
    <w:p w14:paraId="5521E6AF">
      <w:pPr>
        <w:jc w:val="center"/>
        <w:outlineLvl w:val="0"/>
        <w:rPr>
          <w:color w:val="000000"/>
          <w:szCs w:val="28"/>
          <w:highlight w:val="none"/>
        </w:rPr>
      </w:pPr>
      <w:r>
        <w:rPr>
          <w:rFonts w:hint="eastAsia"/>
          <w:color w:val="000000"/>
          <w:szCs w:val="28"/>
          <w:highlight w:val="none"/>
        </w:rPr>
        <w:t>质保期承诺表</w:t>
      </w:r>
    </w:p>
    <w:tbl>
      <w:tblPr>
        <w:tblStyle w:val="37"/>
        <w:tblW w:w="93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0960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trPr>
        <w:tc>
          <w:tcPr>
            <w:tcW w:w="9380" w:type="dxa"/>
            <w:tcBorders>
              <w:top w:val="single" w:color="auto" w:sz="4" w:space="0"/>
              <w:left w:val="single" w:color="auto" w:sz="4" w:space="0"/>
              <w:bottom w:val="single" w:color="auto" w:sz="4" w:space="0"/>
              <w:right w:val="single" w:color="auto" w:sz="4" w:space="0"/>
            </w:tcBorders>
            <w:vAlign w:val="center"/>
          </w:tcPr>
          <w:p w14:paraId="109B9BB9">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r>
              <w:rPr>
                <w:rFonts w:hint="eastAsia" w:ascii="宋体" w:hAnsi="宋体" w:cs="宋体"/>
                <w:color w:val="000000"/>
                <w:szCs w:val="21"/>
                <w:highlight w:val="none"/>
              </w:rPr>
              <w:t>我单位郑重承诺：</w:t>
            </w:r>
          </w:p>
          <w:p w14:paraId="3CB1BB02">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r>
              <w:rPr>
                <w:rFonts w:hint="eastAsia" w:ascii="宋体" w:hAnsi="宋体"/>
                <w:color w:val="auto"/>
                <w:sz w:val="28"/>
                <w:szCs w:val="28"/>
                <w:highlight w:val="none"/>
                <w:lang w:eastAsia="zh-CN"/>
              </w:rPr>
              <w:t>台州湾文旅综合体项目餐厅工程（家具采购）</w:t>
            </w:r>
            <w:r>
              <w:rPr>
                <w:rFonts w:hint="eastAsia" w:ascii="宋体" w:hAnsi="宋体"/>
                <w:color w:val="auto"/>
                <w:sz w:val="28"/>
                <w:szCs w:val="28"/>
                <w:highlight w:val="none"/>
              </w:rPr>
              <w:t>的免费质保期</w:t>
            </w:r>
            <w:r>
              <w:rPr>
                <w:rFonts w:hint="eastAsia" w:ascii="宋体" w:hAnsi="宋体"/>
                <w:color w:val="auto"/>
                <w:sz w:val="28"/>
                <w:szCs w:val="28"/>
                <w:highlight w:val="none"/>
                <w:lang w:val="en-US" w:eastAsia="zh-CN"/>
              </w:rPr>
              <w:t>为</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年（不得低于</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年），自该验收合格并办理项目移交次日起计。</w:t>
            </w:r>
          </w:p>
        </w:tc>
      </w:tr>
    </w:tbl>
    <w:p w14:paraId="0814DFDD">
      <w:pPr>
        <w:spacing w:line="360" w:lineRule="auto"/>
        <w:rPr>
          <w:rFonts w:ascii="宋体" w:hAnsi="宋体" w:cs="宋体"/>
          <w:color w:val="000000"/>
          <w:szCs w:val="21"/>
          <w:highlight w:val="none"/>
        </w:rPr>
      </w:pPr>
      <w:r>
        <w:rPr>
          <w:rFonts w:hint="eastAsia" w:ascii="宋体" w:hAnsi="宋体" w:cs="宋体"/>
          <w:color w:val="000000"/>
          <w:szCs w:val="21"/>
          <w:highlight w:val="none"/>
        </w:rPr>
        <w:t>注：本表可自拟，但必须包含以上主要内容。</w:t>
      </w:r>
    </w:p>
    <w:p w14:paraId="4CDA0C3F">
      <w:pPr>
        <w:ind w:firstLine="315"/>
        <w:jc w:val="right"/>
        <w:rPr>
          <w:rFonts w:hint="eastAsia" w:ascii="宋体" w:hAnsi="宋体"/>
          <w:color w:val="auto"/>
          <w:sz w:val="24"/>
          <w:highlight w:val="none"/>
        </w:rPr>
      </w:pPr>
    </w:p>
    <w:p w14:paraId="101C74D0">
      <w:pPr>
        <w:ind w:firstLine="315"/>
        <w:jc w:val="right"/>
        <w:rPr>
          <w:rFonts w:hint="eastAsia" w:ascii="宋体" w:hAnsi="宋体"/>
          <w:color w:val="auto"/>
          <w:sz w:val="24"/>
          <w:highlight w:val="none"/>
        </w:rPr>
      </w:pPr>
    </w:p>
    <w:p w14:paraId="7517F17B">
      <w:pPr>
        <w:ind w:firstLine="315"/>
        <w:jc w:val="right"/>
        <w:rPr>
          <w:rFonts w:hint="eastAsia" w:ascii="宋体" w:hAnsi="宋体"/>
          <w:color w:val="auto"/>
          <w:sz w:val="24"/>
          <w:highlight w:val="none"/>
        </w:rPr>
      </w:pPr>
    </w:p>
    <w:p w14:paraId="35C0F5A9">
      <w:pPr>
        <w:ind w:firstLine="315"/>
        <w:jc w:val="right"/>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72CC4AB7">
      <w:pPr>
        <w:ind w:firstLine="315"/>
        <w:jc w:val="right"/>
        <w:rPr>
          <w:rFonts w:hint="eastAsia" w:ascii="宋体" w:hAnsi="宋体"/>
          <w:color w:val="auto"/>
          <w:sz w:val="24"/>
          <w:highlight w:val="none"/>
        </w:rPr>
      </w:pPr>
    </w:p>
    <w:p w14:paraId="649E6A7D">
      <w:pPr>
        <w:ind w:firstLine="315"/>
        <w:jc w:val="right"/>
        <w:rPr>
          <w:rFonts w:hint="eastAsia" w:ascii="宋体" w:hAnsi="宋体"/>
          <w:color w:val="auto"/>
          <w:sz w:val="24"/>
          <w:highlight w:val="none"/>
        </w:rPr>
      </w:pPr>
      <w:r>
        <w:rPr>
          <w:rFonts w:hint="eastAsia" w:ascii="宋体" w:hAnsi="宋体"/>
          <w:color w:val="auto"/>
          <w:sz w:val="24"/>
          <w:highlight w:val="none"/>
        </w:rPr>
        <w:t xml:space="preserve">投 标 人（盖章）：  </w:t>
      </w:r>
    </w:p>
    <w:p w14:paraId="1F46460B">
      <w:pPr>
        <w:ind w:firstLine="315"/>
        <w:jc w:val="right"/>
        <w:rPr>
          <w:rFonts w:hint="eastAsia" w:ascii="宋体" w:hAnsi="宋体"/>
          <w:color w:val="auto"/>
          <w:sz w:val="24"/>
          <w:highlight w:val="none"/>
        </w:rPr>
      </w:pPr>
    </w:p>
    <w:p w14:paraId="7C6593CE">
      <w:pPr>
        <w:ind w:firstLine="315"/>
        <w:jc w:val="right"/>
        <w:rPr>
          <w:rFonts w:hint="eastAsia" w:ascii="宋体" w:hAnsi="宋体"/>
          <w:color w:val="auto"/>
          <w:sz w:val="24"/>
          <w:highlight w:val="none"/>
        </w:rPr>
      </w:pPr>
      <w:r>
        <w:rPr>
          <w:rFonts w:hint="eastAsia" w:ascii="宋体" w:hAnsi="宋体"/>
          <w:color w:val="auto"/>
          <w:sz w:val="24"/>
          <w:highlight w:val="none"/>
        </w:rPr>
        <w:t>日期：    年   月   日</w:t>
      </w:r>
    </w:p>
    <w:p w14:paraId="72D95903">
      <w:pPr>
        <w:widowControl/>
        <w:jc w:val="left"/>
        <w:rPr>
          <w:color w:val="auto"/>
          <w:highlight w:val="none"/>
        </w:rPr>
      </w:pPr>
      <w:r>
        <w:rPr>
          <w:color w:val="auto"/>
          <w:sz w:val="24"/>
          <w:highlight w:val="none"/>
        </w:rPr>
        <w:br w:type="page"/>
      </w:r>
      <w:r>
        <w:rPr>
          <w:rFonts w:hint="eastAsia" w:eastAsia="黑体" w:cs="宋体"/>
          <w:color w:val="auto"/>
          <w:szCs w:val="20"/>
          <w:highlight w:val="none"/>
        </w:rPr>
        <w:t>格式四</w:t>
      </w:r>
    </w:p>
    <w:p w14:paraId="7B5EF681">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042EF36B">
      <w:pPr>
        <w:spacing w:line="360" w:lineRule="auto"/>
        <w:ind w:left="480"/>
        <w:jc w:val="center"/>
        <w:rPr>
          <w:rFonts w:ascii="宋体" w:hAnsi="宋体"/>
          <w:b/>
          <w:color w:val="auto"/>
          <w:sz w:val="32"/>
          <w:szCs w:val="32"/>
          <w:highlight w:val="none"/>
        </w:rPr>
      </w:pPr>
      <w:r>
        <w:rPr>
          <w:rFonts w:ascii="宋体" w:hAnsi="宋体"/>
          <w:b/>
          <w:color w:val="auto"/>
          <w:sz w:val="32"/>
          <w:szCs w:val="32"/>
          <w:highlight w:val="none"/>
        </w:rPr>
        <w:t>技术</w:t>
      </w:r>
      <w:r>
        <w:rPr>
          <w:rFonts w:hint="eastAsia" w:ascii="宋体" w:hAnsi="宋体"/>
          <w:b/>
          <w:color w:val="auto"/>
          <w:sz w:val="32"/>
          <w:szCs w:val="32"/>
          <w:highlight w:val="none"/>
        </w:rPr>
        <w:t>需求</w:t>
      </w:r>
      <w:r>
        <w:rPr>
          <w:rFonts w:ascii="宋体" w:hAnsi="宋体"/>
          <w:b/>
          <w:color w:val="auto"/>
          <w:sz w:val="32"/>
          <w:szCs w:val="32"/>
          <w:highlight w:val="none"/>
        </w:rPr>
        <w:t>响应表</w:t>
      </w:r>
    </w:p>
    <w:p w14:paraId="5CAC46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在投标时应对于该部分给予充分的考虑。为了招标人评议的需要，投标人应将这些条款的任何偏差逐条提出或根据以下要求的格式提出偏差。未在此附件中写明的任何偏差，均按投标人响应了投标文件相应部分的要求。</w:t>
      </w:r>
    </w:p>
    <w:tbl>
      <w:tblPr>
        <w:tblStyle w:val="3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0"/>
        <w:gridCol w:w="1620"/>
        <w:gridCol w:w="1980"/>
        <w:gridCol w:w="1620"/>
      </w:tblGrid>
      <w:tr w14:paraId="0F6E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double" w:color="auto" w:sz="2" w:space="0"/>
              <w:left w:val="double" w:color="auto" w:sz="2" w:space="0"/>
              <w:bottom w:val="single" w:color="auto" w:sz="4" w:space="0"/>
              <w:right w:val="single" w:color="auto" w:sz="4" w:space="0"/>
            </w:tcBorders>
            <w:noWrap w:val="0"/>
            <w:vAlign w:val="center"/>
          </w:tcPr>
          <w:p w14:paraId="5F83A28F">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章 节 号</w:t>
            </w:r>
          </w:p>
        </w:tc>
        <w:tc>
          <w:tcPr>
            <w:tcW w:w="2160" w:type="dxa"/>
            <w:tcBorders>
              <w:top w:val="double" w:color="auto" w:sz="2" w:space="0"/>
              <w:left w:val="nil"/>
              <w:bottom w:val="single" w:color="auto" w:sz="4" w:space="0"/>
              <w:right w:val="single" w:color="auto" w:sz="4" w:space="0"/>
            </w:tcBorders>
            <w:noWrap w:val="0"/>
            <w:vAlign w:val="center"/>
          </w:tcPr>
          <w:p w14:paraId="4AF28A1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招标文件技术要求</w:t>
            </w:r>
          </w:p>
        </w:tc>
        <w:tc>
          <w:tcPr>
            <w:tcW w:w="1620" w:type="dxa"/>
            <w:tcBorders>
              <w:top w:val="double" w:color="auto" w:sz="2" w:space="0"/>
              <w:left w:val="nil"/>
              <w:bottom w:val="single" w:color="auto" w:sz="4" w:space="0"/>
              <w:right w:val="single" w:color="auto" w:sz="4" w:space="0"/>
            </w:tcBorders>
            <w:noWrap w:val="0"/>
            <w:vAlign w:val="center"/>
          </w:tcPr>
          <w:p w14:paraId="62BD0F5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投标人的偏差</w:t>
            </w:r>
          </w:p>
        </w:tc>
        <w:tc>
          <w:tcPr>
            <w:tcW w:w="1980" w:type="dxa"/>
            <w:tcBorders>
              <w:top w:val="double" w:color="auto" w:sz="2" w:space="0"/>
              <w:left w:val="nil"/>
              <w:bottom w:val="single" w:color="auto" w:sz="4" w:space="0"/>
              <w:right w:val="single" w:color="auto" w:sz="4" w:space="0"/>
            </w:tcBorders>
            <w:noWrap w:val="0"/>
            <w:vAlign w:val="center"/>
          </w:tcPr>
          <w:p w14:paraId="5FD9DAE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投标人偏差的理由</w:t>
            </w:r>
          </w:p>
        </w:tc>
        <w:tc>
          <w:tcPr>
            <w:tcW w:w="1620" w:type="dxa"/>
            <w:tcBorders>
              <w:top w:val="double" w:color="auto" w:sz="2" w:space="0"/>
              <w:left w:val="nil"/>
              <w:bottom w:val="single" w:color="auto" w:sz="4" w:space="0"/>
              <w:right w:val="double" w:color="auto" w:sz="2" w:space="0"/>
            </w:tcBorders>
            <w:noWrap w:val="0"/>
            <w:vAlign w:val="center"/>
          </w:tcPr>
          <w:p w14:paraId="13E066C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备    注</w:t>
            </w:r>
          </w:p>
        </w:tc>
      </w:tr>
      <w:tr w14:paraId="3441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2573C44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67ADBB1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3AE0AB7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00036EF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6E14E70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659D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900AAC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69693F6">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0916676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4D75F4B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17D39B7E">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39AC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55EB3C8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42ED580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2AAF49E3">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15E5D9E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4F63632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0C28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6F39A98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5CF39C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7B67CB2B">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D996B0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7080A0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79BD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330119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1D92428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13722615">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6861E735">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960D8B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261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double" w:color="auto" w:sz="2" w:space="0"/>
              <w:right w:val="single" w:color="auto" w:sz="4" w:space="0"/>
            </w:tcBorders>
            <w:noWrap w:val="0"/>
            <w:vAlign w:val="center"/>
          </w:tcPr>
          <w:p w14:paraId="156EBB5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double" w:color="auto" w:sz="2" w:space="0"/>
              <w:right w:val="single" w:color="auto" w:sz="4" w:space="0"/>
            </w:tcBorders>
            <w:noWrap w:val="0"/>
            <w:vAlign w:val="center"/>
          </w:tcPr>
          <w:p w14:paraId="31DD80B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double" w:color="auto" w:sz="2" w:space="0"/>
              <w:right w:val="single" w:color="auto" w:sz="4" w:space="0"/>
            </w:tcBorders>
            <w:noWrap w:val="0"/>
            <w:vAlign w:val="center"/>
          </w:tcPr>
          <w:p w14:paraId="1D0E791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double" w:color="auto" w:sz="2" w:space="0"/>
              <w:right w:val="single" w:color="auto" w:sz="4" w:space="0"/>
            </w:tcBorders>
            <w:noWrap w:val="0"/>
            <w:vAlign w:val="center"/>
          </w:tcPr>
          <w:p w14:paraId="0C7662D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double" w:color="auto" w:sz="2" w:space="0"/>
              <w:right w:val="double" w:color="auto" w:sz="2" w:space="0"/>
            </w:tcBorders>
            <w:noWrap w:val="0"/>
            <w:vAlign w:val="center"/>
          </w:tcPr>
          <w:p w14:paraId="08B1C96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bl>
    <w:p w14:paraId="06E025E4">
      <w:pPr>
        <w:spacing w:line="360" w:lineRule="auto"/>
        <w:rPr>
          <w:rFonts w:ascii="宋体" w:hAnsi="宋体"/>
          <w:color w:val="auto"/>
          <w:sz w:val="24"/>
          <w:highlight w:val="none"/>
        </w:rPr>
      </w:pPr>
      <w:r>
        <w:rPr>
          <w:rFonts w:hint="eastAsia" w:ascii="宋体" w:hAnsi="宋体"/>
          <w:color w:val="auto"/>
          <w:sz w:val="24"/>
          <w:highlight w:val="none"/>
        </w:rPr>
        <w:t>注：如本页未填写，均视为完全满足采购文件要求，无偏差。</w:t>
      </w:r>
    </w:p>
    <w:p w14:paraId="15544A70">
      <w:pPr>
        <w:spacing w:line="360" w:lineRule="auto"/>
        <w:rPr>
          <w:rFonts w:ascii="宋体" w:hAnsi="宋体"/>
          <w:color w:val="auto"/>
          <w:sz w:val="24"/>
          <w:highlight w:val="none"/>
        </w:rPr>
      </w:pPr>
      <w:r>
        <w:rPr>
          <w:rFonts w:hint="eastAsia" w:ascii="宋体" w:hAnsi="宋体"/>
          <w:color w:val="auto"/>
          <w:sz w:val="24"/>
          <w:highlight w:val="none"/>
        </w:rPr>
        <w:t xml:space="preserve"> </w:t>
      </w:r>
    </w:p>
    <w:p w14:paraId="5FC06036">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02041D54">
      <w:pPr>
        <w:ind w:firstLine="315"/>
        <w:rPr>
          <w:rFonts w:hint="eastAsia" w:ascii="宋体" w:hAnsi="宋体"/>
          <w:color w:val="auto"/>
          <w:sz w:val="24"/>
          <w:highlight w:val="none"/>
        </w:rPr>
      </w:pPr>
    </w:p>
    <w:p w14:paraId="02835E9C">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2B8C7814">
      <w:pPr>
        <w:ind w:firstLine="315"/>
        <w:rPr>
          <w:rFonts w:hint="eastAsia" w:ascii="宋体" w:hAnsi="宋体"/>
          <w:color w:val="auto"/>
          <w:sz w:val="24"/>
          <w:highlight w:val="none"/>
        </w:rPr>
      </w:pPr>
    </w:p>
    <w:p w14:paraId="2E8A27FF">
      <w:pPr>
        <w:ind w:firstLine="315"/>
        <w:rPr>
          <w:rFonts w:eastAsia="黑体" w:cs="宋体"/>
          <w:color w:val="auto"/>
          <w:szCs w:val="20"/>
          <w:highlight w:val="none"/>
        </w:rPr>
        <w:sectPr>
          <w:pgSz w:w="11907" w:h="16840"/>
          <w:pgMar w:top="1417" w:right="1418" w:bottom="1417" w:left="1531" w:header="851" w:footer="992" w:gutter="0"/>
          <w:cols w:space="720" w:num="1"/>
          <w:docGrid w:type="lines" w:linePitch="312" w:charSpace="0"/>
        </w:sectPr>
      </w:pPr>
      <w:r>
        <w:rPr>
          <w:rFonts w:hint="eastAsia" w:ascii="宋体" w:hAnsi="宋体"/>
          <w:color w:val="auto"/>
          <w:sz w:val="24"/>
          <w:highlight w:val="none"/>
        </w:rPr>
        <w:t>日期：    年   月   日</w:t>
      </w:r>
    </w:p>
    <w:p w14:paraId="4829F671">
      <w:pPr>
        <w:pStyle w:val="86"/>
        <w:rPr>
          <w:rFonts w:hint="eastAsia"/>
          <w:color w:val="auto"/>
          <w:highlight w:val="none"/>
          <w:u w:val="single"/>
        </w:rPr>
      </w:pPr>
      <w:bookmarkStart w:id="37" w:name="_Toc15662"/>
      <w:r>
        <w:rPr>
          <w:rFonts w:hint="eastAsia"/>
          <w:color w:val="auto"/>
          <w:highlight w:val="none"/>
        </w:rPr>
        <w:t>格式</w:t>
      </w:r>
      <w:bookmarkEnd w:id="37"/>
      <w:r>
        <w:rPr>
          <w:rFonts w:hint="eastAsia"/>
          <w:color w:val="auto"/>
          <w:highlight w:val="none"/>
        </w:rPr>
        <w:t>五</w:t>
      </w:r>
    </w:p>
    <w:p w14:paraId="65378818">
      <w:pPr>
        <w:spacing w:line="360" w:lineRule="auto"/>
        <w:ind w:firstLine="480"/>
        <w:jc w:val="center"/>
        <w:rPr>
          <w:rFonts w:ascii="宋体" w:hAnsi="宋体"/>
          <w:bCs/>
          <w:color w:val="auto"/>
          <w:highlight w:val="none"/>
          <w:u w:val="single"/>
        </w:rPr>
      </w:pP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708DF265">
      <w:pPr>
        <w:jc w:val="center"/>
        <w:rPr>
          <w:rFonts w:ascii="宋体" w:hAnsi="宋体"/>
          <w:color w:val="auto"/>
          <w:sz w:val="50"/>
          <w:szCs w:val="96"/>
          <w:highlight w:val="none"/>
        </w:rPr>
      </w:pPr>
      <w:r>
        <w:rPr>
          <w:rFonts w:hint="eastAsia" w:ascii="宋体" w:hAnsi="宋体"/>
          <w:color w:val="auto"/>
          <w:sz w:val="50"/>
          <w:szCs w:val="96"/>
          <w:highlight w:val="none"/>
        </w:rPr>
        <w:t>投标函</w:t>
      </w:r>
    </w:p>
    <w:p w14:paraId="37801EC1">
      <w:pPr>
        <w:pStyle w:val="21"/>
        <w:spacing w:line="360" w:lineRule="auto"/>
        <w:ind w:leftChars="0"/>
        <w:rPr>
          <w:rFonts w:ascii="宋体" w:hAnsi="宋体"/>
          <w:snapToGrid w:val="0"/>
          <w:color w:val="auto"/>
          <w:w w:val="107"/>
          <w:kern w:val="0"/>
          <w:szCs w:val="28"/>
          <w:highlight w:val="none"/>
          <w:u w:val="single"/>
        </w:rPr>
      </w:pPr>
      <w:r>
        <w:rPr>
          <w:rFonts w:ascii="宋体" w:hAnsi="宋体"/>
          <w:snapToGrid w:val="0"/>
          <w:color w:val="auto"/>
          <w:w w:val="107"/>
          <w:kern w:val="0"/>
          <w:szCs w:val="28"/>
          <w:highlight w:val="none"/>
          <w:u w:val="single"/>
        </w:rPr>
        <w:t xml:space="preserve">                              </w:t>
      </w:r>
      <w:r>
        <w:rPr>
          <w:rFonts w:hint="eastAsia" w:ascii="宋体" w:hAnsi="宋体" w:eastAsia="宋体" w:cs="宋体"/>
          <w:snapToGrid w:val="0"/>
          <w:color w:val="auto"/>
          <w:w w:val="107"/>
          <w:kern w:val="0"/>
          <w:sz w:val="28"/>
          <w:szCs w:val="28"/>
          <w:highlight w:val="none"/>
          <w:u w:val="single"/>
        </w:rPr>
        <w:t>（招标人）</w:t>
      </w:r>
      <w:r>
        <w:rPr>
          <w:rFonts w:hint="eastAsia" w:ascii="宋体" w:hAnsi="宋体" w:eastAsia="宋体" w:cs="宋体"/>
          <w:snapToGrid w:val="0"/>
          <w:color w:val="auto"/>
          <w:w w:val="107"/>
          <w:kern w:val="0"/>
          <w:sz w:val="28"/>
          <w:szCs w:val="28"/>
          <w:highlight w:val="none"/>
        </w:rPr>
        <w:t>：</w:t>
      </w:r>
    </w:p>
    <w:p w14:paraId="2CC5E280">
      <w:pPr>
        <w:kinsoku w:val="0"/>
        <w:wordWrap w:val="0"/>
        <w:spacing w:line="360" w:lineRule="auto"/>
        <w:ind w:firstLine="560" w:firstLineChars="200"/>
        <w:jc w:val="left"/>
        <w:rPr>
          <w:rFonts w:ascii="宋体" w:hAnsi="宋体"/>
          <w:bCs/>
          <w:color w:val="auto"/>
          <w:highlight w:val="none"/>
          <w:u w:val="single"/>
        </w:rPr>
      </w:pPr>
      <w:r>
        <w:rPr>
          <w:rFonts w:hint="eastAsia" w:ascii="宋体" w:hAnsi="宋体"/>
          <w:snapToGrid w:val="0"/>
          <w:color w:val="auto"/>
          <w:kern w:val="0"/>
          <w:highlight w:val="none"/>
        </w:rPr>
        <w:t xml:space="preserve">一、根据已收到的本项目（工程项目名称）招标编号为 </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号的</w:t>
      </w:r>
      <w:r>
        <w:rPr>
          <w:rFonts w:ascii="宋体" w:hAnsi="宋体"/>
          <w:snapToGrid w:val="0"/>
          <w:color w:val="auto"/>
          <w:w w:val="107"/>
          <w:kern w:val="0"/>
          <w:szCs w:val="28"/>
          <w:highlight w:val="none"/>
          <w:u w:val="single"/>
        </w:rPr>
        <w:t xml:space="preserve">          </w:t>
      </w:r>
      <w:r>
        <w:rPr>
          <w:rFonts w:hint="eastAsia" w:ascii="宋体" w:hAnsi="宋体"/>
          <w:color w:val="auto"/>
          <w:highlight w:val="none"/>
        </w:rPr>
        <w:t>招</w:t>
      </w:r>
      <w:r>
        <w:rPr>
          <w:rFonts w:hint="eastAsia" w:ascii="宋体" w:hAnsi="宋体"/>
          <w:snapToGrid w:val="0"/>
          <w:color w:val="auto"/>
          <w:kern w:val="0"/>
          <w:highlight w:val="none"/>
        </w:rPr>
        <w:t>标文件，我单位经考察现场和研究上述项目的招标文件后，我方愿以总报价</w:t>
      </w:r>
      <w:r>
        <w:rPr>
          <w:rFonts w:ascii="宋体" w:hAnsi="宋体"/>
          <w:snapToGrid w:val="0"/>
          <w:color w:val="auto"/>
          <w:w w:val="107"/>
          <w:kern w:val="0"/>
          <w:szCs w:val="28"/>
          <w:highlight w:val="none"/>
          <w:u w:val="single"/>
        </w:rPr>
        <w:t xml:space="preserve">   </w:t>
      </w:r>
      <w:r>
        <w:rPr>
          <w:rFonts w:hint="eastAsia" w:ascii="宋体" w:hAnsi="宋体"/>
          <w:snapToGrid w:val="0"/>
          <w:color w:val="auto"/>
          <w:w w:val="107"/>
          <w:kern w:val="0"/>
          <w:szCs w:val="28"/>
          <w:highlight w:val="none"/>
          <w:u w:val="single"/>
        </w:rPr>
        <w:t xml:space="preserve">  </w:t>
      </w:r>
      <w:r>
        <w:rPr>
          <w:rFonts w:ascii="宋体" w:hAnsi="宋体"/>
          <w:snapToGrid w:val="0"/>
          <w:color w:val="auto"/>
          <w:w w:val="107"/>
          <w:kern w:val="0"/>
          <w:szCs w:val="28"/>
          <w:highlight w:val="none"/>
          <w:u w:val="single"/>
        </w:rPr>
        <w:t xml:space="preserve">  </w:t>
      </w:r>
      <w:r>
        <w:rPr>
          <w:rFonts w:hint="eastAsia" w:ascii="宋体" w:hAnsi="宋体"/>
          <w:color w:val="auto"/>
          <w:highlight w:val="none"/>
        </w:rPr>
        <w:t>元</w:t>
      </w:r>
      <w:r>
        <w:rPr>
          <w:rFonts w:hint="eastAsia" w:ascii="宋体" w:hAnsi="宋体"/>
          <w:snapToGrid w:val="0"/>
          <w:color w:val="auto"/>
          <w:kern w:val="0"/>
          <w:highlight w:val="none"/>
        </w:rPr>
        <w:t>（保留整数）</w:t>
      </w:r>
      <w:r>
        <w:rPr>
          <w:rFonts w:hint="eastAsia" w:ascii="宋体" w:hAnsi="宋体"/>
          <w:color w:val="auto"/>
          <w:highlight w:val="none"/>
        </w:rPr>
        <w:t>，</w:t>
      </w:r>
      <w:r>
        <w:rPr>
          <w:rFonts w:hint="eastAsia" w:ascii="宋体" w:hAnsi="宋体"/>
          <w:snapToGrid w:val="0"/>
          <w:color w:val="auto"/>
          <w:w w:val="107"/>
          <w:kern w:val="0"/>
          <w:highlight w:val="none"/>
        </w:rPr>
        <w:t>大写金额人民币：</w:t>
      </w:r>
      <w:r>
        <w:rPr>
          <w:rFonts w:ascii="宋体" w:hAnsi="宋体"/>
          <w:snapToGrid w:val="0"/>
          <w:color w:val="auto"/>
          <w:w w:val="107"/>
          <w:kern w:val="0"/>
          <w:szCs w:val="28"/>
          <w:highlight w:val="none"/>
          <w:u w:val="single"/>
        </w:rPr>
        <w:t xml:space="preserve">   </w:t>
      </w:r>
      <w:r>
        <w:rPr>
          <w:rFonts w:hint="eastAsia" w:ascii="宋体" w:hAnsi="宋体"/>
          <w:snapToGrid w:val="0"/>
          <w:color w:val="auto"/>
          <w:w w:val="107"/>
          <w:kern w:val="0"/>
          <w:highlight w:val="none"/>
        </w:rPr>
        <w:t>拾</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万</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仟</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佰</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拾</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元，工期符合招标文件要求，</w:t>
      </w:r>
      <w:r>
        <w:rPr>
          <w:rFonts w:hint="eastAsia" w:ascii="宋体" w:hAnsi="宋体"/>
          <w:snapToGrid w:val="0"/>
          <w:color w:val="auto"/>
          <w:kern w:val="24"/>
          <w:highlight w:val="none"/>
        </w:rPr>
        <w:t>承接上述</w:t>
      </w:r>
      <w:r>
        <w:rPr>
          <w:rFonts w:hint="eastAsia" w:ascii="宋体" w:hAnsi="宋体"/>
          <w:snapToGrid w:val="0"/>
          <w:color w:val="auto"/>
          <w:kern w:val="0"/>
          <w:highlight w:val="none"/>
        </w:rPr>
        <w:t>项目</w:t>
      </w:r>
      <w:r>
        <w:rPr>
          <w:rFonts w:hint="eastAsia" w:ascii="宋体" w:hAnsi="宋体"/>
          <w:snapToGrid w:val="0"/>
          <w:color w:val="auto"/>
          <w:kern w:val="24"/>
          <w:highlight w:val="none"/>
        </w:rPr>
        <w:t>并按招标文件约定完成整个项目。</w:t>
      </w:r>
    </w:p>
    <w:p w14:paraId="68CEAB4A">
      <w:pPr>
        <w:spacing w:line="360" w:lineRule="auto"/>
        <w:ind w:firstLine="532"/>
        <w:rPr>
          <w:rFonts w:ascii="宋体" w:hAnsi="宋体"/>
          <w:snapToGrid w:val="0"/>
          <w:color w:val="auto"/>
          <w:kern w:val="0"/>
          <w:highlight w:val="none"/>
        </w:rPr>
      </w:pPr>
      <w:r>
        <w:rPr>
          <w:rFonts w:hint="eastAsia" w:ascii="宋体" w:hAnsi="宋体"/>
          <w:snapToGrid w:val="0"/>
          <w:color w:val="auto"/>
          <w:kern w:val="0"/>
          <w:highlight w:val="none"/>
        </w:rPr>
        <w:t>二、一旦我方中标，</w:t>
      </w:r>
      <w:r>
        <w:rPr>
          <w:rFonts w:hint="eastAsia" w:ascii="宋体" w:hAnsi="宋体"/>
          <w:color w:val="auto"/>
          <w:highlight w:val="none"/>
        </w:rPr>
        <w:t>我方</w:t>
      </w:r>
      <w:r>
        <w:rPr>
          <w:rFonts w:hint="eastAsia" w:ascii="宋体" w:hAnsi="宋体"/>
          <w:snapToGrid w:val="0"/>
          <w:color w:val="auto"/>
          <w:kern w:val="0"/>
          <w:highlight w:val="none"/>
        </w:rPr>
        <w:t>在全部同意招标文件内容前提下，并保证按</w:t>
      </w:r>
      <w:r>
        <w:rPr>
          <w:rFonts w:hint="eastAsia" w:ascii="宋体" w:hAnsi="宋体"/>
          <w:snapToGrid w:val="0"/>
          <w:color w:val="auto"/>
          <w:kern w:val="0"/>
          <w:highlight w:val="none"/>
          <w:lang w:val="en-GB"/>
        </w:rPr>
        <w:t>投标文件的部署</w:t>
      </w:r>
      <w:r>
        <w:rPr>
          <w:rFonts w:hint="eastAsia" w:ascii="宋体" w:hAnsi="宋体"/>
          <w:snapToGrid w:val="0"/>
          <w:color w:val="auto"/>
          <w:kern w:val="0"/>
          <w:highlight w:val="none"/>
        </w:rPr>
        <w:t>及时完成全部工程或服务内容，同时保证本投标文件的所有资料真实有效，如有虚假成份，愿承担一切后果。</w:t>
      </w:r>
    </w:p>
    <w:p w14:paraId="3556C961">
      <w:pPr>
        <w:spacing w:line="360" w:lineRule="auto"/>
        <w:ind w:firstLine="480"/>
        <w:rPr>
          <w:rFonts w:ascii="宋体" w:hAnsi="宋体"/>
          <w:snapToGrid w:val="0"/>
          <w:color w:val="auto"/>
          <w:kern w:val="0"/>
          <w:highlight w:val="none"/>
        </w:rPr>
      </w:pPr>
      <w:r>
        <w:rPr>
          <w:rFonts w:hint="eastAsia" w:ascii="宋体" w:hAnsi="宋体"/>
          <w:snapToGrid w:val="0"/>
          <w:color w:val="auto"/>
          <w:kern w:val="0"/>
          <w:highlight w:val="none"/>
        </w:rPr>
        <w:t>三、除非另外达成协议并生效，你方的中标通知书和本投标文件将构成约束我们双方的合同。</w:t>
      </w:r>
    </w:p>
    <w:p w14:paraId="72B2951B">
      <w:pPr>
        <w:rPr>
          <w:rFonts w:hint="eastAsia" w:ascii="宋体" w:hAnsi="宋体"/>
          <w:color w:val="auto"/>
          <w:highlight w:val="none"/>
        </w:rPr>
      </w:pPr>
    </w:p>
    <w:p w14:paraId="74454D50">
      <w:pPr>
        <w:rPr>
          <w:rFonts w:ascii="宋体" w:hAnsi="宋体"/>
          <w:color w:val="auto"/>
          <w:highlight w:val="none"/>
        </w:rPr>
      </w:pPr>
      <w:r>
        <w:rPr>
          <w:rFonts w:hint="eastAsia" w:ascii="宋体" w:hAnsi="宋体"/>
          <w:color w:val="auto"/>
          <w:highlight w:val="none"/>
        </w:rPr>
        <w:t>法定代表人（签字或盖章）：</w:t>
      </w:r>
    </w:p>
    <w:p w14:paraId="61B0BFA6">
      <w:pPr>
        <w:rPr>
          <w:rFonts w:ascii="宋体" w:hAnsi="宋体"/>
          <w:color w:val="auto"/>
          <w:highlight w:val="none"/>
        </w:rPr>
      </w:pPr>
      <w:r>
        <w:rPr>
          <w:rFonts w:hint="eastAsia" w:ascii="宋体" w:hAnsi="宋体"/>
          <w:color w:val="auto"/>
          <w:highlight w:val="none"/>
        </w:rPr>
        <w:t>投标人（盖章）：</w:t>
      </w:r>
    </w:p>
    <w:p w14:paraId="77560EAF">
      <w:pPr>
        <w:jc w:val="right"/>
        <w:rPr>
          <w:rFonts w:hint="eastAsia" w:ascii="宋体" w:hAnsi="宋体"/>
          <w:color w:val="auto"/>
          <w:highlight w:val="none"/>
        </w:rPr>
      </w:pPr>
      <w:r>
        <w:rPr>
          <w:rFonts w:hint="eastAsia" w:ascii="宋体" w:hAnsi="宋体"/>
          <w:color w:val="auto"/>
          <w:highlight w:val="none"/>
        </w:rPr>
        <w:t>年     月    日</w:t>
      </w:r>
    </w:p>
    <w:p w14:paraId="01746084">
      <w:pPr>
        <w:pStyle w:val="19"/>
        <w:numPr>
          <w:ilvl w:val="0"/>
          <w:numId w:val="0"/>
        </w:numPr>
        <w:tabs>
          <w:tab w:val="clear" w:pos="780"/>
        </w:tabs>
        <w:ind w:left="420" w:firstLine="0"/>
        <w:rPr>
          <w:color w:val="auto"/>
          <w:highlight w:val="none"/>
        </w:rPr>
      </w:pPr>
    </w:p>
    <w:p w14:paraId="3CC7FCEC">
      <w:pPr>
        <w:pStyle w:val="10"/>
        <w:numPr>
          <w:ilvl w:val="0"/>
          <w:numId w:val="0"/>
        </w:numPr>
        <w:tabs>
          <w:tab w:val="clear" w:pos="360"/>
        </w:tabs>
        <w:ind w:left="0" w:firstLine="0"/>
        <w:rPr>
          <w:color w:val="auto"/>
          <w:highlight w:val="none"/>
        </w:rPr>
      </w:pPr>
    </w:p>
    <w:p w14:paraId="72C53C8D">
      <w:pPr>
        <w:rPr>
          <w:rFonts w:hint="eastAsia" w:ascii="宋体" w:hAnsi="宋体"/>
          <w:color w:val="auto"/>
          <w:highlight w:val="none"/>
        </w:rPr>
      </w:pPr>
    </w:p>
    <w:p w14:paraId="754142C5">
      <w:pPr>
        <w:pStyle w:val="19"/>
        <w:numPr>
          <w:ilvl w:val="0"/>
          <w:numId w:val="0"/>
        </w:numPr>
        <w:tabs>
          <w:tab w:val="clear" w:pos="780"/>
        </w:tabs>
        <w:ind w:left="420" w:firstLine="0"/>
        <w:rPr>
          <w:color w:val="auto"/>
          <w:highlight w:val="none"/>
        </w:rPr>
      </w:pPr>
    </w:p>
    <w:p w14:paraId="4B89C705">
      <w:pPr>
        <w:pStyle w:val="34"/>
        <w:spacing w:before="0"/>
        <w:jc w:val="both"/>
        <w:rPr>
          <w:b w:val="0"/>
          <w:color w:val="auto"/>
          <w:sz w:val="28"/>
          <w:szCs w:val="28"/>
          <w:highlight w:val="none"/>
        </w:rPr>
      </w:pPr>
      <w:r>
        <w:rPr>
          <w:rFonts w:hint="eastAsia" w:eastAsia="宋体"/>
          <w:b w:val="0"/>
          <w:bCs/>
          <w:color w:val="auto"/>
          <w:sz w:val="28"/>
          <w:szCs w:val="28"/>
          <w:highlight w:val="none"/>
          <w:lang w:val="en-US" w:eastAsia="zh-CN"/>
        </w:rPr>
        <w:t>格式六</w:t>
      </w:r>
      <w:r>
        <w:rPr>
          <w:rFonts w:hint="eastAsia"/>
          <w:b w:val="0"/>
          <w:bCs/>
          <w:color w:val="auto"/>
          <w:sz w:val="28"/>
          <w:szCs w:val="28"/>
          <w:highlight w:val="none"/>
        </w:rPr>
        <w:t>：</w:t>
      </w:r>
    </w:p>
    <w:p w14:paraId="572CF913">
      <w:pPr>
        <w:widowControl/>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52DDABAD">
      <w:pPr>
        <w:adjustRightInd w:val="0"/>
        <w:snapToGrid w:val="0"/>
        <w:spacing w:before="120" w:beforeLines="50" w:line="360" w:lineRule="auto"/>
        <w:jc w:val="center"/>
        <w:rPr>
          <w:rFonts w:hint="eastAsia"/>
          <w:color w:val="auto"/>
          <w:sz w:val="28"/>
          <w:highlight w:val="none"/>
        </w:rPr>
      </w:pPr>
      <w:r>
        <w:rPr>
          <w:rFonts w:hint="eastAsia"/>
          <w:color w:val="auto"/>
          <w:sz w:val="28"/>
          <w:highlight w:val="none"/>
        </w:rPr>
        <w:t>（参考样张）</w:t>
      </w:r>
    </w:p>
    <w:p w14:paraId="74324C05">
      <w:pPr>
        <w:widowControl/>
        <w:spacing w:line="360" w:lineRule="auto"/>
        <w:jc w:val="center"/>
        <w:rPr>
          <w:rFonts w:hint="eastAsia" w:ascii="方正小标宋简体" w:hAnsi="方正小标宋简体"/>
          <w:color w:val="auto"/>
          <w:sz w:val="44"/>
          <w:szCs w:val="44"/>
          <w:highlight w:val="none"/>
        </w:rPr>
      </w:pPr>
    </w:p>
    <w:p w14:paraId="53D3B67C">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投标人名称：</w:t>
      </w:r>
      <w:r>
        <w:rPr>
          <w:rFonts w:hint="eastAsia" w:ascii="宋体" w:hAnsi="宋体"/>
          <w:color w:val="auto"/>
          <w:kern w:val="0"/>
          <w:sz w:val="28"/>
          <w:szCs w:val="28"/>
          <w:highlight w:val="none"/>
          <w:u w:val="single"/>
        </w:rPr>
        <w:t xml:space="preserve">                              </w:t>
      </w:r>
    </w:p>
    <w:p w14:paraId="3928BA92">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单位性质：</w:t>
      </w:r>
      <w:r>
        <w:rPr>
          <w:rFonts w:hint="eastAsia" w:ascii="宋体" w:hAnsi="宋体"/>
          <w:color w:val="auto"/>
          <w:kern w:val="0"/>
          <w:sz w:val="28"/>
          <w:szCs w:val="28"/>
          <w:highlight w:val="none"/>
          <w:u w:val="single"/>
        </w:rPr>
        <w:t xml:space="preserve">                                </w:t>
      </w:r>
    </w:p>
    <w:p w14:paraId="09313B7C">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地址：</w:t>
      </w:r>
      <w:r>
        <w:rPr>
          <w:rFonts w:hint="eastAsia" w:ascii="宋体" w:hAnsi="宋体"/>
          <w:color w:val="auto"/>
          <w:kern w:val="0"/>
          <w:sz w:val="28"/>
          <w:szCs w:val="28"/>
          <w:highlight w:val="none"/>
          <w:u w:val="single"/>
        </w:rPr>
        <w:t xml:space="preserve">                                  </w:t>
      </w:r>
    </w:p>
    <w:p w14:paraId="1B8C185B">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成立时间：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p>
    <w:p w14:paraId="416DE627">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经营期限：</w:t>
      </w:r>
      <w:r>
        <w:rPr>
          <w:rFonts w:hint="eastAsia" w:ascii="宋体" w:hAnsi="宋体"/>
          <w:color w:val="auto"/>
          <w:kern w:val="0"/>
          <w:sz w:val="28"/>
          <w:szCs w:val="28"/>
          <w:highlight w:val="none"/>
          <w:u w:val="single"/>
        </w:rPr>
        <w:t xml:space="preserve">                                </w:t>
      </w:r>
    </w:p>
    <w:p w14:paraId="3FC91A84">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姓名：</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性别：</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年龄：</w:t>
      </w:r>
      <w:r>
        <w:rPr>
          <w:rFonts w:hint="eastAsia" w:ascii="宋体" w:hAnsi="宋体"/>
          <w:color w:val="auto"/>
          <w:kern w:val="0"/>
          <w:sz w:val="28"/>
          <w:szCs w:val="28"/>
          <w:highlight w:val="none"/>
          <w:u w:val="single"/>
        </w:rPr>
        <w:t xml:space="preserve">       </w:t>
      </w:r>
    </w:p>
    <w:p w14:paraId="43E9D9AD">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身份证号码：</w:t>
      </w:r>
      <w:r>
        <w:rPr>
          <w:rFonts w:hint="eastAsia" w:ascii="宋体" w:hAnsi="宋体"/>
          <w:color w:val="auto"/>
          <w:kern w:val="0"/>
          <w:sz w:val="28"/>
          <w:szCs w:val="28"/>
          <w:highlight w:val="none"/>
          <w:u w:val="single"/>
        </w:rPr>
        <w:t xml:space="preserve">                              </w:t>
      </w:r>
    </w:p>
    <w:p w14:paraId="0B1C8233">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联系电话：</w:t>
      </w:r>
      <w:r>
        <w:rPr>
          <w:rFonts w:hint="eastAsia" w:ascii="宋体" w:hAnsi="宋体"/>
          <w:color w:val="auto"/>
          <w:kern w:val="0"/>
          <w:sz w:val="28"/>
          <w:szCs w:val="28"/>
          <w:highlight w:val="none"/>
          <w:u w:val="single"/>
        </w:rPr>
        <w:t xml:space="preserve">                                </w:t>
      </w:r>
    </w:p>
    <w:p w14:paraId="2E0C52D5">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职务：</w:t>
      </w:r>
      <w:r>
        <w:rPr>
          <w:rFonts w:hint="eastAsia" w:ascii="宋体" w:hAnsi="宋体"/>
          <w:color w:val="auto"/>
          <w:kern w:val="0"/>
          <w:sz w:val="28"/>
          <w:szCs w:val="28"/>
          <w:highlight w:val="none"/>
          <w:u w:val="single"/>
        </w:rPr>
        <w:t xml:space="preserve">                </w:t>
      </w:r>
    </w:p>
    <w:p w14:paraId="6A41A319">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p>
    <w:p w14:paraId="12E1973D">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系</w:t>
      </w:r>
      <w:r>
        <w:rPr>
          <w:rFonts w:hint="eastAsia" w:ascii="宋体" w:hAnsi="宋体"/>
          <w:color w:val="auto"/>
          <w:kern w:val="0"/>
          <w:sz w:val="28"/>
          <w:szCs w:val="28"/>
          <w:highlight w:val="none"/>
          <w:u w:val="single"/>
        </w:rPr>
        <w:t xml:space="preserve">       （投标人名称）</w:t>
      </w:r>
      <w:r>
        <w:rPr>
          <w:rFonts w:hint="eastAsia" w:ascii="宋体" w:hAnsi="宋体"/>
          <w:color w:val="auto"/>
          <w:kern w:val="0"/>
          <w:sz w:val="28"/>
          <w:szCs w:val="28"/>
          <w:highlight w:val="none"/>
        </w:rPr>
        <w:t>的法定代表人。</w:t>
      </w:r>
    </w:p>
    <w:p w14:paraId="6D35A322">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p>
    <w:p w14:paraId="15535634">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特此证明。</w:t>
      </w:r>
    </w:p>
    <w:p w14:paraId="1D672B40">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p>
    <w:p w14:paraId="0246AD49">
      <w:pPr>
        <w:autoSpaceDE w:val="0"/>
        <w:autoSpaceDN w:val="0"/>
        <w:adjustRightInd w:val="0"/>
        <w:snapToGrid w:val="0"/>
        <w:spacing w:line="360" w:lineRule="auto"/>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投标人：（盖单位公章）</w:t>
      </w:r>
    </w:p>
    <w:p w14:paraId="7802E22A">
      <w:pPr>
        <w:jc w:val="right"/>
        <w:rPr>
          <w:rFonts w:hint="eastAsia" w:ascii="宋体" w:hAnsi="宋体" w:cs="宋体"/>
          <w:color w:val="auto"/>
          <w:kern w:val="0"/>
          <w:sz w:val="28"/>
          <w:szCs w:val="28"/>
          <w:highlight w:val="none"/>
          <w:u w:val="single"/>
        </w:rPr>
      </w:pPr>
    </w:p>
    <w:p w14:paraId="492C8643">
      <w:pPr>
        <w:jc w:val="right"/>
        <w:rPr>
          <w:rFonts w:hint="eastAsia" w:ascii="宋体" w:hAnsi="宋体" w:cs="宋体"/>
          <w:color w:val="auto"/>
          <w:kern w:val="0"/>
          <w:sz w:val="28"/>
          <w:szCs w:val="28"/>
          <w:highlight w:val="none"/>
        </w:rPr>
        <w:sectPr>
          <w:pgSz w:w="11907" w:h="16840"/>
          <w:pgMar w:top="1417" w:right="1418" w:bottom="1417" w:left="1531" w:header="851" w:footer="992" w:gutter="0"/>
          <w:cols w:space="720" w:num="1"/>
          <w:docGrid w:type="lines" w:linePitch="312" w:charSpace="0"/>
        </w:sect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61C3D9C3">
      <w:pPr>
        <w:spacing w:line="500" w:lineRule="exact"/>
        <w:jc w:val="center"/>
        <w:outlineLvl w:val="1"/>
        <w:rPr>
          <w:b/>
          <w:color w:val="auto"/>
          <w:sz w:val="32"/>
          <w:szCs w:val="32"/>
          <w:highlight w:val="none"/>
        </w:rPr>
      </w:pPr>
      <w:r>
        <w:rPr>
          <w:rFonts w:hint="eastAsia" w:ascii="宋体"/>
          <w:b/>
          <w:color w:val="auto"/>
          <w:sz w:val="32"/>
          <w:szCs w:val="32"/>
          <w:highlight w:val="none"/>
        </w:rPr>
        <w:t>法定代表人授权书</w:t>
      </w:r>
    </w:p>
    <w:p w14:paraId="2102FB9F">
      <w:pPr>
        <w:spacing w:line="360" w:lineRule="auto"/>
        <w:rPr>
          <w:color w:val="auto"/>
          <w:sz w:val="24"/>
          <w:highlight w:val="none"/>
        </w:rPr>
      </w:pPr>
    </w:p>
    <w:p w14:paraId="4ECF29D2">
      <w:pPr>
        <w:pStyle w:val="13"/>
        <w:rPr>
          <w:color w:val="auto"/>
          <w:highlight w:val="none"/>
        </w:rPr>
      </w:pPr>
    </w:p>
    <w:p w14:paraId="00E72ECF">
      <w:pPr>
        <w:spacing w:line="360" w:lineRule="auto"/>
        <w:rPr>
          <w:rFonts w:ascii="宋体"/>
          <w:color w:val="auto"/>
          <w:sz w:val="24"/>
          <w:highlight w:val="none"/>
        </w:rPr>
      </w:pPr>
      <w:r>
        <w:rPr>
          <w:rFonts w:hint="eastAsia"/>
          <w:color w:val="auto"/>
          <w:sz w:val="24"/>
          <w:highlight w:val="none"/>
          <w:u w:val="single"/>
        </w:rPr>
        <w:t xml:space="preserve"> </w:t>
      </w:r>
      <w:r>
        <w:rPr>
          <w:rFonts w:hint="eastAsia"/>
          <w:color w:val="auto"/>
          <w:sz w:val="24"/>
          <w:highlight w:val="none"/>
          <w:u w:val="single"/>
          <w:lang w:eastAsia="zh-CN"/>
        </w:rPr>
        <w:t>浙江台州湾文化旅游发展有限公司</w:t>
      </w:r>
      <w:r>
        <w:rPr>
          <w:rFonts w:hint="eastAsia"/>
          <w:color w:val="auto"/>
          <w:sz w:val="24"/>
          <w:highlight w:val="none"/>
          <w:u w:val="single"/>
        </w:rPr>
        <w:t xml:space="preserve">  </w:t>
      </w:r>
      <w:r>
        <w:rPr>
          <w:rFonts w:hint="eastAsia" w:ascii="宋体"/>
          <w:color w:val="auto"/>
          <w:sz w:val="24"/>
          <w:highlight w:val="none"/>
        </w:rPr>
        <w:t>：（采购单位）</w:t>
      </w:r>
    </w:p>
    <w:p w14:paraId="19D54336">
      <w:pPr>
        <w:spacing w:line="360" w:lineRule="auto"/>
        <w:ind w:firstLine="480" w:firstLineChars="200"/>
        <w:rPr>
          <w:rFonts w:ascii="宋体" w:hAnsi="宋体"/>
          <w:color w:val="auto"/>
          <w:sz w:val="24"/>
          <w:highlight w:val="none"/>
        </w:rPr>
      </w:pPr>
      <w:r>
        <w:rPr>
          <w:rFonts w:hint="eastAsia"/>
          <w:color w:val="auto"/>
          <w:sz w:val="24"/>
          <w:highlight w:val="none"/>
        </w:rPr>
        <w:t>本人</w:t>
      </w:r>
      <w:r>
        <w:rPr>
          <w:rFonts w:hint="eastAsia" w:ascii="宋体"/>
          <w:color w:val="auto"/>
          <w:sz w:val="24"/>
          <w:highlight w:val="none"/>
          <w:u w:val="single"/>
        </w:rPr>
        <w:t xml:space="preserve">        </w:t>
      </w:r>
      <w:r>
        <w:rPr>
          <w:rFonts w:hint="eastAsia" w:ascii="宋体"/>
          <w:color w:val="auto"/>
          <w:sz w:val="24"/>
          <w:highlight w:val="none"/>
        </w:rPr>
        <w:t>（姓名）</w:t>
      </w:r>
      <w:r>
        <w:rPr>
          <w:rFonts w:hint="eastAsia"/>
          <w:color w:val="auto"/>
          <w:sz w:val="24"/>
          <w:highlight w:val="none"/>
        </w:rPr>
        <w:t>系</w:t>
      </w:r>
      <w:r>
        <w:rPr>
          <w:color w:val="auto"/>
          <w:sz w:val="24"/>
          <w:highlight w:val="non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（投标人全称）法定代表人，现授权委托</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 投标人代表名称）为全权代表，参加贵处组织的</w:t>
      </w:r>
      <w:r>
        <w:rPr>
          <w:color w:val="auto"/>
          <w:sz w:val="24"/>
          <w:highlight w:val="none"/>
          <w:u w:val="single"/>
        </w:rPr>
        <w:t xml:space="preserve"> </w:t>
      </w:r>
      <w:r>
        <w:rPr>
          <w:rFonts w:hint="eastAsia"/>
          <w:color w:val="auto"/>
          <w:sz w:val="24"/>
          <w:highlight w:val="none"/>
          <w:u w:val="single"/>
          <w:lang w:eastAsia="zh-CN"/>
        </w:rPr>
        <w:t xml:space="preserve"> 台州湾文旅综合体项目餐厅工程（家具采购）</w:t>
      </w:r>
      <w:r>
        <w:rPr>
          <w:color w:val="auto"/>
          <w:sz w:val="24"/>
          <w:highlight w:val="none"/>
          <w:u w:val="single"/>
        </w:rPr>
        <w:t xml:space="preserve"> </w:t>
      </w:r>
      <w:r>
        <w:rPr>
          <w:rFonts w:hint="eastAsia" w:ascii="宋体"/>
          <w:color w:val="auto"/>
          <w:sz w:val="24"/>
          <w:highlight w:val="none"/>
        </w:rPr>
        <w:t>项目投标活动，并代表我公司全权办理针对上述项目的</w:t>
      </w:r>
      <w:r>
        <w:rPr>
          <w:rFonts w:hint="eastAsia" w:ascii="宋体"/>
          <w:b/>
          <w:color w:val="auto"/>
          <w:sz w:val="24"/>
          <w:highlight w:val="none"/>
        </w:rPr>
        <w:t>投标全程各事项、投标文件签署、合同签订及项目实施</w:t>
      </w:r>
      <w:r>
        <w:rPr>
          <w:rFonts w:hint="eastAsia" w:ascii="宋体"/>
          <w:color w:val="auto"/>
          <w:sz w:val="24"/>
          <w:highlight w:val="none"/>
        </w:rPr>
        <w:t>等涉及的一切事宜，我公司</w:t>
      </w:r>
      <w:r>
        <w:rPr>
          <w:rFonts w:hint="eastAsia" w:ascii="宋体" w:hAnsi="宋体"/>
          <w:color w:val="auto"/>
          <w:sz w:val="24"/>
          <w:highlight w:val="none"/>
        </w:rPr>
        <w:t>对被授权人的签名等行为均予以</w:t>
      </w:r>
      <w:r>
        <w:rPr>
          <w:rFonts w:ascii="宋体" w:hAnsi="宋体"/>
          <w:color w:val="auto"/>
          <w:sz w:val="24"/>
          <w:highlight w:val="none"/>
        </w:rPr>
        <w:t>承</w:t>
      </w:r>
      <w:r>
        <w:rPr>
          <w:rFonts w:hint="eastAsia" w:ascii="宋体" w:hAnsi="宋体"/>
          <w:color w:val="auto"/>
          <w:sz w:val="24"/>
          <w:highlight w:val="none"/>
        </w:rPr>
        <w:t>认，由此所产生的一切法律后果和法律责任，均由</w:t>
      </w:r>
      <w:r>
        <w:rPr>
          <w:rFonts w:hint="eastAsia" w:ascii="宋体"/>
          <w:color w:val="auto"/>
          <w:sz w:val="24"/>
          <w:highlight w:val="none"/>
        </w:rPr>
        <w:t>我公司</w:t>
      </w:r>
      <w:r>
        <w:rPr>
          <w:rFonts w:ascii="宋体" w:hAnsi="宋体"/>
          <w:color w:val="auto"/>
          <w:sz w:val="24"/>
          <w:highlight w:val="none"/>
        </w:rPr>
        <w:t>承担</w:t>
      </w:r>
      <w:r>
        <w:rPr>
          <w:rFonts w:hint="eastAsia" w:ascii="宋体" w:hAnsi="宋体"/>
          <w:color w:val="auto"/>
          <w:sz w:val="24"/>
          <w:highlight w:val="none"/>
        </w:rPr>
        <w:t>。</w:t>
      </w:r>
      <w:r>
        <w:rPr>
          <w:rFonts w:hint="eastAsia" w:ascii="宋体"/>
          <w:color w:val="auto"/>
          <w:sz w:val="24"/>
          <w:highlight w:val="none"/>
        </w:rPr>
        <w:t>同时宣布承诺如下：</w:t>
      </w:r>
    </w:p>
    <w:p w14:paraId="152FEE34">
      <w:pPr>
        <w:numPr>
          <w:ilvl w:val="0"/>
          <w:numId w:val="10"/>
        </w:numPr>
        <w:spacing w:line="360" w:lineRule="auto"/>
        <w:ind w:left="0" w:firstLine="480" w:firstLineChars="200"/>
        <w:rPr>
          <w:rFonts w:ascii="宋体"/>
          <w:color w:val="auto"/>
          <w:sz w:val="24"/>
          <w:highlight w:val="none"/>
        </w:rPr>
      </w:pPr>
      <w:r>
        <w:rPr>
          <w:rFonts w:hint="eastAsia" w:ascii="宋体"/>
          <w:color w:val="auto"/>
          <w:sz w:val="24"/>
          <w:highlight w:val="none"/>
        </w:rPr>
        <w:t>我公司已详细阅读全部招标文件（含补充修改文件），并理解其实质性内容，同意承担招标文件规定的全部义务和相关责任。</w:t>
      </w:r>
    </w:p>
    <w:p w14:paraId="01AD57E2">
      <w:pPr>
        <w:numPr>
          <w:ilvl w:val="0"/>
          <w:numId w:val="10"/>
        </w:numPr>
        <w:spacing w:line="360" w:lineRule="auto"/>
        <w:ind w:left="0" w:firstLine="480" w:firstLineChars="200"/>
        <w:rPr>
          <w:rFonts w:ascii="宋体"/>
          <w:color w:val="auto"/>
          <w:sz w:val="24"/>
          <w:highlight w:val="none"/>
        </w:rPr>
      </w:pPr>
      <w:r>
        <w:rPr>
          <w:rFonts w:hint="eastAsia"/>
          <w:color w:val="auto"/>
          <w:sz w:val="24"/>
          <w:highlight w:val="none"/>
        </w:rPr>
        <w:t>我公司同意提供</w:t>
      </w:r>
      <w:r>
        <w:rPr>
          <w:rFonts w:hint="eastAsia" w:ascii="宋体" w:hAnsi="宋体" w:cs="宋体"/>
          <w:color w:val="auto"/>
          <w:sz w:val="24"/>
          <w:szCs w:val="24"/>
          <w:highlight w:val="none"/>
          <w:lang w:val="en-US" w:eastAsia="zh-CN"/>
        </w:rPr>
        <w:t>招标人</w:t>
      </w:r>
      <w:r>
        <w:rPr>
          <w:rFonts w:hint="eastAsia"/>
          <w:color w:val="auto"/>
          <w:sz w:val="24"/>
          <w:highlight w:val="none"/>
        </w:rPr>
        <w:t>可能要求的与其投标有关的一切数据或资料。</w:t>
      </w:r>
    </w:p>
    <w:p w14:paraId="0AFE2320">
      <w:pPr>
        <w:numPr>
          <w:ilvl w:val="0"/>
          <w:numId w:val="10"/>
        </w:numPr>
        <w:spacing w:line="360" w:lineRule="auto"/>
        <w:ind w:left="0" w:firstLine="480" w:firstLineChars="200"/>
        <w:rPr>
          <w:color w:val="auto"/>
          <w:sz w:val="24"/>
          <w:highlight w:val="none"/>
        </w:rPr>
      </w:pPr>
      <w:r>
        <w:rPr>
          <w:rFonts w:hint="eastAsia"/>
          <w:color w:val="auto"/>
          <w:sz w:val="24"/>
          <w:highlight w:val="none"/>
        </w:rPr>
        <w:t>我公司所提交的一切投标资料均为合法且真实有效。</w:t>
      </w:r>
    </w:p>
    <w:p w14:paraId="1277EFC9">
      <w:pPr>
        <w:spacing w:line="360" w:lineRule="auto"/>
        <w:rPr>
          <w:color w:val="auto"/>
          <w:sz w:val="24"/>
          <w:highlight w:val="none"/>
        </w:rPr>
      </w:pPr>
    </w:p>
    <w:p w14:paraId="7AFAEA31">
      <w:pPr>
        <w:pStyle w:val="13"/>
        <w:rPr>
          <w:rFonts w:ascii="宋体"/>
          <w:color w:val="auto"/>
          <w:sz w:val="24"/>
          <w:highlight w:val="none"/>
        </w:rPr>
      </w:pPr>
      <w:r>
        <w:rPr>
          <w:rFonts w:hint="eastAsia" w:ascii="宋体"/>
          <w:color w:val="auto"/>
          <w:sz w:val="24"/>
          <w:highlight w:val="none"/>
        </w:rPr>
        <w:t xml:space="preserve">  </w:t>
      </w:r>
    </w:p>
    <w:p w14:paraId="795C50A5">
      <w:pPr>
        <w:pStyle w:val="14"/>
        <w:ind w:firstLine="210"/>
        <w:rPr>
          <w:color w:val="auto"/>
          <w:highlight w:val="none"/>
        </w:rPr>
      </w:pPr>
    </w:p>
    <w:p w14:paraId="5F8D4C72">
      <w:pPr>
        <w:pStyle w:val="14"/>
        <w:ind w:firstLine="4320" w:firstLineChars="1800"/>
        <w:rPr>
          <w:rFonts w:ascii="宋体" w:eastAsia="宋体"/>
          <w:color w:val="auto"/>
          <w:sz w:val="24"/>
          <w:highlight w:val="none"/>
        </w:rPr>
      </w:pPr>
      <w:r>
        <w:rPr>
          <w:rFonts w:hint="eastAsia" w:ascii="宋体" w:eastAsia="宋体"/>
          <w:color w:val="auto"/>
          <w:sz w:val="24"/>
          <w:highlight w:val="none"/>
        </w:rPr>
        <w:t>投标人（盖章）：</w:t>
      </w:r>
    </w:p>
    <w:p w14:paraId="37AB48C7">
      <w:pPr>
        <w:spacing w:line="360" w:lineRule="auto"/>
        <w:ind w:firstLine="4320" w:firstLineChars="1800"/>
        <w:rPr>
          <w:rFonts w:ascii="宋体"/>
          <w:color w:val="auto"/>
          <w:sz w:val="24"/>
          <w:highlight w:val="none"/>
        </w:rPr>
      </w:pPr>
      <w:r>
        <w:rPr>
          <w:rFonts w:hint="eastAsia" w:ascii="宋体"/>
          <w:color w:val="auto"/>
          <w:sz w:val="24"/>
          <w:highlight w:val="none"/>
        </w:rPr>
        <w:t xml:space="preserve">法定代表人（签字或盖章）：                  </w:t>
      </w:r>
    </w:p>
    <w:p w14:paraId="7F04F9E9">
      <w:pPr>
        <w:spacing w:line="360" w:lineRule="auto"/>
        <w:ind w:firstLine="4080" w:firstLineChars="1700"/>
        <w:rPr>
          <w:color w:val="auto"/>
          <w:sz w:val="24"/>
          <w:highlight w:val="none"/>
        </w:rPr>
      </w:pPr>
      <w:r>
        <w:rPr>
          <w:rFonts w:hint="eastAsia" w:ascii="宋体"/>
          <w:color w:val="auto"/>
          <w:sz w:val="24"/>
          <w:highlight w:val="none"/>
        </w:rPr>
        <w:t xml:space="preserve">  日期：  年    月    日</w:t>
      </w:r>
    </w:p>
    <w:p w14:paraId="74147264">
      <w:pPr>
        <w:jc w:val="center"/>
        <w:rPr>
          <w:color w:val="auto"/>
          <w:sz w:val="24"/>
          <w:highlight w:val="none"/>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19B89ED4">
      <w:pPr>
        <w:pStyle w:val="86"/>
        <w:rPr>
          <w:rFonts w:hint="eastAsia" w:eastAsia="黑体"/>
          <w:color w:val="auto"/>
          <w:sz w:val="30"/>
          <w:szCs w:val="30"/>
          <w:highlight w:val="none"/>
          <w:lang w:eastAsia="zh-CN"/>
        </w:rPr>
      </w:pPr>
      <w:bookmarkStart w:id="38" w:name="_Toc358"/>
      <w:bookmarkStart w:id="39" w:name="_Toc53388675"/>
      <w:r>
        <w:rPr>
          <w:rFonts w:hint="eastAsia"/>
          <w:color w:val="auto"/>
          <w:highlight w:val="none"/>
        </w:rPr>
        <w:t>格式</w:t>
      </w:r>
      <w:bookmarkEnd w:id="38"/>
      <w:bookmarkEnd w:id="39"/>
      <w:r>
        <w:rPr>
          <w:rFonts w:hint="eastAsia"/>
          <w:color w:val="auto"/>
          <w:highlight w:val="none"/>
          <w:lang w:val="en-US" w:eastAsia="zh-CN"/>
        </w:rPr>
        <w:t>七</w:t>
      </w:r>
    </w:p>
    <w:p w14:paraId="61165279">
      <w:pPr>
        <w:spacing w:line="360" w:lineRule="auto"/>
        <w:jc w:val="center"/>
        <w:rPr>
          <w:rFonts w:ascii="宋体" w:hAnsi="宋体"/>
          <w:bCs/>
          <w:color w:val="auto"/>
          <w:sz w:val="32"/>
          <w:szCs w:val="32"/>
          <w:highlight w:val="none"/>
          <w:u w:val="single"/>
        </w:rPr>
      </w:pPr>
      <w:r>
        <w:rPr>
          <w:rFonts w:ascii="宋体" w:hAnsi="宋体"/>
          <w:bCs/>
          <w:color w:val="auto"/>
          <w:sz w:val="32"/>
          <w:szCs w:val="32"/>
          <w:highlight w:val="none"/>
          <w:u w:val="single"/>
        </w:rPr>
        <w:t xml:space="preserve">                    </w:t>
      </w:r>
      <w:r>
        <w:rPr>
          <w:rFonts w:hint="eastAsia" w:ascii="宋体" w:hAnsi="宋体"/>
          <w:bCs/>
          <w:color w:val="auto"/>
          <w:sz w:val="32"/>
          <w:szCs w:val="32"/>
          <w:highlight w:val="none"/>
          <w:u w:val="single"/>
        </w:rPr>
        <w:t>（</w:t>
      </w:r>
      <w:r>
        <w:rPr>
          <w:rFonts w:ascii="宋体" w:hAnsi="宋体"/>
          <w:bCs/>
          <w:color w:val="auto"/>
          <w:sz w:val="32"/>
          <w:szCs w:val="32"/>
          <w:highlight w:val="none"/>
          <w:u w:val="single"/>
        </w:rPr>
        <w:t>项目名称</w:t>
      </w:r>
      <w:r>
        <w:rPr>
          <w:rFonts w:hint="eastAsia" w:ascii="宋体" w:hAnsi="宋体"/>
          <w:bCs/>
          <w:color w:val="auto"/>
          <w:sz w:val="32"/>
          <w:szCs w:val="32"/>
          <w:highlight w:val="none"/>
          <w:u w:val="single"/>
        </w:rPr>
        <w:t>）</w:t>
      </w:r>
    </w:p>
    <w:p w14:paraId="4225CE45">
      <w:pPr>
        <w:jc w:val="center"/>
        <w:rPr>
          <w:rFonts w:hint="eastAsia" w:ascii="宋体" w:hAnsi="宋体"/>
          <w:color w:val="auto"/>
          <w:sz w:val="44"/>
          <w:szCs w:val="60"/>
          <w:highlight w:val="none"/>
        </w:rPr>
      </w:pPr>
      <w:r>
        <w:rPr>
          <w:rFonts w:hint="eastAsia" w:ascii="宋体" w:hAnsi="宋体"/>
          <w:color w:val="auto"/>
          <w:sz w:val="44"/>
          <w:szCs w:val="60"/>
          <w:highlight w:val="none"/>
        </w:rPr>
        <w:t>投标报价明细表</w:t>
      </w:r>
    </w:p>
    <w:p w14:paraId="61CBE4A1">
      <w:pPr>
        <w:pStyle w:val="13"/>
        <w:spacing w:line="260" w:lineRule="exact"/>
        <w:ind w:firstLine="402" w:firstLineChars="200"/>
        <w:rPr>
          <w:rFonts w:hint="eastAsia" w:ascii="宋体" w:hAnsi="宋体" w:cs="宋体"/>
          <w:b/>
          <w:color w:val="auto"/>
          <w:sz w:val="20"/>
          <w:szCs w:val="20"/>
          <w:highlight w:val="none"/>
        </w:rPr>
      </w:pPr>
    </w:p>
    <w:tbl>
      <w:tblPr>
        <w:tblStyle w:val="37"/>
        <w:tblW w:w="15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256"/>
        <w:gridCol w:w="2710"/>
        <w:gridCol w:w="5567"/>
        <w:gridCol w:w="1174"/>
        <w:gridCol w:w="1297"/>
        <w:gridCol w:w="1587"/>
        <w:gridCol w:w="1119"/>
      </w:tblGrid>
      <w:tr w14:paraId="34E8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C1BEE95">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6C34F6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品名</w:t>
            </w:r>
          </w:p>
        </w:tc>
        <w:tc>
          <w:tcPr>
            <w:tcW w:w="271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F8639D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产品规格</w:t>
            </w:r>
          </w:p>
        </w:tc>
        <w:tc>
          <w:tcPr>
            <w:tcW w:w="556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E567F1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产品材质要求，功能</w:t>
            </w:r>
          </w:p>
        </w:tc>
        <w:tc>
          <w:tcPr>
            <w:tcW w:w="117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416AA0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数量</w:t>
            </w:r>
          </w:p>
        </w:tc>
        <w:tc>
          <w:tcPr>
            <w:tcW w:w="129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28B9494">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8"/>
                <w:szCs w:val="28"/>
                <w:highlight w:val="none"/>
                <w:u w:val="none"/>
                <w:lang w:val="en-US" w:eastAsia="zh-CN"/>
              </w:rPr>
            </w:pPr>
            <w:r>
              <w:rPr>
                <w:rFonts w:hint="eastAsia" w:ascii="等线" w:hAnsi="等线" w:eastAsia="等线" w:cs="等线"/>
                <w:i w:val="0"/>
                <w:iCs w:val="0"/>
                <w:color w:val="000000"/>
                <w:sz w:val="28"/>
                <w:szCs w:val="28"/>
                <w:highlight w:val="none"/>
                <w:u w:val="none"/>
                <w:lang w:val="en-US" w:eastAsia="zh-CN"/>
              </w:rPr>
              <w:t>单位</w:t>
            </w:r>
          </w:p>
        </w:tc>
        <w:tc>
          <w:tcPr>
            <w:tcW w:w="158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CCF487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sz w:val="28"/>
                <w:szCs w:val="28"/>
                <w:highlight w:val="none"/>
                <w:u w:val="none"/>
                <w:lang w:val="en-US" w:eastAsia="zh-CN"/>
              </w:rPr>
              <w:t>全费用综合单价（元）</w:t>
            </w:r>
          </w:p>
        </w:tc>
        <w:tc>
          <w:tcPr>
            <w:tcW w:w="111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FA2430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sz w:val="28"/>
                <w:szCs w:val="28"/>
                <w:highlight w:val="none"/>
                <w:u w:val="none"/>
                <w:lang w:val="en-US" w:eastAsia="zh-CN"/>
              </w:rPr>
              <w:t>合计（元）</w:t>
            </w:r>
          </w:p>
        </w:tc>
      </w:tr>
      <w:tr w14:paraId="1639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8A2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卡座</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4E1B">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36830*620*1020*450mm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坐深：525mm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(按现场实际)</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1D5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1.水性皮，符合国标，摩擦色牢度≥4级，耐光性大于5级。</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2.定型海绵：符合国标：密度（座面、其他部位）≥46.0kg/m³；回弹性能≥50%；</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3.浸渍胶膜纸饰面刨花板：符合国标；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4.PVC封边条：符合国标，厚度≥2mm,边缘直线度≤1.66mm/m；截面翘曲度≤0.2mm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5.铝材：符合国标，硬度≥3H。</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3F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0C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FB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076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0069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65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60D4">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1400*800*760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E33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2.下脚：白蜡木：符合国标；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3.木皮：符合国标，厚度≥0.8mm；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4.水性漆：符合国标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66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70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D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40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ADA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0C0A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2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7C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5627">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800*800*760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850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2.下脚：白蜡木：符合国标；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3.木皮：符合国标，厚度≥0.8mm；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4.水性漆：符合国标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9E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26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10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489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4679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E80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C9B5">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900*1200*760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0B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2.下脚：白蜡木：符合国标；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3.木皮：符合国标，厚度≥0.8mm；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4.水性漆：符合国标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78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6</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E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E0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D96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0B70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A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BED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餐椅</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6604">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560*510*750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8BC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主体框架选用红橡木实木实木制作，采用出榫开槽实结构，粘合全部进口AB铁胶，表面经多次打磨环保油漆覆盖；</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4F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280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9F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E6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D2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7E19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48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单人位沙发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B6AE">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920*830*810 mm</w:t>
            </w:r>
          </w:p>
        </w:tc>
        <w:tc>
          <w:tcPr>
            <w:tcW w:w="5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7C42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1)皮革:沙发整体使用聚氯乙烯（PVC）人造革,干/湿擦色牢度沾色≥4级,褪色≥4级,耐磨性（Ⅰ-1）80000次,（Ⅰ-2,Ⅰ-3）60000次表面无破裂,符合国标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2)海绵:采用优质回弹海绵,座面密度≥30kg/m3,其他部位≥20kg/m3,通过CA TB117-2013防火性能检测,符合国标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3)内框架:主材胶合板木架,落叶松实木弹簧木档,搭配钢制弹簧及弹力绷带,符合国标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4)沙发脚:尼龙（PA）材质,一体注塑成型,符合国标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A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2</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E0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EC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BE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30C0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8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A94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三人位沙发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C0EA">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2000*830*810 mm</w:t>
            </w:r>
          </w:p>
        </w:tc>
        <w:tc>
          <w:tcPr>
            <w:tcW w:w="5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E99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79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6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47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0AB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8BC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B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98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茶几</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E9C1">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700*700*420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A3D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1)台面:厚度40mm,台面主要基材使用E0级中纤板,甲醛释放量≤0.05mg/m3,符合国标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2)木皮:选择木纹色配置,主要部件采用≥0.4mm天然木皮贴面,台面反面采用≥0.3mm科技木皮贴面,符合国标;选择非木纹色配置无木皮</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3)桌脚:门字型钢脚,表面静电粉末喷涂,壁厚1.5mm,符合国标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4)油漆:采用水性环保油漆，符合国标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工艺说明:</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1)涂装工艺:木纹色采用五底三面的半透涂装工艺</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00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60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35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CD7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4C7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82F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茶几</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F3CA">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700*700*420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564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1)台面:厚度40mm,台面主要基材使用E0级中纤板,符合国标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2)木皮:选择木纹色配置,主要部件采用≥0.4mm天然木皮贴面,台面反面采用≥0.3mm科技木皮贴面,甲醛释放量≤1.5mg/L,符合国标;选择非木纹色配置无木皮</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3)桌脚:门字型钢脚,表面静电粉末喷涂,壁厚1.5mm,涂层耐腐蚀测试100h后无锈蚀、剥落、起皱,符合国标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4)油漆:采用水性环保油漆,符合国标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工艺说明:</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1)涂装工艺:木纹色采用五底三面的半透涂装工艺</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B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C6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FD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38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FCF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8D9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电动餐桌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666">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2400*750</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65A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实木橡胶木框架，桌面，转盘和花板为实木多层板贴木皮拼花；围板做定制内凹造型，内部落地钢架结构，特制机芯，优质电机，转盘遥控控制，采用环保油漆（2.4米转盘为一层）</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2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FC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DE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32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00D7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A5C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餐椅</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46D2">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常规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1D5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材质:实木框架/304#无指纹拉丝不锈钢/皮艺/高密度泡棉</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E7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6D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A1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6AD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82A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7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49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沙发一套</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03AD">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兰花休闲椅  710*660*970(1个)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单人位 750*750*970（1个）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三人位  2000*750*970（1个）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双层长茶几  1300*700*450（1个）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双层方几 600*600*550  （1个）</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E69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兰花休闲椅，单人位，双人位，三人位：</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实木白蜡木框架，高密度海绵，扪优质棉麻布料，采用环保油漆</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长茶几，边几：</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实木白蜡木框架，桌面为实木多层板贴木皮，采用环保油漆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BD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6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84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1F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78B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C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F67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挂衣架</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2C53">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1000*350*1720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1AA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实木白蜡木框架</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5E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56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个</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A8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7D7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2FB2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F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75C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备餐柜</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2079">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1200*400*850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151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实木橡胶木框架，搭配实木多层板，采用环保油漆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C2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31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个</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48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136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3E4E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C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019562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洗衣房等候凳</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961">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1600*400*400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0B7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松木材质，清漆防水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BA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B3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FF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C3D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FC8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A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597B767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洗衣房操作台、熨衣台</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521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u w:val="none"/>
                <w:lang w:val="en-US" w:eastAsia="zh-CN" w:bidi="ar"/>
              </w:rPr>
              <w:t>2700*650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228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1)防火饰面板:面材采用优质三聚氰胺浸胶工艺,符合国标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2)PVC封边条:表面耐光色牢度≥4级;表面耐龟裂性≥2级;符合国标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3)塑胶件:符合国标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含熨衣板</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C2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4C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C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07A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76F2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6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25B84D6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洗衣房衣柜组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D38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u w:val="none"/>
                <w:lang w:val="en-US" w:eastAsia="zh-CN" w:bidi="ar"/>
              </w:rPr>
              <w:t>2600*650*3800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088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1)柜体:主体面材采用浸渍胶膜纸,表面稳定性好,层次感优,耐污抗磨性强;基材采用E0级多层板,符合国标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2)封边:柜体采用优质PVC封边条,厚度1mm,耐光色牢度≥4级,耐龟裂性≥2级,耐磨性能30r,符合国标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3)门板:基材采用E0级E0级多层板,表面采用浸渍胶膜纸,符合国标;四周封边采用1MM同色PVC封边</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工艺说明:</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1)封边工艺:板件采用Z封边工艺,Z字型一次成型,美观无胶缝</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2A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83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26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8E2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2422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trPr>
        <w:tc>
          <w:tcPr>
            <w:tcW w:w="726" w:type="dxa"/>
            <w:vMerge w:val="restart"/>
            <w:tcBorders>
              <w:top w:val="single" w:color="000000" w:sz="4" w:space="0"/>
              <w:left w:val="single" w:color="000000" w:sz="4" w:space="0"/>
              <w:right w:val="single" w:color="000000" w:sz="4" w:space="0"/>
            </w:tcBorders>
            <w:shd w:val="clear" w:color="auto" w:fill="auto"/>
            <w:vAlign w:val="center"/>
          </w:tcPr>
          <w:p w14:paraId="086D5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256" w:type="dxa"/>
            <w:vMerge w:val="restart"/>
            <w:tcBorders>
              <w:top w:val="single" w:color="000000" w:sz="4" w:space="0"/>
              <w:left w:val="nil"/>
              <w:right w:val="single" w:color="000000" w:sz="4" w:space="0"/>
            </w:tcBorders>
            <w:shd w:val="clear" w:color="auto" w:fill="auto"/>
            <w:noWrap/>
            <w:vAlign w:val="center"/>
          </w:tcPr>
          <w:p w14:paraId="1110395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窗帘</w:t>
            </w:r>
          </w:p>
        </w:tc>
        <w:tc>
          <w:tcPr>
            <w:tcW w:w="2710" w:type="dxa"/>
            <w:tcBorders>
              <w:top w:val="single" w:color="000000" w:sz="4" w:space="0"/>
              <w:left w:val="single" w:color="000000" w:sz="4" w:space="0"/>
              <w:bottom w:val="single" w:color="auto" w:sz="4" w:space="0"/>
              <w:right w:val="single" w:color="000000" w:sz="4" w:space="0"/>
            </w:tcBorders>
            <w:shd w:val="clear" w:color="auto" w:fill="auto"/>
            <w:vAlign w:val="center"/>
          </w:tcPr>
          <w:p w14:paraId="022DAE6A">
            <w:pPr>
              <w:keepNext w:val="0"/>
              <w:keepLines w:val="0"/>
              <w:suppressLineNumbers w:val="0"/>
              <w:spacing w:before="0" w:beforeAutospacing="0" w:after="0" w:afterAutospacing="0"/>
              <w:ind w:left="0" w:right="0"/>
              <w:jc w:val="left"/>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sz w:val="22"/>
                <w:szCs w:val="22"/>
                <w:highlight w:val="none"/>
                <w:u w:val="none"/>
              </w:rPr>
              <w:t>包厢和卡座</w:t>
            </w:r>
          </w:p>
        </w:tc>
        <w:tc>
          <w:tcPr>
            <w:tcW w:w="5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158E9E6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1）布加纱双层窗帘，内层半遮光白纱；外层为浅灰色麻布料；2）配双层铝合金轨道；褶皱系数2.0考虑，窗帘遮光率＞75%；3）工程量为14.45米，具体需根据现场重新核实定制</w:t>
            </w:r>
          </w:p>
        </w:tc>
        <w:tc>
          <w:tcPr>
            <w:tcW w:w="1174" w:type="dxa"/>
            <w:tcBorders>
              <w:top w:val="single" w:color="000000" w:sz="4" w:space="0"/>
              <w:left w:val="single" w:color="000000" w:sz="4" w:space="0"/>
              <w:bottom w:val="single" w:color="auto" w:sz="4" w:space="0"/>
              <w:right w:val="single" w:color="000000" w:sz="4" w:space="0"/>
            </w:tcBorders>
            <w:shd w:val="clear" w:color="auto" w:fill="auto"/>
            <w:vAlign w:val="center"/>
          </w:tcPr>
          <w:p w14:paraId="5DB916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32"/>
                <w:szCs w:val="32"/>
                <w:highlight w:val="none"/>
                <w:u w:val="none"/>
                <w:lang w:val="en-US" w:eastAsia="zh-CN" w:bidi="ar"/>
              </w:rPr>
            </w:pPr>
            <w:r>
              <w:rPr>
                <w:rFonts w:hint="default" w:ascii="宋体" w:hAnsi="宋体" w:eastAsia="宋体" w:cs="宋体"/>
                <w:i w:val="0"/>
                <w:iCs w:val="0"/>
                <w:color w:val="000000"/>
                <w:kern w:val="0"/>
                <w:sz w:val="32"/>
                <w:szCs w:val="32"/>
                <w:highlight w:val="none"/>
                <w:u w:val="none"/>
                <w:lang w:val="en-US" w:eastAsia="zh-CN" w:bidi="ar"/>
              </w:rPr>
              <w:t>14.45</w:t>
            </w:r>
          </w:p>
        </w:tc>
        <w:tc>
          <w:tcPr>
            <w:tcW w:w="1297" w:type="dxa"/>
            <w:tcBorders>
              <w:top w:val="single" w:color="000000" w:sz="4" w:space="0"/>
              <w:left w:val="single" w:color="000000" w:sz="4" w:space="0"/>
              <w:bottom w:val="single" w:color="auto" w:sz="4" w:space="0"/>
              <w:right w:val="single" w:color="000000" w:sz="4" w:space="0"/>
            </w:tcBorders>
            <w:shd w:val="clear" w:color="auto" w:fill="auto"/>
            <w:vAlign w:val="center"/>
          </w:tcPr>
          <w:p w14:paraId="08CA9F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米</w:t>
            </w:r>
          </w:p>
        </w:tc>
        <w:tc>
          <w:tcPr>
            <w:tcW w:w="1587" w:type="dxa"/>
            <w:tcBorders>
              <w:top w:val="single" w:color="000000" w:sz="4" w:space="0"/>
              <w:left w:val="single" w:color="000000" w:sz="4" w:space="0"/>
              <w:bottom w:val="single" w:color="auto" w:sz="4" w:space="0"/>
              <w:right w:val="single" w:color="000000" w:sz="4" w:space="0"/>
            </w:tcBorders>
            <w:shd w:val="clear" w:color="auto" w:fill="auto"/>
            <w:vAlign w:val="center"/>
          </w:tcPr>
          <w:p w14:paraId="6397E9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0679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4C1F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26" w:type="dxa"/>
            <w:vMerge w:val="continue"/>
            <w:tcBorders>
              <w:left w:val="single" w:color="000000" w:sz="4" w:space="0"/>
              <w:bottom w:val="single" w:color="000000" w:sz="4" w:space="0"/>
              <w:right w:val="single" w:color="000000" w:sz="4" w:space="0"/>
            </w:tcBorders>
            <w:shd w:val="clear" w:color="auto" w:fill="auto"/>
            <w:vAlign w:val="center"/>
          </w:tcPr>
          <w:p w14:paraId="6323F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56" w:type="dxa"/>
            <w:vMerge w:val="continue"/>
            <w:tcBorders>
              <w:left w:val="nil"/>
              <w:bottom w:val="single" w:color="000000" w:sz="4" w:space="0"/>
              <w:right w:val="single" w:color="000000" w:sz="4" w:space="0"/>
            </w:tcBorders>
            <w:shd w:val="clear" w:color="auto" w:fill="auto"/>
            <w:noWrap/>
            <w:vAlign w:val="center"/>
          </w:tcPr>
          <w:p w14:paraId="0D46A29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2710" w:type="dxa"/>
            <w:tcBorders>
              <w:top w:val="single" w:color="auto" w:sz="4" w:space="0"/>
              <w:left w:val="single" w:color="000000" w:sz="4" w:space="0"/>
              <w:bottom w:val="single" w:color="000000" w:sz="4" w:space="0"/>
              <w:right w:val="single" w:color="000000" w:sz="4" w:space="0"/>
            </w:tcBorders>
            <w:shd w:val="clear" w:color="auto" w:fill="auto"/>
            <w:vAlign w:val="center"/>
          </w:tcPr>
          <w:p w14:paraId="3703D630">
            <w:pPr>
              <w:keepNext w:val="0"/>
              <w:keepLines w:val="0"/>
              <w:suppressLineNumbers w:val="0"/>
              <w:spacing w:before="0" w:beforeAutospacing="0" w:after="0" w:afterAutospacing="0"/>
              <w:ind w:left="0" w:right="0"/>
              <w:jc w:val="left"/>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sz w:val="22"/>
                <w:szCs w:val="22"/>
                <w:highlight w:val="none"/>
                <w:u w:val="none"/>
              </w:rPr>
              <w:t>大厅</w:t>
            </w:r>
          </w:p>
        </w:tc>
        <w:tc>
          <w:tcPr>
            <w:tcW w:w="5567" w:type="dxa"/>
            <w:tcBorders>
              <w:top w:val="single" w:color="auto" w:sz="4" w:space="0"/>
              <w:left w:val="single" w:color="000000" w:sz="4" w:space="0"/>
              <w:bottom w:val="single" w:color="000000" w:sz="4" w:space="0"/>
              <w:right w:val="single" w:color="000000" w:sz="4" w:space="0"/>
            </w:tcBorders>
            <w:shd w:val="clear" w:color="auto" w:fill="auto"/>
            <w:vAlign w:val="center"/>
          </w:tcPr>
          <w:p w14:paraId="37C1BB3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1）加厚灰纱卷帘，加厚加密涤纶，遮光率99%以上；2）配POM高密拉珠；3）防尘铝合金制罩套；4）阻燃级别B2；5）工程量为274.2平方米，具体需根据现场重新核实定制</w:t>
            </w:r>
          </w:p>
        </w:tc>
        <w:tc>
          <w:tcPr>
            <w:tcW w:w="1174" w:type="dxa"/>
            <w:tcBorders>
              <w:top w:val="single" w:color="auto" w:sz="4" w:space="0"/>
              <w:left w:val="single" w:color="000000" w:sz="4" w:space="0"/>
              <w:bottom w:val="single" w:color="000000" w:sz="4" w:space="0"/>
              <w:right w:val="single" w:color="000000" w:sz="4" w:space="0"/>
            </w:tcBorders>
            <w:shd w:val="clear" w:color="auto" w:fill="auto"/>
            <w:vAlign w:val="center"/>
          </w:tcPr>
          <w:p w14:paraId="30995F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274.2</w:t>
            </w:r>
          </w:p>
        </w:tc>
        <w:tc>
          <w:tcPr>
            <w:tcW w:w="1297" w:type="dxa"/>
            <w:tcBorders>
              <w:top w:val="single" w:color="auto" w:sz="4" w:space="0"/>
              <w:left w:val="single" w:color="000000" w:sz="4" w:space="0"/>
              <w:bottom w:val="single" w:color="000000" w:sz="4" w:space="0"/>
              <w:right w:val="single" w:color="000000" w:sz="4" w:space="0"/>
            </w:tcBorders>
            <w:shd w:val="clear" w:color="auto" w:fill="auto"/>
            <w:vAlign w:val="center"/>
          </w:tcPr>
          <w:p w14:paraId="4F95D9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平方米</w:t>
            </w:r>
          </w:p>
        </w:tc>
        <w:tc>
          <w:tcPr>
            <w:tcW w:w="1587" w:type="dxa"/>
            <w:tcBorders>
              <w:top w:val="single" w:color="auto" w:sz="4" w:space="0"/>
              <w:left w:val="single" w:color="000000" w:sz="4" w:space="0"/>
              <w:bottom w:val="single" w:color="000000" w:sz="4" w:space="0"/>
              <w:right w:val="single" w:color="000000" w:sz="4" w:space="0"/>
            </w:tcBorders>
            <w:shd w:val="clear" w:color="auto" w:fill="auto"/>
            <w:vAlign w:val="center"/>
          </w:tcPr>
          <w:p w14:paraId="4DC98B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2291B0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5593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FF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p>
        </w:tc>
        <w:tc>
          <w:tcPr>
            <w:tcW w:w="147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3925C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总合计（1+2+3+......+16+17+18）：大写：</w:t>
            </w:r>
            <w:r>
              <w:rPr>
                <w:rFonts w:hint="eastAsia" w:ascii="等线" w:hAnsi="等线" w:eastAsia="等线" w:cs="等线"/>
                <w:i w:val="0"/>
                <w:iCs w:val="0"/>
                <w:color w:val="000000"/>
                <w:kern w:val="0"/>
                <w:sz w:val="24"/>
                <w:szCs w:val="24"/>
                <w:highlight w:val="none"/>
                <w:u w:val="single"/>
                <w:lang w:val="en-US" w:eastAsia="zh-CN" w:bidi="ar"/>
              </w:rPr>
              <w:t xml:space="preserve">                     </w:t>
            </w:r>
            <w:r>
              <w:rPr>
                <w:rFonts w:hint="eastAsia" w:ascii="等线" w:hAnsi="等线" w:eastAsia="等线" w:cs="等线"/>
                <w:i w:val="0"/>
                <w:iCs w:val="0"/>
                <w:color w:val="000000"/>
                <w:kern w:val="0"/>
                <w:sz w:val="24"/>
                <w:szCs w:val="24"/>
                <w:highlight w:val="none"/>
                <w:u w:val="none"/>
                <w:lang w:val="en-US" w:eastAsia="zh-CN" w:bidi="ar"/>
              </w:rPr>
              <w:t>元；小写：</w:t>
            </w:r>
            <w:r>
              <w:rPr>
                <w:rFonts w:hint="eastAsia" w:ascii="等线" w:hAnsi="等线" w:eastAsia="等线" w:cs="等线"/>
                <w:i w:val="0"/>
                <w:iCs w:val="0"/>
                <w:color w:val="000000"/>
                <w:kern w:val="0"/>
                <w:sz w:val="24"/>
                <w:szCs w:val="24"/>
                <w:highlight w:val="none"/>
                <w:u w:val="single"/>
                <w:lang w:val="en-US" w:eastAsia="zh-CN" w:bidi="ar"/>
              </w:rPr>
              <w:t xml:space="preserve">             元</w:t>
            </w:r>
          </w:p>
        </w:tc>
      </w:tr>
    </w:tbl>
    <w:p w14:paraId="77EFEE46">
      <w:pPr>
        <w:pStyle w:val="13"/>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1.1投标人的投标报价为全费用综合单价，全费用综合单价是指完成工程量清单中一个规定计量单位项目实施（包括运输、组装、管理费、利润、组织措施费、规费、增值税等一切费用。各投标人应根据招标人提供的技术资料、设备清单，以及本工程实际情况和自身的综合实力，竞报投标报价。总报价以人民币元计。汇率、知识产权、关税等由投标人在投标报价时综合考虑），招标人不再另行支付其他任何费用。</w:t>
      </w:r>
    </w:p>
    <w:p w14:paraId="7876B1BD">
      <w:pPr>
        <w:spacing w:line="360" w:lineRule="auto"/>
        <w:ind w:firstLine="405"/>
        <w:rPr>
          <w:rFonts w:hint="eastAsia" w:ascii="宋体" w:hAnsi="宋体" w:cs="宋体"/>
          <w:b/>
          <w:color w:val="auto"/>
          <w:sz w:val="21"/>
          <w:szCs w:val="21"/>
          <w:highlight w:val="none"/>
        </w:rPr>
      </w:pPr>
      <w:r>
        <w:rPr>
          <w:rFonts w:hint="eastAsia" w:ascii="宋体" w:hAnsi="宋体" w:cs="宋体"/>
          <w:b/>
          <w:color w:val="auto"/>
          <w:sz w:val="21"/>
          <w:szCs w:val="21"/>
          <w:highlight w:val="none"/>
        </w:rPr>
        <w:t>1.2投标总报价应是招标文件所确定的招标范围内全部工作内容的价格表现。其应包括完成工程量清单所列项目的全部费用。各投标人应根据招标人提供的相关资料，以及本工程实际情况和自身的综合实力，竞报投标报价。</w:t>
      </w:r>
    </w:p>
    <w:p w14:paraId="2A12F110">
      <w:pPr>
        <w:spacing w:line="360" w:lineRule="auto"/>
        <w:ind w:firstLine="405"/>
        <w:rPr>
          <w:rFonts w:hint="eastAsia" w:ascii="宋体" w:hAnsi="宋体" w:cs="宋体"/>
          <w:b/>
          <w:bCs/>
          <w:color w:val="auto"/>
          <w:sz w:val="21"/>
          <w:szCs w:val="21"/>
          <w:highlight w:val="none"/>
        </w:rPr>
      </w:pPr>
      <w:r>
        <w:rPr>
          <w:rFonts w:hint="eastAsia" w:ascii="宋体" w:hAnsi="宋体" w:cs="宋体"/>
          <w:b/>
          <w:color w:val="auto"/>
          <w:sz w:val="21"/>
          <w:szCs w:val="21"/>
          <w:highlight w:val="none"/>
        </w:rPr>
        <w:t>1.3全费用综合单价一次性包干，不再调整，</w:t>
      </w:r>
      <w:r>
        <w:rPr>
          <w:rFonts w:hint="eastAsia" w:ascii="宋体" w:hAnsi="宋体" w:cs="宋体"/>
          <w:b/>
          <w:bCs/>
          <w:color w:val="auto"/>
          <w:sz w:val="21"/>
          <w:szCs w:val="21"/>
          <w:highlight w:val="none"/>
        </w:rPr>
        <w:t>工程量按实计量，按实结算。</w:t>
      </w:r>
    </w:p>
    <w:p w14:paraId="0363BB65">
      <w:pPr>
        <w:spacing w:line="26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投标人（盖章）：           </w:t>
      </w:r>
    </w:p>
    <w:p w14:paraId="002D67C0">
      <w:pPr>
        <w:spacing w:line="26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法定代表人（签字或盖章）：  </w:t>
      </w:r>
    </w:p>
    <w:p w14:paraId="6156B5B4">
      <w:pPr>
        <w:pStyle w:val="87"/>
        <w:ind w:firstLine="0" w:firstLineChars="0"/>
        <w:jc w:val="right"/>
        <w:rPr>
          <w:rFonts w:hint="eastAsia" w:ascii="宋体" w:hAnsi="宋体"/>
          <w:b/>
          <w:color w:val="auto"/>
          <w:highlight w:val="none"/>
        </w:rPr>
      </w:pPr>
      <w:r>
        <w:rPr>
          <w:rFonts w:hint="eastAsia" w:ascii="宋体" w:hAnsi="宋体" w:cs="宋体"/>
          <w:color w:val="auto"/>
          <w:sz w:val="21"/>
          <w:highlight w:val="none"/>
        </w:rPr>
        <w:t>日期：   年   月   日</w:t>
      </w:r>
      <w:bookmarkEnd w:id="30"/>
      <w:bookmarkEnd w:id="31"/>
      <w:bookmarkEnd w:id="32"/>
      <w:bookmarkEnd w:id="33"/>
    </w:p>
    <w:sectPr>
      <w:headerReference r:id="rId14" w:type="first"/>
      <w:headerReference r:id="rId13" w:type="default"/>
      <w:footerReference r:id="rId15" w:type="default"/>
      <w:pgSz w:w="16838" w:h="11905" w:orient="landscape"/>
      <w:pgMar w:top="1587" w:right="1134" w:bottom="1587" w:left="1134"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1B12">
    <w:pPr>
      <w:pStyle w:val="7"/>
      <w:tabs>
        <w:tab w:val="left" w:pos="1200"/>
        <w:tab w:val="clear" w:pos="900"/>
      </w:tabs>
      <w:spacing w:after="120"/>
      <w:ind w:left="480"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2E3F5">
    <w:pPr>
      <w:pStyle w:val="7"/>
      <w:framePr w:wrap="around" w:vAnchor="text" w:hAnchor="margin" w:xAlign="center" w:y="1"/>
      <w:tabs>
        <w:tab w:val="left" w:pos="1200"/>
        <w:tab w:val="clear" w:pos="900"/>
      </w:tabs>
      <w:spacing w:after="120"/>
      <w:rPr>
        <w:rStyle w:val="43"/>
      </w:rPr>
    </w:pPr>
    <w:r>
      <w:fldChar w:fldCharType="begin"/>
    </w:r>
    <w:r>
      <w:rPr>
        <w:rStyle w:val="43"/>
      </w:rPr>
      <w:instrText xml:space="preserve">PAGE  </w:instrText>
    </w:r>
    <w:r>
      <w:fldChar w:fldCharType="separate"/>
    </w:r>
    <w:r>
      <w:rPr>
        <w:rStyle w:val="43"/>
      </w:rPr>
      <w:t>10</w:t>
    </w:r>
    <w:r>
      <w:fldChar w:fldCharType="end"/>
    </w:r>
  </w:p>
  <w:p w14:paraId="2A7E9A62">
    <w:pPr>
      <w:pStyle w:val="7"/>
      <w:tabs>
        <w:tab w:val="left" w:pos="1200"/>
        <w:tab w:val="clear" w:pos="9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7BC4">
    <w:pPr>
      <w:pStyle w:val="2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5F34">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002F">
    <w:pPr>
      <w:pStyle w:val="24"/>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3DD5A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oyb3fSAQAApQ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vaTEMoMTP//8cf71&#10;5/z7O1lmgXoPNeY9eMyMwzs34Nok4dI94GXiPchg0hcZEYyjvKeLvGKIhKdH1aqqSgxxjM0O4hTX&#10;5z5AfC+cIcloaMD5ZVnZ8SPEMXVOSdWsu1da5xlqS3pEvane3uQXlxCia4tFrt0mKw67YaKwc+0J&#10;mfW4BA21uPOU6A8WNU77MhthNnazcfBB7bu8UKkV8HeHiO3kLlOFEXYqjNPLPKdNS+vxr5+zrn/X&#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jJvd9IBAAClAwAADgAAAAAAAAABACAAAAAi&#10;AQAAZHJzL2Uyb0RvYy54bWxQSwUGAAAAAAYABgBZAQAAZgUAAAAA&#10;">
              <v:fill on="f" focussize="0,0"/>
              <v:stroke on="f" weight="1.25pt"/>
              <v:imagedata o:title=""/>
              <o:lock v:ext="edit" aspectratio="f"/>
              <v:textbox inset="0mm,0mm,0mm,0mm" style="mso-fit-shape-to-text:t;">
                <w:txbxContent>
                  <w:p w14:paraId="253DD5A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A4F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46AF77">
                          <w:pPr>
                            <w:pStyle w:val="2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7Ltd3UAQAApQ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6xUllhmc+PnXz/Pv&#10;v+c/P8hymQTqPdSYd+8xMw7v3YBrM98DXibegwwmfZERwTjKe7rIK4ZIeHpUraqqxBDH2OwgfvHw&#10;3AeIH4QzJBkNDTi/LCs7foI4ps4pqZp1d0rrPENtSY+oN9Xbm/ziEkJ0bbFIYjF2m6w47IaJ2s61&#10;J2TW4xI01OLOU6I/WtQ47ctshNnYzcbBB7Xv8kKlVsC/O0RsJ3eZKoywU2GcXuY5bVpaj8d+znr4&#10;uz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uy7Xd1AEAAKUDAAAOAAAAAAAAAAEAIAAA&#10;ACIBAABkcnMvZTJvRG9jLnhtbFBLBQYAAAAABgAGAFkBAABoBQAAAAA=&#10;">
              <v:fill on="f" focussize="0,0"/>
              <v:stroke on="f" weight="1.25pt"/>
              <v:imagedata o:title=""/>
              <o:lock v:ext="edit" aspectratio="f"/>
              <v:textbox inset="0mm,0mm,0mm,0mm" style="mso-fit-shape-to-text:t;">
                <w:txbxContent>
                  <w:p w14:paraId="2E46AF77">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02A33">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71BBC4">
                          <w:pPr>
                            <w:pStyle w:val="24"/>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AzLrUAQAApQ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Z09YYSywxO/Pzr5/n3&#10;3/OfH2T5OgnUe6gx785jZhzeuwHXZr4HvEy8BxlM+iIjgnGU93SRVwyR8PSoWlVViSGOsdlB/OLh&#10;uQ8QPwhnSDIaGnB+WVZ2/ARxTJ1TUjXrbpXWeYbakh5Rr6p3V/nFJYTo2mKRxGLsNllx2A0TtZ1r&#10;T8isxyVoqMWdp0R/tKhx2pfZCLOxm42DD2rf5YVKrYC/OURsJ3eZKoywU2GcXuY5bVpaj3/9nPXw&#10;d23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DQMy61AEAAKUDAAAOAAAAAAAAAAEAIAAA&#10;ACIBAABkcnMvZTJvRG9jLnhtbFBLBQYAAAAABgAGAFkBAABoBQAAAAA=&#10;">
              <v:fill on="f" focussize="0,0"/>
              <v:stroke on="f" weight="1.25pt"/>
              <v:imagedata o:title=""/>
              <o:lock v:ext="edit" aspectratio="f"/>
              <v:textbox inset="0mm,0mm,0mm,0mm" style="mso-fit-shape-to-text:t;">
                <w:txbxContent>
                  <w:p w14:paraId="3971BBC4">
                    <w:pPr>
                      <w:pStyle w:val="24"/>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CF83">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C4D5">
    <w:pPr>
      <w:pStyle w:val="25"/>
      <w:pBdr>
        <w:bottom w:val="single" w:color="auto" w:sz="4" w:space="1"/>
      </w:pBdr>
      <w:jc w:val="right"/>
      <w:rPr>
        <w:rFonts w:hint="eastAsia" w:ascii="宋体" w:hAnsi="宋体"/>
      </w:rPr>
    </w:pPr>
    <w:r>
      <w:rPr>
        <w:rFonts w:hint="eastAsia" w:ascii="宋体" w:hAnsi="宋体" w:cs="宋体"/>
        <w:bCs/>
        <w:lang w:eastAsia="zh-CN"/>
      </w:rPr>
      <w:t>台州湾文旅综合体项目餐厅工程（家具采购）</w:t>
    </w:r>
    <w:r>
      <w:rPr>
        <w:rFonts w:hint="eastAsia" w:ascii="宋体" w:hAnsi="宋体" w:cs="宋体"/>
        <w:bCs/>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61C67">
    <w:pPr>
      <w:pStyle w:val="25"/>
      <w:pBdr>
        <w:bottom w:val="single" w:color="auto" w:sz="4" w:space="1"/>
      </w:pBdr>
      <w:jc w:val="right"/>
      <w:rPr>
        <w:rFonts w:ascii="宋体" w:hAnsi="宋体"/>
      </w:rPr>
    </w:pPr>
    <w:r>
      <w:rPr>
        <w:rFonts w:hint="eastAsia" w:ascii="宋体" w:hAnsi="宋体" w:cs="宋体"/>
        <w:bCs/>
        <w:lang w:eastAsia="zh-CN"/>
      </w:rPr>
      <w:t>台州湾文旅综合体项目餐厅工程（家具采购）</w:t>
    </w:r>
    <w:r>
      <w:rPr>
        <w:rFonts w:hint="eastAsia" w:ascii="宋体" w:hAnsi="宋体" w:cs="宋体"/>
        <w:bCs/>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0EFC">
    <w:pPr>
      <w:pStyle w:val="25"/>
      <w:rPr>
        <w:rFonts w:hint="eastAsia"/>
      </w:rPr>
    </w:pPr>
    <w:r>
      <w:rPr>
        <w:rFonts w:hint="eastAsia"/>
      </w:rPr>
      <w:t xml:space="preserve">                                          </w:t>
    </w:r>
    <w:r>
      <w:rPr>
        <w:rFonts w:hint="eastAsia"/>
        <w:lang w:val="en-US" w:eastAsia="zh-CN"/>
      </w:rPr>
      <w:t xml:space="preserve">         </w:t>
    </w:r>
    <w:r>
      <w:rPr>
        <w:rFonts w:hint="eastAsia"/>
        <w:lang w:eastAsia="zh-CN"/>
      </w:rPr>
      <w:t>台州湾文旅综合体项目餐厅工程（家具采购）</w:t>
    </w:r>
    <w:r>
      <w:rPr>
        <w:rFonts w:hint="eastAsia"/>
        <w:lang w:val="en-US" w:eastAsia="zh-CN"/>
      </w:rPr>
      <w:t>采购</w:t>
    </w:r>
    <w:r>
      <w:rPr>
        <w:rFonts w:hint="eastAsia"/>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26E13">
    <w:pPr>
      <w:spacing w:line="20" w:lineRule="atLeast"/>
      <w:rPr>
        <w:rFonts w:hint="eastAsia"/>
        <w:b/>
        <w:color w:val="808080"/>
        <w:w w:val="66"/>
        <w:sz w:val="10"/>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3044">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C7718"/>
    <w:multiLevelType w:val="singleLevel"/>
    <w:tmpl w:val="A3EC7718"/>
    <w:lvl w:ilvl="0" w:tentative="0">
      <w:start w:val="1"/>
      <w:numFmt w:val="decimal"/>
      <w:lvlText w:val="%1."/>
      <w:lvlJc w:val="left"/>
      <w:pPr>
        <w:tabs>
          <w:tab w:val="left" w:pos="312"/>
        </w:tabs>
      </w:pPr>
    </w:lvl>
  </w:abstractNum>
  <w:abstractNum w:abstractNumId="1">
    <w:nsid w:val="B4DB5E29"/>
    <w:multiLevelType w:val="singleLevel"/>
    <w:tmpl w:val="B4DB5E29"/>
    <w:lvl w:ilvl="0" w:tentative="0">
      <w:start w:val="1"/>
      <w:numFmt w:val="decimal"/>
      <w:lvlText w:val="%1."/>
      <w:lvlJc w:val="left"/>
      <w:pPr>
        <w:tabs>
          <w:tab w:val="left" w:pos="312"/>
        </w:tabs>
      </w:pPr>
    </w:lvl>
  </w:abstractNum>
  <w:abstractNum w:abstractNumId="2">
    <w:nsid w:val="0000000D"/>
    <w:multiLevelType w:val="multilevel"/>
    <w:tmpl w:val="0000000D"/>
    <w:lvl w:ilvl="0" w:tentative="0">
      <w:start w:val="1"/>
      <w:numFmt w:val="decimal"/>
      <w:pStyle w:val="16"/>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6896B31"/>
    <w:multiLevelType w:val="singleLevel"/>
    <w:tmpl w:val="06896B31"/>
    <w:lvl w:ilvl="0" w:tentative="0">
      <w:start w:val="13"/>
      <w:numFmt w:val="chineseCounting"/>
      <w:suff w:val="nothing"/>
      <w:lvlText w:val="%1、"/>
      <w:lvlJc w:val="left"/>
      <w:rPr>
        <w:rFonts w:hint="eastAsia"/>
      </w:rPr>
    </w:lvl>
  </w:abstractNum>
  <w:abstractNum w:abstractNumId="5">
    <w:nsid w:val="26368315"/>
    <w:multiLevelType w:val="singleLevel"/>
    <w:tmpl w:val="26368315"/>
    <w:lvl w:ilvl="0" w:tentative="0">
      <w:start w:val="2"/>
      <w:numFmt w:val="chineseCounting"/>
      <w:suff w:val="space"/>
      <w:lvlText w:val="第%1章"/>
      <w:lvlJc w:val="left"/>
      <w:rPr>
        <w:rFonts w:hint="eastAsia"/>
      </w:rPr>
    </w:lvl>
  </w:abstractNum>
  <w:abstractNum w:abstractNumId="6">
    <w:nsid w:val="2B9F9580"/>
    <w:multiLevelType w:val="singleLevel"/>
    <w:tmpl w:val="2B9F9580"/>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7">
    <w:nsid w:val="3A3F4FB1"/>
    <w:multiLevelType w:val="multilevel"/>
    <w:tmpl w:val="3A3F4FB1"/>
    <w:lvl w:ilvl="0" w:tentative="0">
      <w:start w:val="1"/>
      <w:numFmt w:val="decimal"/>
      <w:lvlText w:val="%1."/>
      <w:lvlJc w:val="left"/>
      <w:pPr>
        <w:tabs>
          <w:tab w:val="left" w:pos="420"/>
        </w:tabs>
        <w:ind w:left="420" w:hanging="420"/>
      </w:pPr>
      <w:rPr>
        <w:rFonts w:hint="eastAsia"/>
        <w:b/>
        <w:i w:val="0"/>
      </w:rPr>
    </w:lvl>
    <w:lvl w:ilvl="1" w:tentative="0">
      <w:start w:val="1"/>
      <w:numFmt w:val="decimal"/>
      <w:isLgl/>
      <w:lvlText w:val="%1.%2."/>
      <w:lvlJc w:val="left"/>
      <w:pPr>
        <w:tabs>
          <w:tab w:val="left" w:pos="720"/>
        </w:tabs>
        <w:ind w:left="720" w:hanging="720"/>
      </w:pPr>
      <w:rPr>
        <w:rFonts w:hint="eastAsia" w:ascii="宋体"/>
        <w:b/>
        <w:color w:val="auto"/>
        <w:sz w:val="21"/>
      </w:rPr>
    </w:lvl>
    <w:lvl w:ilvl="2" w:tentative="0">
      <w:start w:val="1"/>
      <w:numFmt w:val="decimal"/>
      <w:isLgl/>
      <w:lvlText w:val="%1.%2.%3."/>
      <w:lvlJc w:val="left"/>
      <w:pPr>
        <w:tabs>
          <w:tab w:val="left" w:pos="720"/>
        </w:tabs>
        <w:ind w:left="720" w:hanging="720"/>
      </w:pPr>
      <w:rPr>
        <w:rFonts w:hint="eastAsia" w:ascii="宋体"/>
        <w:b/>
        <w:color w:val="auto"/>
        <w:sz w:val="21"/>
      </w:rPr>
    </w:lvl>
    <w:lvl w:ilvl="3" w:tentative="0">
      <w:start w:val="1"/>
      <w:numFmt w:val="decimal"/>
      <w:isLgl/>
      <w:lvlText w:val="%1.%2.%3.%4."/>
      <w:lvlJc w:val="left"/>
      <w:pPr>
        <w:tabs>
          <w:tab w:val="left" w:pos="1080"/>
        </w:tabs>
        <w:ind w:left="1080" w:hanging="1080"/>
      </w:pPr>
      <w:rPr>
        <w:rFonts w:hint="eastAsia" w:ascii="宋体"/>
        <w:b/>
        <w:color w:val="auto"/>
        <w:sz w:val="21"/>
      </w:rPr>
    </w:lvl>
    <w:lvl w:ilvl="4" w:tentative="0">
      <w:start w:val="1"/>
      <w:numFmt w:val="decimal"/>
      <w:isLgl/>
      <w:lvlText w:val="%1.%2.%3.%4.%5."/>
      <w:lvlJc w:val="left"/>
      <w:pPr>
        <w:tabs>
          <w:tab w:val="left" w:pos="1080"/>
        </w:tabs>
        <w:ind w:left="1080" w:hanging="1080"/>
      </w:pPr>
      <w:rPr>
        <w:rFonts w:hint="eastAsia" w:ascii="宋体"/>
        <w:b/>
        <w:color w:val="auto"/>
        <w:sz w:val="21"/>
      </w:rPr>
    </w:lvl>
    <w:lvl w:ilvl="5" w:tentative="0">
      <w:start w:val="1"/>
      <w:numFmt w:val="decimal"/>
      <w:isLgl/>
      <w:lvlText w:val="%1.%2.%3.%4.%5.%6."/>
      <w:lvlJc w:val="left"/>
      <w:pPr>
        <w:tabs>
          <w:tab w:val="left" w:pos="1440"/>
        </w:tabs>
        <w:ind w:left="1440" w:hanging="1440"/>
      </w:pPr>
      <w:rPr>
        <w:rFonts w:hint="eastAsia" w:ascii="宋体"/>
        <w:b/>
        <w:color w:val="auto"/>
        <w:sz w:val="21"/>
      </w:rPr>
    </w:lvl>
    <w:lvl w:ilvl="6" w:tentative="0">
      <w:start w:val="1"/>
      <w:numFmt w:val="decimal"/>
      <w:isLgl/>
      <w:lvlText w:val="%1.%2.%3.%4.%5.%6.%7."/>
      <w:lvlJc w:val="left"/>
      <w:pPr>
        <w:tabs>
          <w:tab w:val="left" w:pos="1800"/>
        </w:tabs>
        <w:ind w:left="1800" w:hanging="1800"/>
      </w:pPr>
      <w:rPr>
        <w:rFonts w:hint="eastAsia" w:ascii="宋体"/>
        <w:b/>
        <w:color w:val="auto"/>
        <w:sz w:val="21"/>
      </w:rPr>
    </w:lvl>
    <w:lvl w:ilvl="7" w:tentative="0">
      <w:start w:val="1"/>
      <w:numFmt w:val="decimal"/>
      <w:isLgl/>
      <w:lvlText w:val="%1.%2.%3.%4.%5.%6.%7.%8."/>
      <w:lvlJc w:val="left"/>
      <w:pPr>
        <w:tabs>
          <w:tab w:val="left" w:pos="1800"/>
        </w:tabs>
        <w:ind w:left="1800" w:hanging="1800"/>
      </w:pPr>
      <w:rPr>
        <w:rFonts w:hint="eastAsia" w:ascii="宋体"/>
        <w:b/>
        <w:color w:val="auto"/>
        <w:sz w:val="21"/>
      </w:rPr>
    </w:lvl>
    <w:lvl w:ilvl="8" w:tentative="0">
      <w:start w:val="1"/>
      <w:numFmt w:val="decimal"/>
      <w:isLgl/>
      <w:lvlText w:val="%1.%2.%3.%4.%5.%6.%7.%8.%9."/>
      <w:lvlJc w:val="left"/>
      <w:pPr>
        <w:tabs>
          <w:tab w:val="left" w:pos="2160"/>
        </w:tabs>
        <w:ind w:left="2160" w:hanging="2160"/>
      </w:pPr>
      <w:rPr>
        <w:rFonts w:hint="eastAsia" w:ascii="宋体"/>
        <w:b/>
        <w:color w:val="auto"/>
        <w:sz w:val="21"/>
      </w:rPr>
    </w:lvl>
  </w:abstractNum>
  <w:abstractNum w:abstractNumId="8">
    <w:nsid w:val="425D1158"/>
    <w:multiLevelType w:val="singleLevel"/>
    <w:tmpl w:val="425D1158"/>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9">
    <w:nsid w:val="68983562"/>
    <w:multiLevelType w:val="singleLevel"/>
    <w:tmpl w:val="68983562"/>
    <w:lvl w:ilvl="0" w:tentative="0">
      <w:start w:val="2"/>
      <w:numFmt w:val="chineseCounting"/>
      <w:suff w:val="nothing"/>
      <w:lvlText w:val="%1、"/>
      <w:lvlJc w:val="left"/>
      <w:rPr>
        <w:rFonts w:hint="eastAsia"/>
      </w:rPr>
    </w:lvl>
  </w:abstractNum>
  <w:num w:numId="1">
    <w:abstractNumId w:val="6"/>
  </w:num>
  <w:num w:numId="2">
    <w:abstractNumId w:val="2"/>
  </w:num>
  <w:num w:numId="3">
    <w:abstractNumId w:val="8"/>
  </w:num>
  <w:num w:numId="4">
    <w:abstractNumId w:val="5"/>
  </w:num>
  <w:num w:numId="5">
    <w:abstractNumId w:val="9"/>
  </w:num>
  <w:num w:numId="6">
    <w:abstractNumId w:val="0"/>
  </w:num>
  <w:num w:numId="7">
    <w:abstractNumId w:val="1"/>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Dc0ODI0ZWE0MTY3NzU2YmE0NDJiOGZmOWU3YWUifQ=="/>
  </w:docVars>
  <w:rsids>
    <w:rsidRoot w:val="00172A27"/>
    <w:rsid w:val="00022F61"/>
    <w:rsid w:val="00023E88"/>
    <w:rsid w:val="00025361"/>
    <w:rsid w:val="00026F8B"/>
    <w:rsid w:val="00033F4E"/>
    <w:rsid w:val="00042144"/>
    <w:rsid w:val="000442EE"/>
    <w:rsid w:val="00047125"/>
    <w:rsid w:val="000550F5"/>
    <w:rsid w:val="0006620D"/>
    <w:rsid w:val="00066544"/>
    <w:rsid w:val="000766B3"/>
    <w:rsid w:val="00076C6F"/>
    <w:rsid w:val="00077FB6"/>
    <w:rsid w:val="00082601"/>
    <w:rsid w:val="00087430"/>
    <w:rsid w:val="00091B71"/>
    <w:rsid w:val="00096B04"/>
    <w:rsid w:val="000A1056"/>
    <w:rsid w:val="000B025A"/>
    <w:rsid w:val="000B3FF9"/>
    <w:rsid w:val="000B69A0"/>
    <w:rsid w:val="000C1F0C"/>
    <w:rsid w:val="000C5B78"/>
    <w:rsid w:val="000C7955"/>
    <w:rsid w:val="000F21D7"/>
    <w:rsid w:val="00110258"/>
    <w:rsid w:val="0011285F"/>
    <w:rsid w:val="001151C2"/>
    <w:rsid w:val="00150F15"/>
    <w:rsid w:val="00157DD7"/>
    <w:rsid w:val="0016032B"/>
    <w:rsid w:val="00167A04"/>
    <w:rsid w:val="001B3EF2"/>
    <w:rsid w:val="001E36E4"/>
    <w:rsid w:val="0020205E"/>
    <w:rsid w:val="00207C17"/>
    <w:rsid w:val="00221B46"/>
    <w:rsid w:val="00247CAE"/>
    <w:rsid w:val="00252005"/>
    <w:rsid w:val="0025594D"/>
    <w:rsid w:val="00272931"/>
    <w:rsid w:val="00272D55"/>
    <w:rsid w:val="00290C54"/>
    <w:rsid w:val="002B2A4F"/>
    <w:rsid w:val="002B431F"/>
    <w:rsid w:val="002C27E7"/>
    <w:rsid w:val="002C32A5"/>
    <w:rsid w:val="002C32BD"/>
    <w:rsid w:val="002D4C35"/>
    <w:rsid w:val="002E24DE"/>
    <w:rsid w:val="002E4834"/>
    <w:rsid w:val="002F4922"/>
    <w:rsid w:val="00302939"/>
    <w:rsid w:val="00307CFA"/>
    <w:rsid w:val="00325A01"/>
    <w:rsid w:val="00331287"/>
    <w:rsid w:val="003606A0"/>
    <w:rsid w:val="00380FB9"/>
    <w:rsid w:val="00386DAE"/>
    <w:rsid w:val="00390FE6"/>
    <w:rsid w:val="0039143B"/>
    <w:rsid w:val="003A502B"/>
    <w:rsid w:val="003B59AC"/>
    <w:rsid w:val="003C7BD8"/>
    <w:rsid w:val="003D396D"/>
    <w:rsid w:val="003D58FD"/>
    <w:rsid w:val="0040335B"/>
    <w:rsid w:val="00406FBD"/>
    <w:rsid w:val="004152E9"/>
    <w:rsid w:val="0041580A"/>
    <w:rsid w:val="004158D1"/>
    <w:rsid w:val="0042178D"/>
    <w:rsid w:val="004322FF"/>
    <w:rsid w:val="004373E5"/>
    <w:rsid w:val="00463C96"/>
    <w:rsid w:val="00480E67"/>
    <w:rsid w:val="00495440"/>
    <w:rsid w:val="004A0076"/>
    <w:rsid w:val="004B4993"/>
    <w:rsid w:val="004C3A05"/>
    <w:rsid w:val="004E7187"/>
    <w:rsid w:val="004F219E"/>
    <w:rsid w:val="004F278E"/>
    <w:rsid w:val="004F32D2"/>
    <w:rsid w:val="005105A9"/>
    <w:rsid w:val="0051071B"/>
    <w:rsid w:val="00511753"/>
    <w:rsid w:val="00512300"/>
    <w:rsid w:val="00515927"/>
    <w:rsid w:val="00535D78"/>
    <w:rsid w:val="00551308"/>
    <w:rsid w:val="005728B2"/>
    <w:rsid w:val="00582FF7"/>
    <w:rsid w:val="00592882"/>
    <w:rsid w:val="005A5F5B"/>
    <w:rsid w:val="005B449F"/>
    <w:rsid w:val="005C5D17"/>
    <w:rsid w:val="005D0F5A"/>
    <w:rsid w:val="005E2CA7"/>
    <w:rsid w:val="005F348C"/>
    <w:rsid w:val="005F541D"/>
    <w:rsid w:val="0061082D"/>
    <w:rsid w:val="00611BD0"/>
    <w:rsid w:val="006141F8"/>
    <w:rsid w:val="006325B8"/>
    <w:rsid w:val="00650A94"/>
    <w:rsid w:val="00682808"/>
    <w:rsid w:val="006A2145"/>
    <w:rsid w:val="006A295E"/>
    <w:rsid w:val="006B42D1"/>
    <w:rsid w:val="006C6D2C"/>
    <w:rsid w:val="006D34C6"/>
    <w:rsid w:val="006D5483"/>
    <w:rsid w:val="006E158A"/>
    <w:rsid w:val="006E5864"/>
    <w:rsid w:val="006F3D7C"/>
    <w:rsid w:val="007030EB"/>
    <w:rsid w:val="0071122F"/>
    <w:rsid w:val="0073490D"/>
    <w:rsid w:val="00735B44"/>
    <w:rsid w:val="007432E2"/>
    <w:rsid w:val="007505A7"/>
    <w:rsid w:val="007600F2"/>
    <w:rsid w:val="007739BB"/>
    <w:rsid w:val="00790899"/>
    <w:rsid w:val="00794230"/>
    <w:rsid w:val="007A1223"/>
    <w:rsid w:val="007B3911"/>
    <w:rsid w:val="007E30F2"/>
    <w:rsid w:val="007F5D46"/>
    <w:rsid w:val="00810485"/>
    <w:rsid w:val="0082390A"/>
    <w:rsid w:val="00824A0E"/>
    <w:rsid w:val="00835D3B"/>
    <w:rsid w:val="00856546"/>
    <w:rsid w:val="008577E0"/>
    <w:rsid w:val="008640D3"/>
    <w:rsid w:val="00871C14"/>
    <w:rsid w:val="00874F58"/>
    <w:rsid w:val="008A0789"/>
    <w:rsid w:val="008A1D00"/>
    <w:rsid w:val="008A3A52"/>
    <w:rsid w:val="008B0041"/>
    <w:rsid w:val="008B452D"/>
    <w:rsid w:val="008B7ADB"/>
    <w:rsid w:val="008C2449"/>
    <w:rsid w:val="008E3002"/>
    <w:rsid w:val="008E75E0"/>
    <w:rsid w:val="00904310"/>
    <w:rsid w:val="009100B1"/>
    <w:rsid w:val="00912467"/>
    <w:rsid w:val="00937FD1"/>
    <w:rsid w:val="00941CEF"/>
    <w:rsid w:val="00952B82"/>
    <w:rsid w:val="009577EF"/>
    <w:rsid w:val="00966550"/>
    <w:rsid w:val="00974E89"/>
    <w:rsid w:val="0098363B"/>
    <w:rsid w:val="00997848"/>
    <w:rsid w:val="009B3263"/>
    <w:rsid w:val="009B60A2"/>
    <w:rsid w:val="009D586D"/>
    <w:rsid w:val="009E007B"/>
    <w:rsid w:val="00A0229B"/>
    <w:rsid w:val="00A050EF"/>
    <w:rsid w:val="00A075A5"/>
    <w:rsid w:val="00A3757E"/>
    <w:rsid w:val="00A52A3E"/>
    <w:rsid w:val="00A73CA8"/>
    <w:rsid w:val="00A747F2"/>
    <w:rsid w:val="00A75607"/>
    <w:rsid w:val="00A80B39"/>
    <w:rsid w:val="00A8691E"/>
    <w:rsid w:val="00A969DA"/>
    <w:rsid w:val="00AA18B8"/>
    <w:rsid w:val="00AA28BD"/>
    <w:rsid w:val="00B15929"/>
    <w:rsid w:val="00B31EA7"/>
    <w:rsid w:val="00B42EAF"/>
    <w:rsid w:val="00B6287A"/>
    <w:rsid w:val="00B64266"/>
    <w:rsid w:val="00B837C6"/>
    <w:rsid w:val="00B90075"/>
    <w:rsid w:val="00BA02CA"/>
    <w:rsid w:val="00BA28B1"/>
    <w:rsid w:val="00BA5B28"/>
    <w:rsid w:val="00BB6A74"/>
    <w:rsid w:val="00BB70CC"/>
    <w:rsid w:val="00BD1413"/>
    <w:rsid w:val="00BE23FE"/>
    <w:rsid w:val="00BF2E18"/>
    <w:rsid w:val="00C13A44"/>
    <w:rsid w:val="00C16E3D"/>
    <w:rsid w:val="00C33AD1"/>
    <w:rsid w:val="00C41B07"/>
    <w:rsid w:val="00C44574"/>
    <w:rsid w:val="00C553FE"/>
    <w:rsid w:val="00C5603A"/>
    <w:rsid w:val="00C564EB"/>
    <w:rsid w:val="00C75586"/>
    <w:rsid w:val="00C75EE2"/>
    <w:rsid w:val="00C83C92"/>
    <w:rsid w:val="00CA03BD"/>
    <w:rsid w:val="00CA23F0"/>
    <w:rsid w:val="00CA52D2"/>
    <w:rsid w:val="00CB7F51"/>
    <w:rsid w:val="00CC51F0"/>
    <w:rsid w:val="00D002D6"/>
    <w:rsid w:val="00D04F67"/>
    <w:rsid w:val="00D05226"/>
    <w:rsid w:val="00D0564E"/>
    <w:rsid w:val="00D1050C"/>
    <w:rsid w:val="00D17A63"/>
    <w:rsid w:val="00D24718"/>
    <w:rsid w:val="00D3516F"/>
    <w:rsid w:val="00D45252"/>
    <w:rsid w:val="00D512D8"/>
    <w:rsid w:val="00D5562B"/>
    <w:rsid w:val="00D6029C"/>
    <w:rsid w:val="00D93984"/>
    <w:rsid w:val="00DA7BA7"/>
    <w:rsid w:val="00DC15E4"/>
    <w:rsid w:val="00DD4A30"/>
    <w:rsid w:val="00DE241C"/>
    <w:rsid w:val="00DF3A0E"/>
    <w:rsid w:val="00E0459D"/>
    <w:rsid w:val="00E04C31"/>
    <w:rsid w:val="00E13287"/>
    <w:rsid w:val="00E31E31"/>
    <w:rsid w:val="00E328E5"/>
    <w:rsid w:val="00E41C2B"/>
    <w:rsid w:val="00E677C4"/>
    <w:rsid w:val="00EA256C"/>
    <w:rsid w:val="00EA5CA1"/>
    <w:rsid w:val="00EB1CB8"/>
    <w:rsid w:val="00EB594B"/>
    <w:rsid w:val="00EB6CA4"/>
    <w:rsid w:val="00EC7F27"/>
    <w:rsid w:val="00ED472A"/>
    <w:rsid w:val="00EE19B1"/>
    <w:rsid w:val="00EF3C16"/>
    <w:rsid w:val="00EF4667"/>
    <w:rsid w:val="00F06607"/>
    <w:rsid w:val="00F516AD"/>
    <w:rsid w:val="00F63855"/>
    <w:rsid w:val="00F667D3"/>
    <w:rsid w:val="00F66FA3"/>
    <w:rsid w:val="00F677E5"/>
    <w:rsid w:val="00F67A0A"/>
    <w:rsid w:val="00F7116A"/>
    <w:rsid w:val="00F7332B"/>
    <w:rsid w:val="00F85372"/>
    <w:rsid w:val="00F8617B"/>
    <w:rsid w:val="00F96566"/>
    <w:rsid w:val="00FC04E3"/>
    <w:rsid w:val="00FD2564"/>
    <w:rsid w:val="00FD2674"/>
    <w:rsid w:val="00FE5726"/>
    <w:rsid w:val="01C35DFF"/>
    <w:rsid w:val="01CF1907"/>
    <w:rsid w:val="01E36329"/>
    <w:rsid w:val="030D5B68"/>
    <w:rsid w:val="03A74AAC"/>
    <w:rsid w:val="03D101EC"/>
    <w:rsid w:val="050564FC"/>
    <w:rsid w:val="05B421C4"/>
    <w:rsid w:val="05DA01A8"/>
    <w:rsid w:val="06BC13FF"/>
    <w:rsid w:val="06C13ABA"/>
    <w:rsid w:val="06CD4F08"/>
    <w:rsid w:val="088A3C0C"/>
    <w:rsid w:val="08A22B86"/>
    <w:rsid w:val="08DB055E"/>
    <w:rsid w:val="08F513DA"/>
    <w:rsid w:val="093F6086"/>
    <w:rsid w:val="09895682"/>
    <w:rsid w:val="0995027D"/>
    <w:rsid w:val="09A73232"/>
    <w:rsid w:val="09D803DC"/>
    <w:rsid w:val="0A6842CE"/>
    <w:rsid w:val="0A8665B7"/>
    <w:rsid w:val="0AE0724A"/>
    <w:rsid w:val="0AFA42C5"/>
    <w:rsid w:val="0B3D5FCB"/>
    <w:rsid w:val="0CE13B3E"/>
    <w:rsid w:val="0D4F2B8B"/>
    <w:rsid w:val="0DA77743"/>
    <w:rsid w:val="0DFC6E71"/>
    <w:rsid w:val="0EFE40CF"/>
    <w:rsid w:val="0F853A69"/>
    <w:rsid w:val="113D7A62"/>
    <w:rsid w:val="114570F3"/>
    <w:rsid w:val="116C4EFB"/>
    <w:rsid w:val="11CF4443"/>
    <w:rsid w:val="128505D7"/>
    <w:rsid w:val="129C766D"/>
    <w:rsid w:val="12A366F5"/>
    <w:rsid w:val="12CA21B0"/>
    <w:rsid w:val="12D405A0"/>
    <w:rsid w:val="130167D3"/>
    <w:rsid w:val="131E7408"/>
    <w:rsid w:val="13254054"/>
    <w:rsid w:val="136B6D03"/>
    <w:rsid w:val="13746B1F"/>
    <w:rsid w:val="13905BC1"/>
    <w:rsid w:val="13912AE9"/>
    <w:rsid w:val="14107D1A"/>
    <w:rsid w:val="143C6801"/>
    <w:rsid w:val="14786F08"/>
    <w:rsid w:val="14891876"/>
    <w:rsid w:val="14E87377"/>
    <w:rsid w:val="15AA50E8"/>
    <w:rsid w:val="15B45EF5"/>
    <w:rsid w:val="15BE5DEB"/>
    <w:rsid w:val="161F6358"/>
    <w:rsid w:val="16344267"/>
    <w:rsid w:val="166348C9"/>
    <w:rsid w:val="166958B5"/>
    <w:rsid w:val="16912669"/>
    <w:rsid w:val="173E7BAD"/>
    <w:rsid w:val="1754074B"/>
    <w:rsid w:val="1798232A"/>
    <w:rsid w:val="17FA2967"/>
    <w:rsid w:val="18502FFE"/>
    <w:rsid w:val="185C7304"/>
    <w:rsid w:val="1907573A"/>
    <w:rsid w:val="1A5C63C4"/>
    <w:rsid w:val="1ADE7ECC"/>
    <w:rsid w:val="1BE6191F"/>
    <w:rsid w:val="1BF10299"/>
    <w:rsid w:val="1D11090B"/>
    <w:rsid w:val="1D3C254D"/>
    <w:rsid w:val="1D5619DD"/>
    <w:rsid w:val="1E0508CE"/>
    <w:rsid w:val="1E2819A6"/>
    <w:rsid w:val="1EA055B0"/>
    <w:rsid w:val="1F414F03"/>
    <w:rsid w:val="1FB6357B"/>
    <w:rsid w:val="1FE84E43"/>
    <w:rsid w:val="201B0BB3"/>
    <w:rsid w:val="219F6BD1"/>
    <w:rsid w:val="21B92876"/>
    <w:rsid w:val="21DC1180"/>
    <w:rsid w:val="22165FC1"/>
    <w:rsid w:val="222E6F7B"/>
    <w:rsid w:val="22757192"/>
    <w:rsid w:val="23864A5D"/>
    <w:rsid w:val="241636EE"/>
    <w:rsid w:val="244D4992"/>
    <w:rsid w:val="24757D5C"/>
    <w:rsid w:val="24920434"/>
    <w:rsid w:val="24A8700F"/>
    <w:rsid w:val="24BB6DB1"/>
    <w:rsid w:val="25606D56"/>
    <w:rsid w:val="26505D4C"/>
    <w:rsid w:val="271A1F21"/>
    <w:rsid w:val="280E1ADD"/>
    <w:rsid w:val="288C5814"/>
    <w:rsid w:val="290167D3"/>
    <w:rsid w:val="29AB71E3"/>
    <w:rsid w:val="2A8C0EFA"/>
    <w:rsid w:val="2AC82FD4"/>
    <w:rsid w:val="2AD02EB1"/>
    <w:rsid w:val="2BAE4BB8"/>
    <w:rsid w:val="2BDD5797"/>
    <w:rsid w:val="2C194708"/>
    <w:rsid w:val="2CC331FD"/>
    <w:rsid w:val="2CCA04A3"/>
    <w:rsid w:val="2CD83A18"/>
    <w:rsid w:val="2D6C2CA7"/>
    <w:rsid w:val="2D911F0B"/>
    <w:rsid w:val="2D9F180A"/>
    <w:rsid w:val="2DED0D1F"/>
    <w:rsid w:val="2E15390D"/>
    <w:rsid w:val="2EC43793"/>
    <w:rsid w:val="2EF80C18"/>
    <w:rsid w:val="2FD81D74"/>
    <w:rsid w:val="302E41AC"/>
    <w:rsid w:val="30BB7FBB"/>
    <w:rsid w:val="30ED6442"/>
    <w:rsid w:val="317174A6"/>
    <w:rsid w:val="31F005E4"/>
    <w:rsid w:val="32FF5E98"/>
    <w:rsid w:val="33003623"/>
    <w:rsid w:val="3364747B"/>
    <w:rsid w:val="336A38E6"/>
    <w:rsid w:val="34C630A6"/>
    <w:rsid w:val="35A20FF6"/>
    <w:rsid w:val="35B73E21"/>
    <w:rsid w:val="35FF0824"/>
    <w:rsid w:val="367D2A73"/>
    <w:rsid w:val="36C02D33"/>
    <w:rsid w:val="371B0D28"/>
    <w:rsid w:val="37294BDE"/>
    <w:rsid w:val="375004A1"/>
    <w:rsid w:val="37A50775"/>
    <w:rsid w:val="37F92931"/>
    <w:rsid w:val="38352256"/>
    <w:rsid w:val="38E724B8"/>
    <w:rsid w:val="38FE1FBD"/>
    <w:rsid w:val="390F39AA"/>
    <w:rsid w:val="3A401349"/>
    <w:rsid w:val="3A86400A"/>
    <w:rsid w:val="3A885DF8"/>
    <w:rsid w:val="3AFD2A24"/>
    <w:rsid w:val="3B12471E"/>
    <w:rsid w:val="3C9C7215"/>
    <w:rsid w:val="3D7D0244"/>
    <w:rsid w:val="3D7F0546"/>
    <w:rsid w:val="3FC7079B"/>
    <w:rsid w:val="3FDF0D9C"/>
    <w:rsid w:val="3FE07A80"/>
    <w:rsid w:val="425F0D19"/>
    <w:rsid w:val="42A06A3C"/>
    <w:rsid w:val="42A953BF"/>
    <w:rsid w:val="433B0B2A"/>
    <w:rsid w:val="435D160E"/>
    <w:rsid w:val="43E47813"/>
    <w:rsid w:val="444D4EF7"/>
    <w:rsid w:val="447079F7"/>
    <w:rsid w:val="44FE41E7"/>
    <w:rsid w:val="44FF513A"/>
    <w:rsid w:val="451F3698"/>
    <w:rsid w:val="45614EB8"/>
    <w:rsid w:val="45B6577B"/>
    <w:rsid w:val="460D5BCD"/>
    <w:rsid w:val="468278E6"/>
    <w:rsid w:val="468E43FE"/>
    <w:rsid w:val="46CE00FB"/>
    <w:rsid w:val="46DC0CE7"/>
    <w:rsid w:val="476C71A1"/>
    <w:rsid w:val="49234FAC"/>
    <w:rsid w:val="493041AC"/>
    <w:rsid w:val="4A5A3B51"/>
    <w:rsid w:val="4B3F510C"/>
    <w:rsid w:val="4BB65798"/>
    <w:rsid w:val="4BF10A2C"/>
    <w:rsid w:val="4C4208EE"/>
    <w:rsid w:val="4D2609F5"/>
    <w:rsid w:val="4D374DB4"/>
    <w:rsid w:val="4D800D3B"/>
    <w:rsid w:val="4D9F7710"/>
    <w:rsid w:val="4DB14BCF"/>
    <w:rsid w:val="4DB65505"/>
    <w:rsid w:val="4DCC2E9C"/>
    <w:rsid w:val="4DEE642A"/>
    <w:rsid w:val="4DF97B48"/>
    <w:rsid w:val="4E40254C"/>
    <w:rsid w:val="4F12289B"/>
    <w:rsid w:val="4F933D0F"/>
    <w:rsid w:val="506D4592"/>
    <w:rsid w:val="50F90771"/>
    <w:rsid w:val="5172738F"/>
    <w:rsid w:val="51B77244"/>
    <w:rsid w:val="51D53635"/>
    <w:rsid w:val="51DD715C"/>
    <w:rsid w:val="52042243"/>
    <w:rsid w:val="52385729"/>
    <w:rsid w:val="52DA52F6"/>
    <w:rsid w:val="53307101"/>
    <w:rsid w:val="53B80121"/>
    <w:rsid w:val="540029D4"/>
    <w:rsid w:val="55163C52"/>
    <w:rsid w:val="55482A3A"/>
    <w:rsid w:val="557F77F3"/>
    <w:rsid w:val="559E091D"/>
    <w:rsid w:val="55D14AC0"/>
    <w:rsid w:val="564B6219"/>
    <w:rsid w:val="574036C7"/>
    <w:rsid w:val="574B068E"/>
    <w:rsid w:val="57B503D9"/>
    <w:rsid w:val="58053921"/>
    <w:rsid w:val="58D50AA5"/>
    <w:rsid w:val="58D91320"/>
    <w:rsid w:val="590803BD"/>
    <w:rsid w:val="591E2269"/>
    <w:rsid w:val="591F662B"/>
    <w:rsid w:val="595D173E"/>
    <w:rsid w:val="59C00D01"/>
    <w:rsid w:val="5A596738"/>
    <w:rsid w:val="5A64590F"/>
    <w:rsid w:val="5B016795"/>
    <w:rsid w:val="5C032D84"/>
    <w:rsid w:val="5C8F6F7C"/>
    <w:rsid w:val="5CB34F40"/>
    <w:rsid w:val="5CED41B0"/>
    <w:rsid w:val="5D1C6C66"/>
    <w:rsid w:val="5D277D14"/>
    <w:rsid w:val="5D5552CD"/>
    <w:rsid w:val="5DBD392A"/>
    <w:rsid w:val="5DBD7262"/>
    <w:rsid w:val="5E6131AA"/>
    <w:rsid w:val="5ECD5376"/>
    <w:rsid w:val="5FB827D3"/>
    <w:rsid w:val="5FE64E23"/>
    <w:rsid w:val="5FF85DA1"/>
    <w:rsid w:val="60395667"/>
    <w:rsid w:val="61634383"/>
    <w:rsid w:val="61931AD5"/>
    <w:rsid w:val="61965A39"/>
    <w:rsid w:val="61A0068A"/>
    <w:rsid w:val="61EA1256"/>
    <w:rsid w:val="62027DCB"/>
    <w:rsid w:val="62403F00"/>
    <w:rsid w:val="624B5B3C"/>
    <w:rsid w:val="626B5121"/>
    <w:rsid w:val="62B40D3D"/>
    <w:rsid w:val="62EA3E6A"/>
    <w:rsid w:val="63BD68CB"/>
    <w:rsid w:val="63D2427C"/>
    <w:rsid w:val="63D87E03"/>
    <w:rsid w:val="647A73BB"/>
    <w:rsid w:val="647C1FC7"/>
    <w:rsid w:val="65081DEE"/>
    <w:rsid w:val="659B10A9"/>
    <w:rsid w:val="65C72CDF"/>
    <w:rsid w:val="66533FE7"/>
    <w:rsid w:val="666106F4"/>
    <w:rsid w:val="668043D1"/>
    <w:rsid w:val="67EE0225"/>
    <w:rsid w:val="68103613"/>
    <w:rsid w:val="69384FEB"/>
    <w:rsid w:val="69565452"/>
    <w:rsid w:val="6A0546FF"/>
    <w:rsid w:val="6B7C4F42"/>
    <w:rsid w:val="6BE83DFD"/>
    <w:rsid w:val="6CE33832"/>
    <w:rsid w:val="6CFB48B3"/>
    <w:rsid w:val="6D4A2BEE"/>
    <w:rsid w:val="6D582400"/>
    <w:rsid w:val="6D6A0801"/>
    <w:rsid w:val="6D7A1AA2"/>
    <w:rsid w:val="6DA700C4"/>
    <w:rsid w:val="6DD21EDE"/>
    <w:rsid w:val="6E683FCD"/>
    <w:rsid w:val="6E7C0E27"/>
    <w:rsid w:val="6EE601AB"/>
    <w:rsid w:val="6F14568E"/>
    <w:rsid w:val="6F286FD3"/>
    <w:rsid w:val="6F4F2504"/>
    <w:rsid w:val="6F5140F5"/>
    <w:rsid w:val="6FBF2B9C"/>
    <w:rsid w:val="6FE21452"/>
    <w:rsid w:val="70103B63"/>
    <w:rsid w:val="70687A06"/>
    <w:rsid w:val="716F0B64"/>
    <w:rsid w:val="727017A2"/>
    <w:rsid w:val="72840F6C"/>
    <w:rsid w:val="72EB2B55"/>
    <w:rsid w:val="72FD6FCD"/>
    <w:rsid w:val="738D3A52"/>
    <w:rsid w:val="74B81834"/>
    <w:rsid w:val="74D908CB"/>
    <w:rsid w:val="751C396C"/>
    <w:rsid w:val="75E81314"/>
    <w:rsid w:val="76097F30"/>
    <w:rsid w:val="764E3D4E"/>
    <w:rsid w:val="767C25D7"/>
    <w:rsid w:val="76D46F31"/>
    <w:rsid w:val="771630A2"/>
    <w:rsid w:val="77617AE9"/>
    <w:rsid w:val="785C6E37"/>
    <w:rsid w:val="78695823"/>
    <w:rsid w:val="79786860"/>
    <w:rsid w:val="7A803E13"/>
    <w:rsid w:val="7AA77B7B"/>
    <w:rsid w:val="7ADA6E5C"/>
    <w:rsid w:val="7B456551"/>
    <w:rsid w:val="7B9B33C3"/>
    <w:rsid w:val="7C813895"/>
    <w:rsid w:val="7CDE2ED7"/>
    <w:rsid w:val="7D152AD3"/>
    <w:rsid w:val="7E4360FD"/>
    <w:rsid w:val="7E6065D4"/>
    <w:rsid w:val="7E7F7F16"/>
    <w:rsid w:val="7F352976"/>
    <w:rsid w:val="7F5C4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39">
    <w:name w:val="Default Paragraph Font"/>
    <w:qFormat/>
    <w:uiPriority w:val="0"/>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Indent"/>
    <w:basedOn w:val="1"/>
    <w:next w:val="3"/>
    <w:link w:val="48"/>
    <w:qFormat/>
    <w:uiPriority w:val="0"/>
    <w:pPr>
      <w:spacing w:line="200" w:lineRule="atLeast"/>
      <w:ind w:firstLine="301"/>
    </w:pPr>
    <w:rPr>
      <w:sz w:val="21"/>
    </w:rPr>
  </w:style>
  <w:style w:type="paragraph" w:styleId="3">
    <w:name w:val="envelope return"/>
    <w:basedOn w:val="1"/>
    <w:qFormat/>
    <w:uiPriority w:val="0"/>
    <w:pPr>
      <w:snapToGrid w:val="0"/>
    </w:pPr>
    <w:rPr>
      <w:rFonts w:ascii="Arial" w:hAnsi="Arial"/>
    </w:rPr>
  </w:style>
  <w:style w:type="paragraph" w:styleId="7">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8">
    <w:name w:val="Normal Indent"/>
    <w:basedOn w:val="1"/>
    <w:next w:val="1"/>
    <w:qFormat/>
    <w:uiPriority w:val="0"/>
    <w:pPr>
      <w:ind w:firstLine="420"/>
    </w:pPr>
    <w:rPr>
      <w:sz w:val="21"/>
      <w:szCs w:val="20"/>
    </w:rPr>
  </w:style>
  <w:style w:type="paragraph" w:styleId="9">
    <w:name w:val="caption"/>
    <w:basedOn w:val="1"/>
    <w:next w:val="1"/>
    <w:qFormat/>
    <w:uiPriority w:val="0"/>
    <w:pPr>
      <w:spacing w:before="152" w:beforeLines="0" w:after="160" w:afterLines="0"/>
    </w:pPr>
    <w:rPr>
      <w:rFonts w:ascii="Arial" w:hAnsi="Arial" w:eastAsia="黑体" w:cs="Arial"/>
      <w:sz w:val="20"/>
      <w:szCs w:val="20"/>
    </w:rPr>
  </w:style>
  <w:style w:type="paragraph" w:styleId="10">
    <w:name w:val="List Bullet"/>
    <w:basedOn w:val="1"/>
    <w:next w:val="1"/>
    <w:unhideWhenUsed/>
    <w:qFormat/>
    <w:uiPriority w:val="99"/>
    <w:pPr>
      <w:numPr>
        <w:ilvl w:val="0"/>
        <w:numId w:val="1"/>
      </w:numPr>
    </w:pPr>
  </w:style>
  <w:style w:type="paragraph" w:styleId="11">
    <w:name w:val="annotation text"/>
    <w:basedOn w:val="1"/>
    <w:link w:val="46"/>
    <w:unhideWhenUsed/>
    <w:qFormat/>
    <w:uiPriority w:val="99"/>
    <w:pPr>
      <w:jc w:val="left"/>
    </w:pPr>
  </w:style>
  <w:style w:type="paragraph" w:styleId="12">
    <w:name w:val="Body Text 3"/>
    <w:basedOn w:val="1"/>
    <w:qFormat/>
    <w:uiPriority w:val="0"/>
    <w:pPr>
      <w:snapToGrid w:val="0"/>
      <w:spacing w:before="50" w:beforeLines="0" w:after="50" w:afterLines="0"/>
    </w:pPr>
    <w:rPr>
      <w:rFonts w:hAnsi="宋体" w:eastAsia="仿宋_GB2312"/>
      <w:b/>
      <w:bCs/>
      <w:sz w:val="24"/>
      <w:szCs w:val="20"/>
    </w:rPr>
  </w:style>
  <w:style w:type="paragraph" w:styleId="13">
    <w:name w:val="Body Text"/>
    <w:basedOn w:val="1"/>
    <w:next w:val="14"/>
    <w:link w:val="47"/>
    <w:qFormat/>
    <w:uiPriority w:val="0"/>
    <w:pPr>
      <w:spacing w:after="120" w:afterLines="0"/>
    </w:pPr>
    <w:rPr>
      <w:sz w:val="21"/>
    </w:rPr>
  </w:style>
  <w:style w:type="paragraph" w:styleId="14">
    <w:name w:val="Body Text First Indent"/>
    <w:basedOn w:val="13"/>
    <w:next w:val="15"/>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15">
    <w:name w:val="toc 6"/>
    <w:basedOn w:val="1"/>
    <w:next w:val="1"/>
    <w:qFormat/>
    <w:uiPriority w:val="39"/>
    <w:pPr>
      <w:ind w:left="1050"/>
      <w:jc w:val="left"/>
    </w:pPr>
    <w:rPr>
      <w:rFonts w:ascii="Calibri" w:hAnsi="Calibri" w:cs="Calibri"/>
      <w:sz w:val="18"/>
      <w:szCs w:val="18"/>
    </w:rPr>
  </w:style>
  <w:style w:type="paragraph" w:styleId="16">
    <w:name w:val="List Number 3"/>
    <w:basedOn w:val="1"/>
    <w:qFormat/>
    <w:uiPriority w:val="0"/>
    <w:pPr>
      <w:numPr>
        <w:ilvl w:val="0"/>
        <w:numId w:val="2"/>
      </w:numPr>
      <w:tabs>
        <w:tab w:val="left" w:pos="1200"/>
      </w:tabs>
      <w:ind w:left="720"/>
    </w:pPr>
    <w:rPr>
      <w:sz w:val="21"/>
    </w:rPr>
  </w:style>
  <w:style w:type="paragraph" w:styleId="17">
    <w:name w:val="List 2"/>
    <w:basedOn w:val="1"/>
    <w:qFormat/>
    <w:uiPriority w:val="0"/>
    <w:pPr>
      <w:ind w:leftChars="200" w:hanging="200" w:hangingChars="200"/>
    </w:pPr>
  </w:style>
  <w:style w:type="paragraph" w:styleId="18">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19">
    <w:name w:val="List Bullet 2"/>
    <w:basedOn w:val="1"/>
    <w:next w:val="10"/>
    <w:unhideWhenUsed/>
    <w:qFormat/>
    <w:uiPriority w:val="99"/>
    <w:pPr>
      <w:numPr>
        <w:ilvl w:val="0"/>
        <w:numId w:val="3"/>
      </w:numPr>
    </w:pPr>
  </w:style>
  <w:style w:type="paragraph" w:styleId="20">
    <w:name w:val="Plain Text"/>
    <w:basedOn w:val="1"/>
    <w:next w:val="1"/>
    <w:link w:val="49"/>
    <w:qFormat/>
    <w:uiPriority w:val="0"/>
    <w:pPr>
      <w:spacing w:before="156" w:beforeLines="50" w:after="156" w:afterLines="50" w:line="400" w:lineRule="atLeast"/>
    </w:pPr>
    <w:rPr>
      <w:rFonts w:hint="eastAsia" w:ascii="宋体" w:hAnsi="Courier New"/>
      <w:b/>
      <w:sz w:val="24"/>
    </w:rPr>
  </w:style>
  <w:style w:type="paragraph" w:styleId="21">
    <w:name w:val="Date"/>
    <w:basedOn w:val="1"/>
    <w:next w:val="1"/>
    <w:qFormat/>
    <w:uiPriority w:val="0"/>
    <w:pPr>
      <w:ind w:leftChars="2500"/>
    </w:pPr>
    <w:rPr>
      <w:rFonts w:eastAsia="楷体_GB2312"/>
      <w:sz w:val="32"/>
      <w:szCs w:val="20"/>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50"/>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sz w:val="18"/>
      <w:szCs w:val="18"/>
    </w:rPr>
  </w:style>
  <w:style w:type="paragraph" w:styleId="25">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rPr>
      <w:sz w:val="21"/>
    </w:rPr>
  </w:style>
  <w:style w:type="paragraph" w:styleId="27">
    <w:name w:val="Subtitle"/>
    <w:basedOn w:val="1"/>
    <w:next w:val="1"/>
    <w:qFormat/>
    <w:uiPriority w:val="11"/>
    <w:pPr>
      <w:spacing w:after="60"/>
      <w:jc w:val="center"/>
      <w:outlineLvl w:val="1"/>
    </w:pPr>
    <w:rPr>
      <w:rFonts w:ascii="Cambria" w:hAnsi="Cambria"/>
    </w:rPr>
  </w:style>
  <w:style w:type="paragraph" w:styleId="28">
    <w:name w:val="List"/>
    <w:basedOn w:val="1"/>
    <w:qFormat/>
    <w:uiPriority w:val="0"/>
    <w:pPr>
      <w:ind w:left="200" w:hanging="200" w:hangingChars="200"/>
    </w:pPr>
  </w:style>
  <w:style w:type="paragraph" w:styleId="29">
    <w:name w:val="footnote text"/>
    <w:basedOn w:val="1"/>
    <w:qFormat/>
    <w:uiPriority w:val="0"/>
    <w:pPr>
      <w:snapToGrid w:val="0"/>
      <w:jc w:val="left"/>
    </w:pPr>
    <w:rPr>
      <w:rFonts w:eastAsia="仿宋_GB2312"/>
      <w:sz w:val="18"/>
      <w:szCs w:val="20"/>
    </w:rPr>
  </w:style>
  <w:style w:type="paragraph" w:styleId="30">
    <w:name w:val="Body Text Indent 3"/>
    <w:basedOn w:val="1"/>
    <w:qFormat/>
    <w:uiPriority w:val="0"/>
    <w:pPr>
      <w:spacing w:after="120" w:afterLines="0"/>
      <w:ind w:left="420" w:leftChars="200"/>
    </w:pPr>
    <w:rPr>
      <w:sz w:val="16"/>
      <w:szCs w:val="16"/>
    </w:rPr>
  </w:style>
  <w:style w:type="paragraph" w:styleId="3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link w:val="53"/>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4">
    <w:name w:val="Title"/>
    <w:basedOn w:val="1"/>
    <w:next w:val="1"/>
    <w:link w:val="54"/>
    <w:qFormat/>
    <w:uiPriority w:val="0"/>
    <w:pPr>
      <w:spacing w:before="240" w:beforeLines="0" w:after="60" w:afterLines="0"/>
      <w:jc w:val="center"/>
      <w:outlineLvl w:val="0"/>
    </w:pPr>
    <w:rPr>
      <w:rFonts w:ascii="Cambria" w:hAnsi="Cambria" w:eastAsia="Cambria"/>
      <w:b/>
      <w:sz w:val="32"/>
      <w:szCs w:val="32"/>
    </w:rPr>
  </w:style>
  <w:style w:type="paragraph" w:styleId="35">
    <w:name w:val="annotation subject"/>
    <w:basedOn w:val="11"/>
    <w:next w:val="11"/>
    <w:link w:val="55"/>
    <w:unhideWhenUsed/>
    <w:qFormat/>
    <w:uiPriority w:val="99"/>
    <w:rPr>
      <w:b/>
      <w:bCs/>
    </w:rPr>
  </w:style>
  <w:style w:type="paragraph" w:styleId="36">
    <w:name w:val="Body Text First Indent 2"/>
    <w:basedOn w:val="2"/>
    <w:qFormat/>
    <w:uiPriority w:val="0"/>
    <w:pPr>
      <w:spacing w:after="120" w:afterLines="0" w:afterAutospacing="0" w:line="240" w:lineRule="auto"/>
      <w:ind w:left="420" w:leftChars="200" w:firstLine="420" w:firstLineChars="200"/>
    </w:pPr>
    <w:rPr>
      <w:rFonts w:ascii="等线" w:hAnsi="等线" w:eastAsia="等线"/>
      <w:sz w:val="21"/>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character" w:customStyle="1" w:styleId="46">
    <w:name w:val="批注文字 字符"/>
    <w:link w:val="11"/>
    <w:semiHidden/>
    <w:qFormat/>
    <w:uiPriority w:val="99"/>
    <w:rPr>
      <w:kern w:val="2"/>
      <w:sz w:val="28"/>
      <w:szCs w:val="24"/>
    </w:rPr>
  </w:style>
  <w:style w:type="character" w:customStyle="1" w:styleId="47">
    <w:name w:val="正文文本 字符1"/>
    <w:link w:val="13"/>
    <w:qFormat/>
    <w:uiPriority w:val="0"/>
    <w:rPr>
      <w:kern w:val="2"/>
      <w:sz w:val="21"/>
      <w:szCs w:val="24"/>
    </w:rPr>
  </w:style>
  <w:style w:type="character" w:customStyle="1" w:styleId="48">
    <w:name w:val="正文文本缩进 字符"/>
    <w:link w:val="2"/>
    <w:qFormat/>
    <w:uiPriority w:val="0"/>
    <w:rPr>
      <w:kern w:val="2"/>
      <w:sz w:val="21"/>
      <w:szCs w:val="24"/>
    </w:rPr>
  </w:style>
  <w:style w:type="character" w:customStyle="1" w:styleId="49">
    <w:name w:val="纯文本 字符"/>
    <w:link w:val="20"/>
    <w:qFormat/>
    <w:uiPriority w:val="0"/>
    <w:rPr>
      <w:rFonts w:hint="eastAsia" w:ascii="宋体" w:hAnsi="Courier New" w:eastAsia="宋体" w:cs="宋体"/>
      <w:b/>
      <w:kern w:val="2"/>
      <w:sz w:val="24"/>
      <w:szCs w:val="24"/>
    </w:rPr>
  </w:style>
  <w:style w:type="character" w:customStyle="1" w:styleId="50">
    <w:name w:val="批注框文本 字符"/>
    <w:link w:val="23"/>
    <w:qFormat/>
    <w:uiPriority w:val="0"/>
    <w:rPr>
      <w:kern w:val="2"/>
      <w:sz w:val="18"/>
      <w:szCs w:val="18"/>
    </w:rPr>
  </w:style>
  <w:style w:type="character" w:customStyle="1" w:styleId="51">
    <w:name w:val="页脚 字符"/>
    <w:link w:val="24"/>
    <w:qFormat/>
    <w:uiPriority w:val="0"/>
    <w:rPr>
      <w:kern w:val="2"/>
      <w:sz w:val="18"/>
      <w:szCs w:val="18"/>
    </w:rPr>
  </w:style>
  <w:style w:type="character" w:customStyle="1" w:styleId="52">
    <w:name w:val="页眉 字符"/>
    <w:link w:val="25"/>
    <w:qFormat/>
    <w:uiPriority w:val="0"/>
    <w:rPr>
      <w:kern w:val="2"/>
      <w:sz w:val="18"/>
      <w:szCs w:val="18"/>
    </w:rPr>
  </w:style>
  <w:style w:type="character" w:customStyle="1" w:styleId="53">
    <w:name w:val="普通(网站) 字符"/>
    <w:link w:val="33"/>
    <w:qFormat/>
    <w:uiPriority w:val="0"/>
    <w:rPr>
      <w:rFonts w:hint="eastAsia" w:ascii="宋体" w:hAnsi="宋体" w:eastAsia="宋体" w:cs="宋体"/>
      <w:sz w:val="24"/>
      <w:szCs w:val="24"/>
    </w:rPr>
  </w:style>
  <w:style w:type="character" w:customStyle="1" w:styleId="54">
    <w:name w:val="标题 字符1"/>
    <w:link w:val="34"/>
    <w:qFormat/>
    <w:uiPriority w:val="0"/>
    <w:rPr>
      <w:rFonts w:ascii="Cambria" w:hAnsi="Cambria" w:eastAsia="Cambria" w:cs="Times New Roman"/>
      <w:b/>
      <w:kern w:val="2"/>
      <w:sz w:val="32"/>
      <w:szCs w:val="32"/>
    </w:rPr>
  </w:style>
  <w:style w:type="character" w:customStyle="1" w:styleId="55">
    <w:name w:val="批注主题 字符"/>
    <w:link w:val="35"/>
    <w:semiHidden/>
    <w:qFormat/>
    <w:uiPriority w:val="99"/>
    <w:rPr>
      <w:b/>
      <w:bCs/>
      <w:kern w:val="2"/>
      <w:sz w:val="28"/>
      <w:szCs w:val="24"/>
    </w:rPr>
  </w:style>
  <w:style w:type="paragraph" w:customStyle="1" w:styleId="56">
    <w:name w:val="4、正文"/>
    <w:basedOn w:val="1"/>
    <w:qFormat/>
    <w:uiPriority w:val="0"/>
    <w:pPr>
      <w:ind w:firstLine="200" w:firstLineChars="200"/>
    </w:pPr>
    <w:rPr>
      <w:rFonts w:ascii="宋体"/>
      <w:sz w:val="24"/>
      <w:szCs w:val="28"/>
    </w:rPr>
  </w:style>
  <w:style w:type="character" w:customStyle="1" w:styleId="57">
    <w:name w:val="标题 1 Char Char"/>
    <w:qFormat/>
    <w:uiPriority w:val="0"/>
    <w:rPr>
      <w:rFonts w:eastAsia="宋体"/>
      <w:b/>
      <w:spacing w:val="-2"/>
      <w:sz w:val="24"/>
      <w:lang w:val="en-US" w:eastAsia="zh-CN" w:bidi="ar-SA"/>
    </w:rPr>
  </w:style>
  <w:style w:type="character" w:customStyle="1" w:styleId="58">
    <w:name w:val="正文文本 字符"/>
    <w:qFormat/>
    <w:uiPriority w:val="0"/>
    <w:rPr>
      <w:kern w:val="2"/>
      <w:sz w:val="21"/>
      <w:szCs w:val="24"/>
    </w:rPr>
  </w:style>
  <w:style w:type="character" w:customStyle="1" w:styleId="59">
    <w:name w:val="font11"/>
    <w:qFormat/>
    <w:uiPriority w:val="0"/>
    <w:rPr>
      <w:rFonts w:hint="eastAsia" w:ascii="宋体" w:hAnsi="宋体" w:eastAsia="宋体" w:cs="宋体"/>
      <w:color w:val="000000"/>
      <w:sz w:val="20"/>
      <w:szCs w:val="20"/>
      <w:u w:val="none"/>
    </w:rPr>
  </w:style>
  <w:style w:type="character" w:customStyle="1" w:styleId="60">
    <w:name w:val="无"/>
    <w:qFormat/>
    <w:uiPriority w:val="0"/>
  </w:style>
  <w:style w:type="character" w:customStyle="1" w:styleId="61">
    <w:name w:val="正文文本缩进 Char1"/>
    <w:qFormat/>
    <w:uiPriority w:val="0"/>
    <w:rPr>
      <w:kern w:val="2"/>
      <w:sz w:val="21"/>
      <w:szCs w:val="24"/>
    </w:rPr>
  </w:style>
  <w:style w:type="character" w:customStyle="1" w:styleId="62">
    <w:name w:val="正文缩进 Char"/>
    <w:qFormat/>
    <w:uiPriority w:val="0"/>
  </w:style>
  <w:style w:type="character" w:customStyle="1" w:styleId="63">
    <w:name w:val="纯文本 Char1"/>
    <w:qFormat/>
    <w:uiPriority w:val="0"/>
    <w:rPr>
      <w:rFonts w:ascii="宋体" w:hAnsi="Courier New" w:eastAsia="宋体"/>
      <w:kern w:val="2"/>
      <w:sz w:val="24"/>
      <w:szCs w:val="24"/>
      <w:lang w:val="en-US" w:eastAsia="zh-CN" w:bidi="ar-SA"/>
    </w:rPr>
  </w:style>
  <w:style w:type="character" w:customStyle="1" w:styleId="64">
    <w:name w:val="纯文本 Char"/>
    <w:qFormat/>
    <w:uiPriority w:val="0"/>
    <w:rPr>
      <w:rFonts w:ascii="宋体" w:hAnsi="Courier New" w:eastAsia="宋体"/>
      <w:kern w:val="2"/>
      <w:sz w:val="24"/>
      <w:szCs w:val="24"/>
      <w:lang w:val="en-US" w:eastAsia="zh-CN" w:bidi="ar-SA"/>
    </w:rPr>
  </w:style>
  <w:style w:type="character" w:customStyle="1" w:styleId="65">
    <w:name w:val="font01"/>
    <w:qFormat/>
    <w:uiPriority w:val="0"/>
    <w:rPr>
      <w:rFonts w:hint="eastAsia" w:ascii="宋体" w:hAnsi="宋体" w:eastAsia="宋体" w:cs="宋体"/>
      <w:b/>
      <w:color w:val="FF0000"/>
      <w:sz w:val="18"/>
      <w:szCs w:val="18"/>
      <w:u w:val="none"/>
    </w:rPr>
  </w:style>
  <w:style w:type="character" w:customStyle="1" w:styleId="66">
    <w:name w:val="font31"/>
    <w:qFormat/>
    <w:uiPriority w:val="0"/>
    <w:rPr>
      <w:rFonts w:hint="eastAsia" w:ascii="宋体" w:hAnsi="宋体" w:eastAsia="宋体" w:cs="宋体"/>
      <w:color w:val="FF0000"/>
      <w:sz w:val="18"/>
      <w:szCs w:val="18"/>
      <w:u w:val="none"/>
    </w:rPr>
  </w:style>
  <w:style w:type="character" w:customStyle="1" w:styleId="67">
    <w:name w:val="font41"/>
    <w:basedOn w:val="39"/>
    <w:qFormat/>
    <w:uiPriority w:val="0"/>
    <w:rPr>
      <w:rFonts w:hint="eastAsia" w:ascii="宋体" w:hAnsi="宋体" w:eastAsia="宋体" w:cs="宋体"/>
      <w:color w:val="000000"/>
      <w:sz w:val="18"/>
      <w:szCs w:val="18"/>
      <w:u w:val="none"/>
    </w:rPr>
  </w:style>
  <w:style w:type="character" w:customStyle="1" w:styleId="68">
    <w:name w:val="font51"/>
    <w:basedOn w:val="39"/>
    <w:qFormat/>
    <w:uiPriority w:val="0"/>
    <w:rPr>
      <w:rFonts w:hint="eastAsia" w:ascii="宋体" w:hAnsi="宋体" w:eastAsia="宋体" w:cs="宋体"/>
      <w:color w:val="000000"/>
      <w:sz w:val="20"/>
      <w:szCs w:val="20"/>
      <w:u w:val="none"/>
    </w:rPr>
  </w:style>
  <w:style w:type="character" w:customStyle="1" w:styleId="69">
    <w:name w:val="font61"/>
    <w:qFormat/>
    <w:uiPriority w:val="0"/>
    <w:rPr>
      <w:rFonts w:hint="eastAsia" w:ascii="宋体" w:hAnsi="宋体" w:eastAsia="宋体" w:cs="宋体"/>
      <w:b/>
      <w:color w:val="FF0000"/>
      <w:sz w:val="20"/>
      <w:szCs w:val="20"/>
      <w:u w:val="none"/>
    </w:rPr>
  </w:style>
  <w:style w:type="character" w:customStyle="1" w:styleId="70">
    <w:name w:val="纯文本 Char2"/>
    <w:qFormat/>
    <w:uiPriority w:val="0"/>
    <w:rPr>
      <w:rFonts w:hint="eastAsia" w:ascii="宋体" w:hAnsi="Courier New" w:eastAsia="宋体" w:cs="宋体"/>
      <w:sz w:val="24"/>
      <w:szCs w:val="24"/>
    </w:rPr>
  </w:style>
  <w:style w:type="character" w:customStyle="1" w:styleId="71">
    <w:name w:val="标题 字符"/>
    <w:qFormat/>
    <w:uiPriority w:val="0"/>
    <w:rPr>
      <w:rFonts w:ascii="Arial" w:hAnsi="Arial" w:eastAsia="宋体" w:cs="Arial"/>
      <w:b/>
      <w:bCs/>
      <w:kern w:val="2"/>
      <w:sz w:val="32"/>
      <w:szCs w:val="32"/>
      <w:lang w:val="en-US" w:eastAsia="zh-CN" w:bidi="ar-SA"/>
    </w:rPr>
  </w:style>
  <w:style w:type="character" w:customStyle="1" w:styleId="72">
    <w:name w:val="纯文本 Char11"/>
    <w:qFormat/>
    <w:uiPriority w:val="0"/>
    <w:rPr>
      <w:rFonts w:hint="eastAsia" w:ascii="宋体" w:hAnsi="Courier New" w:eastAsia="宋体" w:cs="Courier New"/>
      <w:kern w:val="2"/>
      <w:sz w:val="21"/>
      <w:szCs w:val="21"/>
    </w:rPr>
  </w:style>
  <w:style w:type="paragraph" w:customStyle="1" w:styleId="73">
    <w:name w:val="表格文字"/>
    <w:basedOn w:val="1"/>
    <w:next w:val="13"/>
    <w:qFormat/>
    <w:uiPriority w:val="0"/>
    <w:pPr>
      <w:adjustRightInd w:val="0"/>
      <w:spacing w:line="420" w:lineRule="atLeast"/>
      <w:jc w:val="left"/>
      <w:textAlignment w:val="baseline"/>
    </w:pPr>
    <w:rPr>
      <w:kern w:val="0"/>
    </w:rPr>
  </w:style>
  <w:style w:type="paragraph" w:customStyle="1" w:styleId="74">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标准中文版式_正文"/>
    <w:basedOn w:val="1"/>
    <w:qFormat/>
    <w:uiPriority w:val="0"/>
    <w:pPr>
      <w:spacing w:before="30" w:beforeLines="0" w:line="360" w:lineRule="auto"/>
      <w:ind w:firstLineChars="200"/>
    </w:pPr>
    <w:rPr>
      <w:rFonts w:ascii="Arial" w:hAnsi="Arial"/>
      <w:sz w:val="24"/>
    </w:rPr>
  </w:style>
  <w:style w:type="paragraph" w:customStyle="1" w:styleId="7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78">
    <w:name w:val="Char1"/>
    <w:basedOn w:val="1"/>
    <w:qFormat/>
    <w:uiPriority w:val="0"/>
    <w:rPr>
      <w:rFonts w:ascii="Tahoma" w:hAnsi="Tahoma"/>
      <w:sz w:val="24"/>
      <w:szCs w:val="20"/>
    </w:rPr>
  </w:style>
  <w:style w:type="paragraph" w:customStyle="1" w:styleId="79">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 Char2"/>
    <w:basedOn w:val="1"/>
    <w:next w:val="1"/>
    <w:qFormat/>
    <w:uiPriority w:val="0"/>
    <w:pPr>
      <w:spacing w:before="120" w:beforeLines="0" w:line="360" w:lineRule="auto"/>
      <w:ind w:firstLine="425"/>
    </w:pPr>
    <w:rPr>
      <w:sz w:val="24"/>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Char"/>
    <w:basedOn w:val="1"/>
    <w:qFormat/>
    <w:uiPriority w:val="0"/>
    <w:rPr>
      <w:sz w:val="21"/>
    </w:rPr>
  </w:style>
  <w:style w:type="paragraph" w:customStyle="1" w:styleId="8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6">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87">
    <w:name w:val="正文（首行缩进2字符）"/>
    <w:basedOn w:val="1"/>
    <w:qFormat/>
    <w:uiPriority w:val="0"/>
    <w:pPr>
      <w:spacing w:line="360" w:lineRule="auto"/>
      <w:ind w:firstLine="420" w:firstLineChars="200"/>
    </w:pPr>
    <w:rPr>
      <w:szCs w:val="21"/>
    </w:rPr>
  </w:style>
  <w:style w:type="paragraph" w:customStyle="1" w:styleId="88">
    <w:name w:val=" Char Char Char1"/>
    <w:basedOn w:val="1"/>
    <w:qFormat/>
    <w:uiPriority w:val="0"/>
    <w:rPr>
      <w:sz w:val="21"/>
    </w:rPr>
  </w:style>
  <w:style w:type="paragraph" w:customStyle="1" w:styleId="89">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93">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94">
    <w:name w:val="_Style 10"/>
    <w:basedOn w:val="1"/>
    <w:qFormat/>
    <w:uiPriority w:val="0"/>
    <w:rPr>
      <w:rFonts w:ascii="Tahoma" w:hAnsi="Tahoma"/>
      <w:sz w:val="24"/>
      <w:szCs w:val="20"/>
    </w:rPr>
  </w:style>
  <w:style w:type="paragraph" w:styleId="95">
    <w:name w:val="List Paragraph"/>
    <w:basedOn w:val="1"/>
    <w:qFormat/>
    <w:uiPriority w:val="0"/>
    <w:pPr>
      <w:ind w:firstLine="420" w:firstLineChars="200"/>
    </w:pPr>
    <w:rPr>
      <w:rFonts w:ascii="Calibri" w:hAnsi="Calibri"/>
      <w:szCs w:val="22"/>
    </w:rPr>
  </w:style>
  <w:style w:type="paragraph" w:customStyle="1" w:styleId="96">
    <w:name w:val=" Char"/>
    <w:basedOn w:val="1"/>
    <w:qFormat/>
    <w:uiPriority w:val="0"/>
    <w:rPr>
      <w:sz w:val="24"/>
    </w:rPr>
  </w:style>
  <w:style w:type="paragraph" w:customStyle="1" w:styleId="97">
    <w:name w:val=" Char1"/>
    <w:basedOn w:val="1"/>
    <w:qFormat/>
    <w:uiPriority w:val="0"/>
    <w:pPr>
      <w:jc w:val="center"/>
    </w:pPr>
    <w:rPr>
      <w:rFonts w:ascii="仿宋_GB2312" w:eastAsia="仿宋_GB2312"/>
      <w:b/>
      <w:kern w:val="0"/>
      <w:sz w:val="32"/>
      <w:szCs w:val="32"/>
      <w:lang w:val="en-GB"/>
    </w:rPr>
  </w:style>
  <w:style w:type="paragraph" w:customStyle="1" w:styleId="98">
    <w:name w:val="正文段"/>
    <w:basedOn w:val="1"/>
    <w:qFormat/>
    <w:uiPriority w:val="0"/>
    <w:pPr>
      <w:widowControl/>
      <w:snapToGrid w:val="0"/>
      <w:spacing w:after="156" w:afterLines="50"/>
      <w:ind w:firstLine="200" w:firstLineChars="200"/>
    </w:pPr>
    <w:rPr>
      <w:kern w:val="0"/>
      <w:sz w:val="24"/>
      <w:szCs w:val="20"/>
    </w:rPr>
  </w:style>
  <w:style w:type="paragraph" w:customStyle="1" w:styleId="9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0">
    <w:name w:val="纯文本1"/>
    <w:basedOn w:val="85"/>
    <w:qFormat/>
    <w:uiPriority w:val="0"/>
    <w:pPr>
      <w:widowControl/>
      <w:jc w:val="left"/>
    </w:pPr>
    <w:rPr>
      <w:rFonts w:ascii="宋体" w:hAnsi="Courier New"/>
    </w:rPr>
  </w:style>
  <w:style w:type="paragraph" w:customStyle="1" w:styleId="101">
    <w:name w:val="_Style 1"/>
    <w:qFormat/>
    <w:uiPriority w:val="99"/>
    <w:rPr>
      <w:rFonts w:ascii="Calibri" w:hAnsi="Calibri" w:eastAsia="宋体" w:cs="Times New Roman"/>
      <w:kern w:val="2"/>
      <w:sz w:val="28"/>
      <w:szCs w:val="22"/>
      <w:lang w:val="en-US" w:eastAsia="zh-CN" w:bidi="ar-SA"/>
    </w:rPr>
  </w:style>
  <w:style w:type="character" w:customStyle="1" w:styleId="102">
    <w:name w:val="_Style 100"/>
    <w:unhideWhenUsed/>
    <w:qFormat/>
    <w:uiPriority w:val="99"/>
    <w:rPr>
      <w:color w:val="605E5C"/>
      <w:shd w:val="clear" w:color="auto" w:fill="E1DFDD"/>
    </w:rPr>
  </w:style>
  <w:style w:type="paragraph" w:customStyle="1" w:styleId="10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font21"/>
    <w:basedOn w:val="39"/>
    <w:qFormat/>
    <w:uiPriority w:val="0"/>
    <w:rPr>
      <w:rFonts w:hint="eastAsia" w:ascii="宋体" w:hAnsi="宋体" w:eastAsia="宋体" w:cs="宋体"/>
      <w:color w:val="000000"/>
      <w:sz w:val="18"/>
      <w:szCs w:val="18"/>
      <w:u w:val="none"/>
    </w:rPr>
  </w:style>
  <w:style w:type="character" w:customStyle="1" w:styleId="106">
    <w:name w:val="font112"/>
    <w:basedOn w:val="39"/>
    <w:qFormat/>
    <w:uiPriority w:val="0"/>
    <w:rPr>
      <w:rFonts w:hint="eastAsia" w:ascii="宋体" w:hAnsi="宋体" w:eastAsia="宋体" w:cs="宋体"/>
      <w:color w:val="FF0000"/>
      <w:sz w:val="18"/>
      <w:szCs w:val="18"/>
      <w:u w:val="none"/>
    </w:rPr>
  </w:style>
  <w:style w:type="character" w:customStyle="1" w:styleId="107">
    <w:name w:val="font81"/>
    <w:basedOn w:val="39"/>
    <w:qFormat/>
    <w:uiPriority w:val="0"/>
    <w:rPr>
      <w:rFonts w:hint="eastAsia" w:ascii="宋体" w:hAnsi="宋体" w:eastAsia="宋体" w:cs="宋体"/>
      <w:color w:val="FF0000"/>
      <w:sz w:val="18"/>
      <w:szCs w:val="18"/>
      <w:u w:val="none"/>
    </w:rPr>
  </w:style>
  <w:style w:type="paragraph" w:customStyle="1" w:styleId="108">
    <w:name w:val="模板普通正文"/>
    <w:basedOn w:val="2"/>
    <w:qFormat/>
    <w:uiPriority w:val="0"/>
    <w:pPr>
      <w:spacing w:beforeLines="50" w:after="10"/>
      <w:ind w:firstLine="490" w:firstLineChars="175"/>
    </w:pPr>
  </w:style>
  <w:style w:type="paragraph" w:customStyle="1" w:styleId="109">
    <w:name w:val="_Style 107"/>
    <w:unhideWhenUsed/>
    <w:qFormat/>
    <w:uiPriority w:val="99"/>
    <w:rPr>
      <w:rFonts w:ascii="Times New Roman" w:hAnsi="Times New Roman" w:eastAsia="宋体" w:cs="Times New Roman"/>
      <w:kern w:val="2"/>
      <w:sz w:val="28"/>
      <w:szCs w:val="24"/>
      <w:lang w:val="en-US" w:eastAsia="zh-CN" w:bidi="ar-SA"/>
    </w:rPr>
  </w:style>
  <w:style w:type="paragraph" w:customStyle="1" w:styleId="110">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11">
    <w:name w:val="toc 11"/>
    <w:next w:val="1"/>
    <w:qFormat/>
    <w:uiPriority w:val="0"/>
    <w:pPr>
      <w:wordWrap w:val="0"/>
      <w:jc w:val="both"/>
    </w:pPr>
    <w:rPr>
      <w:rFonts w:ascii="Times New Roman" w:hAnsi="Times New Roman" w:eastAsia="宋体" w:cs="Times New Roman"/>
      <w:sz w:val="21"/>
      <w:lang w:val="en-US" w:eastAsia="zh-CN" w:bidi="ar-SA"/>
    </w:rPr>
  </w:style>
  <w:style w:type="character" w:customStyle="1" w:styleId="112">
    <w:name w:val="font91"/>
    <w:basedOn w:val="39"/>
    <w:qFormat/>
    <w:uiPriority w:val="0"/>
    <w:rPr>
      <w:rFonts w:ascii="宋体" w:hAnsi="宋体" w:eastAsia="宋体" w:cs="宋体"/>
      <w:b/>
      <w:bCs/>
      <w:color w:val="000000"/>
      <w:sz w:val="12"/>
      <w:szCs w:val="12"/>
      <w:u w:val="none"/>
    </w:rPr>
  </w:style>
  <w:style w:type="character" w:customStyle="1" w:styleId="113">
    <w:name w:val="font101"/>
    <w:basedOn w:val="39"/>
    <w:qFormat/>
    <w:uiPriority w:val="0"/>
    <w:rPr>
      <w:rFonts w:hint="eastAsia" w:ascii="仿宋" w:hAnsi="仿宋" w:eastAsia="仿宋" w:cs="仿宋"/>
      <w:b/>
      <w:bCs/>
      <w:color w:val="000000"/>
      <w:sz w:val="18"/>
      <w:szCs w:val="18"/>
      <w:u w:val="none"/>
    </w:rPr>
  </w:style>
  <w:style w:type="character" w:customStyle="1" w:styleId="114">
    <w:name w:val="font121"/>
    <w:basedOn w:val="39"/>
    <w:qFormat/>
    <w:uiPriority w:val="0"/>
    <w:rPr>
      <w:rFonts w:hint="eastAsia" w:ascii="仿宋" w:hAnsi="仿宋" w:eastAsia="仿宋" w:cs="仿宋"/>
      <w:b/>
      <w:bCs/>
      <w:color w:val="000000"/>
      <w:sz w:val="14"/>
      <w:szCs w:val="14"/>
      <w:u w:val="none"/>
    </w:rPr>
  </w:style>
  <w:style w:type="character" w:customStyle="1" w:styleId="115">
    <w:name w:val="font131"/>
    <w:basedOn w:val="39"/>
    <w:qFormat/>
    <w:uiPriority w:val="0"/>
    <w:rPr>
      <w:rFonts w:ascii="宋体" w:hAnsi="宋体" w:eastAsia="宋体" w:cs="宋体"/>
      <w:color w:val="000000"/>
      <w:sz w:val="14"/>
      <w:szCs w:val="14"/>
      <w:u w:val="none"/>
    </w:rPr>
  </w:style>
  <w:style w:type="character" w:customStyle="1" w:styleId="116">
    <w:name w:val="font141"/>
    <w:basedOn w:val="39"/>
    <w:qFormat/>
    <w:uiPriority w:val="0"/>
    <w:rPr>
      <w:rFonts w:hint="default" w:ascii="Arial" w:hAnsi="Arial" w:cs="Arial"/>
      <w:color w:val="000000"/>
      <w:sz w:val="16"/>
      <w:szCs w:val="16"/>
      <w:u w:val="none"/>
    </w:rPr>
  </w:style>
  <w:style w:type="character" w:customStyle="1" w:styleId="117">
    <w:name w:val="font151"/>
    <w:basedOn w:val="39"/>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60</Pages>
  <Words>16335</Words>
  <Characters>17800</Characters>
  <Lines>334</Lines>
  <Paragraphs>94</Paragraphs>
  <TotalTime>62</TotalTime>
  <ScaleCrop>false</ScaleCrop>
  <LinksUpToDate>false</LinksUpToDate>
  <CharactersWithSpaces>18084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2023-08-08T07:26:00Z</dcterms:created>
  <dc:creator>费国炎</dc:creator>
  <cp:lastModifiedBy>Administrator</cp:lastModifiedBy>
  <cp:lastPrinted>2025-04-11T08:23:00Z</cp:lastPrinted>
  <dcterms:modified xsi:type="dcterms:W3CDTF">2025-04-18T02:54:37Z</dcterms:modified>
  <dc:title>浙江省政府采购招标文件（范本）</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30477A683842450F9B67E35D54C077FD_13</vt:lpwstr>
  </property>
  <property fmtid="{D5CDD505-2E9C-101B-9397-08002B2CF9AE}" pid="4" name="KSOTemplateDocerSaveRecord">
    <vt:lpwstr>eyJoZGlkIjoiNzQwMDc0ODI0ZWE0MTY3NzU2YmE0NDJiOGZmOWU3YWUiLCJ1c2VySWQiOiIyMDQ1ODk4OTUifQ==</vt:lpwstr>
  </property>
</Properties>
</file>