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D014A">
      <w:pPr>
        <w:tabs>
          <w:tab w:val="left" w:pos="720"/>
          <w:tab w:val="left" w:pos="2160"/>
          <w:tab w:val="left" w:pos="2880"/>
          <w:tab w:val="left" w:pos="3600"/>
          <w:tab w:val="left" w:pos="3990"/>
          <w:tab w:val="left" w:pos="4320"/>
          <w:tab w:val="left" w:pos="5040"/>
          <w:tab w:val="left" w:pos="5760"/>
        </w:tabs>
        <w:autoSpaceDE w:val="0"/>
        <w:autoSpaceDN w:val="0"/>
        <w:adjustRightInd w:val="0"/>
        <w:spacing w:line="360" w:lineRule="auto"/>
        <w:ind w:left="540" w:right="924" w:firstLine="355"/>
        <w:jc w:val="center"/>
        <w:rPr>
          <w:rFonts w:hint="eastAsia" w:ascii="宋体"/>
          <w:b/>
          <w:kern w:val="0"/>
          <w:sz w:val="52"/>
          <w:szCs w:val="52"/>
          <w:highlight w:val="none"/>
        </w:rPr>
      </w:pPr>
    </w:p>
    <w:p w14:paraId="310A5EB8">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kern w:val="0"/>
          <w:sz w:val="52"/>
          <w:szCs w:val="52"/>
          <w:highlight w:val="none"/>
        </w:rPr>
      </w:pPr>
    </w:p>
    <w:p w14:paraId="7AA1C486">
      <w:pPr>
        <w:pStyle w:val="2"/>
        <w:jc w:val="center"/>
        <w:outlineLvl w:val="0"/>
        <w:rPr>
          <w:rFonts w:hint="eastAsia" w:eastAsia="宋体"/>
          <w:b/>
          <w:bCs/>
          <w:color w:val="auto"/>
          <w:sz w:val="36"/>
          <w:szCs w:val="40"/>
          <w:highlight w:val="none"/>
          <w:lang w:eastAsia="zh-CN"/>
        </w:rPr>
      </w:pPr>
      <w:r>
        <w:rPr>
          <w:rFonts w:hint="eastAsia"/>
          <w:b/>
          <w:bCs/>
          <w:color w:val="auto"/>
          <w:sz w:val="36"/>
          <w:szCs w:val="40"/>
          <w:highlight w:val="none"/>
          <w:lang w:eastAsia="zh-CN"/>
        </w:rPr>
        <w:t>海虹街道中心幼儿园（翡翠云邸）幼儿家具采购项目</w:t>
      </w:r>
    </w:p>
    <w:p w14:paraId="47A04B26">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hint="eastAsia" w:ascii="宋体"/>
          <w:b/>
          <w:color w:val="auto"/>
          <w:kern w:val="0"/>
          <w:sz w:val="52"/>
          <w:szCs w:val="52"/>
          <w:highlight w:val="none"/>
        </w:rPr>
      </w:pPr>
    </w:p>
    <w:p w14:paraId="75D8F312">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r>
        <w:rPr>
          <w:rFonts w:hint="eastAsia" w:ascii="宋体"/>
          <w:b/>
          <w:color w:val="auto"/>
          <w:kern w:val="0"/>
          <w:sz w:val="52"/>
          <w:szCs w:val="52"/>
          <w:highlight w:val="none"/>
        </w:rPr>
        <w:t>采 购 文 件</w:t>
      </w:r>
    </w:p>
    <w:p w14:paraId="2A098370">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eastAsia" w:ascii="宋体" w:eastAsia="宋体"/>
          <w:b/>
          <w:color w:val="auto"/>
          <w:kern w:val="0"/>
          <w:sz w:val="24"/>
          <w:highlight w:val="none"/>
          <w:lang w:eastAsia="zh-CN"/>
        </w:rPr>
      </w:pPr>
      <w:r>
        <w:rPr>
          <w:rFonts w:hint="eastAsia" w:ascii="宋体" w:hAnsi="宋体" w:cs="Calibri Light"/>
          <w:color w:val="auto"/>
          <w:kern w:val="0"/>
          <w:sz w:val="24"/>
          <w:highlight w:val="none"/>
        </w:rPr>
        <w:t>采购编号：</w:t>
      </w:r>
      <w:r>
        <w:rPr>
          <w:rFonts w:ascii="宋体"/>
          <w:b/>
          <w:color w:val="auto"/>
          <w:kern w:val="0"/>
          <w:sz w:val="24"/>
          <w:highlight w:val="none"/>
        </w:rPr>
        <w:t xml:space="preserve"> </w:t>
      </w:r>
      <w:r>
        <w:rPr>
          <w:rFonts w:hint="eastAsia" w:ascii="宋体"/>
          <w:b/>
          <w:color w:val="auto"/>
          <w:kern w:val="0"/>
          <w:sz w:val="24"/>
          <w:highlight w:val="none"/>
          <w:lang w:eastAsia="zh-CN"/>
        </w:rPr>
        <w:t>TZYY-2506-005号</w:t>
      </w:r>
    </w:p>
    <w:p w14:paraId="447F725C">
      <w:pPr>
        <w:tabs>
          <w:tab w:val="left" w:pos="1260"/>
        </w:tabs>
        <w:spacing w:line="640" w:lineRule="exact"/>
        <w:outlineLvl w:val="9"/>
        <w:rPr>
          <w:rFonts w:ascii="宋体" w:hAnsi="宋体"/>
          <w:color w:val="auto"/>
          <w:spacing w:val="20"/>
          <w:kern w:val="21"/>
          <w:sz w:val="30"/>
          <w:szCs w:val="30"/>
          <w:highlight w:val="none"/>
        </w:rPr>
      </w:pPr>
    </w:p>
    <w:p w14:paraId="4B026980">
      <w:pPr>
        <w:tabs>
          <w:tab w:val="left" w:pos="1260"/>
        </w:tabs>
        <w:spacing w:line="640" w:lineRule="exact"/>
        <w:ind w:firstLine="1020" w:firstLineChars="300"/>
        <w:outlineLvl w:val="0"/>
        <w:rPr>
          <w:rFonts w:ascii="宋体" w:hAnsi="宋体"/>
          <w:color w:val="auto"/>
          <w:spacing w:val="20"/>
          <w:kern w:val="21"/>
          <w:sz w:val="30"/>
          <w:szCs w:val="30"/>
          <w:highlight w:val="none"/>
        </w:rPr>
      </w:pPr>
      <w:bookmarkStart w:id="0" w:name="_Toc30068"/>
      <w:r>
        <w:rPr>
          <w:rFonts w:hint="eastAsia" w:ascii="宋体" w:hAnsi="宋体"/>
          <w:color w:val="auto"/>
          <w:spacing w:val="20"/>
          <w:kern w:val="21"/>
          <w:sz w:val="30"/>
          <w:szCs w:val="30"/>
          <w:highlight w:val="none"/>
        </w:rPr>
        <w:t>采</w:t>
      </w:r>
      <w:r>
        <w:rPr>
          <w:rFonts w:hint="eastAsia" w:ascii="宋体" w:hAnsi="宋体"/>
          <w:color w:val="auto"/>
          <w:spacing w:val="20"/>
          <w:kern w:val="21"/>
          <w:sz w:val="30"/>
          <w:szCs w:val="30"/>
          <w:highlight w:val="none"/>
          <w:lang w:val="en-US" w:eastAsia="zh-CN"/>
        </w:rPr>
        <w:t xml:space="preserve"> </w:t>
      </w:r>
      <w:r>
        <w:rPr>
          <w:rFonts w:hint="eastAsia" w:ascii="宋体" w:hAnsi="宋体"/>
          <w:color w:val="auto"/>
          <w:spacing w:val="20"/>
          <w:kern w:val="21"/>
          <w:sz w:val="30"/>
          <w:szCs w:val="30"/>
          <w:highlight w:val="none"/>
        </w:rPr>
        <w:t>购</w:t>
      </w:r>
      <w:r>
        <w:rPr>
          <w:rFonts w:hint="eastAsia" w:ascii="宋体" w:hAnsi="宋体"/>
          <w:color w:val="auto"/>
          <w:spacing w:val="20"/>
          <w:kern w:val="21"/>
          <w:sz w:val="30"/>
          <w:szCs w:val="30"/>
          <w:highlight w:val="none"/>
          <w:lang w:val="en-US" w:eastAsia="zh-CN"/>
        </w:rPr>
        <w:t xml:space="preserve"> </w:t>
      </w:r>
      <w:r>
        <w:rPr>
          <w:rFonts w:hint="eastAsia" w:ascii="宋体" w:hAnsi="宋体"/>
          <w:color w:val="auto"/>
          <w:spacing w:val="20"/>
          <w:kern w:val="21"/>
          <w:sz w:val="30"/>
          <w:szCs w:val="30"/>
          <w:highlight w:val="none"/>
        </w:rPr>
        <w:t>人：</w:t>
      </w:r>
      <w:r>
        <w:rPr>
          <w:rFonts w:hint="eastAsia"/>
          <w:color w:val="auto"/>
          <w:sz w:val="28"/>
          <w:highlight w:val="none"/>
          <w:u w:val="single"/>
          <w:lang w:eastAsia="zh-CN"/>
        </w:rPr>
        <w:t>海虹街道中心幼儿园</w:t>
      </w:r>
      <w:r>
        <w:rPr>
          <w:color w:val="auto"/>
          <w:sz w:val="28"/>
          <w:highlight w:val="none"/>
          <w:u w:val="single"/>
        </w:rPr>
        <w:t xml:space="preserve"> </w:t>
      </w:r>
      <w:r>
        <w:rPr>
          <w:rFonts w:hint="eastAsia" w:ascii="宋体" w:hAnsi="宋体"/>
          <w:color w:val="auto"/>
          <w:spacing w:val="20"/>
          <w:kern w:val="21"/>
          <w:sz w:val="30"/>
          <w:szCs w:val="30"/>
          <w:highlight w:val="none"/>
        </w:rPr>
        <w:t>（盖章）</w:t>
      </w:r>
      <w:bookmarkEnd w:id="0"/>
    </w:p>
    <w:p w14:paraId="3115CB83">
      <w:pPr>
        <w:spacing w:line="640" w:lineRule="exact"/>
        <w:ind w:firstLine="1020" w:firstLineChars="300"/>
        <w:outlineLvl w:val="0"/>
        <w:rPr>
          <w:rFonts w:ascii="宋体" w:hAnsi="宋体"/>
          <w:color w:val="auto"/>
          <w:spacing w:val="20"/>
          <w:kern w:val="21"/>
          <w:sz w:val="30"/>
          <w:szCs w:val="30"/>
          <w:highlight w:val="none"/>
        </w:rPr>
      </w:pPr>
      <w:bookmarkStart w:id="1" w:name="_Toc19623"/>
      <w:r>
        <w:rPr>
          <w:rFonts w:hint="eastAsia" w:ascii="宋体" w:hAnsi="宋体"/>
          <w:color w:val="auto"/>
          <w:spacing w:val="20"/>
          <w:kern w:val="21"/>
          <w:sz w:val="30"/>
          <w:szCs w:val="30"/>
          <w:highlight w:val="none"/>
        </w:rPr>
        <w:t>联 系 人：</w:t>
      </w:r>
      <w:r>
        <w:rPr>
          <w:rFonts w:hint="eastAsia" w:hAnsi="宋体"/>
          <w:color w:val="auto"/>
          <w:sz w:val="28"/>
          <w:highlight w:val="none"/>
          <w:u w:val="single"/>
          <w:lang w:val="en-US" w:eastAsia="zh-CN"/>
        </w:rPr>
        <w:t>张</w:t>
      </w:r>
      <w:r>
        <w:rPr>
          <w:rFonts w:hint="eastAsia" w:hAnsi="宋体"/>
          <w:color w:val="auto"/>
          <w:sz w:val="28"/>
          <w:highlight w:val="none"/>
          <w:u w:val="single"/>
        </w:rPr>
        <w:t>老师</w:t>
      </w:r>
      <w:bookmarkEnd w:id="1"/>
    </w:p>
    <w:p w14:paraId="2C8229EF">
      <w:pPr>
        <w:spacing w:line="640" w:lineRule="exact"/>
        <w:ind w:firstLine="1020" w:firstLineChars="300"/>
        <w:outlineLvl w:val="0"/>
        <w:rPr>
          <w:rFonts w:hint="default" w:ascii="宋体" w:hAnsi="宋体" w:eastAsia="宋体"/>
          <w:color w:val="auto"/>
          <w:spacing w:val="20"/>
          <w:kern w:val="21"/>
          <w:sz w:val="30"/>
          <w:szCs w:val="30"/>
          <w:highlight w:val="none"/>
          <w:lang w:val="en-US" w:eastAsia="zh-CN"/>
        </w:rPr>
      </w:pPr>
      <w:bookmarkStart w:id="2" w:name="_Toc30839"/>
      <w:r>
        <w:rPr>
          <w:rFonts w:hint="eastAsia" w:ascii="宋体" w:hAnsi="宋体"/>
          <w:color w:val="auto"/>
          <w:spacing w:val="20"/>
          <w:kern w:val="21"/>
          <w:sz w:val="30"/>
          <w:szCs w:val="30"/>
          <w:highlight w:val="none"/>
        </w:rPr>
        <w:t>联系电话：</w:t>
      </w:r>
      <w:bookmarkEnd w:id="2"/>
      <w:r>
        <w:rPr>
          <w:rFonts w:hint="eastAsia" w:hAnsi="宋体"/>
          <w:color w:val="auto"/>
          <w:sz w:val="28"/>
          <w:highlight w:val="none"/>
          <w:u w:val="single"/>
          <w:lang w:val="en-US" w:eastAsia="zh-CN"/>
        </w:rPr>
        <w:t>0576-81833198</w:t>
      </w:r>
    </w:p>
    <w:p w14:paraId="627B01A9">
      <w:pPr>
        <w:pStyle w:val="14"/>
        <w:numPr>
          <w:ilvl w:val="0"/>
          <w:numId w:val="0"/>
        </w:numPr>
        <w:rPr>
          <w:color w:val="auto"/>
          <w:highlight w:val="none"/>
        </w:rPr>
      </w:pPr>
    </w:p>
    <w:p w14:paraId="61BBCA15">
      <w:pPr>
        <w:spacing w:line="640" w:lineRule="exact"/>
        <w:ind w:firstLine="1020" w:firstLineChars="300"/>
        <w:outlineLvl w:val="0"/>
        <w:rPr>
          <w:rFonts w:ascii="宋体" w:hAnsi="宋体"/>
          <w:color w:val="auto"/>
          <w:spacing w:val="20"/>
          <w:kern w:val="21"/>
          <w:sz w:val="30"/>
          <w:szCs w:val="30"/>
          <w:highlight w:val="none"/>
        </w:rPr>
      </w:pPr>
      <w:bookmarkStart w:id="3" w:name="_Toc28988"/>
      <w:r>
        <w:rPr>
          <w:rFonts w:hint="eastAsia" w:ascii="宋体" w:hAnsi="宋体"/>
          <w:color w:val="auto"/>
          <w:spacing w:val="20"/>
          <w:kern w:val="21"/>
          <w:sz w:val="30"/>
          <w:szCs w:val="30"/>
          <w:highlight w:val="none"/>
        </w:rPr>
        <w:t>招标代理：</w:t>
      </w:r>
      <w:r>
        <w:rPr>
          <w:rFonts w:hint="eastAsia" w:ascii="宋体" w:hAnsi="宋体"/>
          <w:color w:val="auto"/>
          <w:sz w:val="28"/>
          <w:highlight w:val="none"/>
          <w:u w:val="single"/>
          <w:lang w:eastAsia="zh-CN"/>
        </w:rPr>
        <w:t>台州市永阳科技有限公司</w:t>
      </w:r>
      <w:r>
        <w:rPr>
          <w:rFonts w:hint="eastAsia" w:ascii="宋体" w:hAnsi="宋体"/>
          <w:color w:val="auto"/>
          <w:spacing w:val="20"/>
          <w:kern w:val="21"/>
          <w:sz w:val="30"/>
          <w:szCs w:val="30"/>
          <w:highlight w:val="none"/>
        </w:rPr>
        <w:t>（盖章）</w:t>
      </w:r>
      <w:bookmarkEnd w:id="3"/>
    </w:p>
    <w:p w14:paraId="3ACF6BAC">
      <w:pPr>
        <w:spacing w:line="640" w:lineRule="exact"/>
        <w:ind w:firstLine="1020" w:firstLineChars="300"/>
        <w:outlineLvl w:val="0"/>
        <w:rPr>
          <w:rFonts w:ascii="宋体" w:hAnsi="宋体"/>
          <w:color w:val="auto"/>
          <w:spacing w:val="20"/>
          <w:kern w:val="21"/>
          <w:sz w:val="30"/>
          <w:szCs w:val="30"/>
          <w:highlight w:val="none"/>
        </w:rPr>
      </w:pPr>
      <w:bookmarkStart w:id="4" w:name="_Toc8450"/>
      <w:r>
        <w:rPr>
          <w:rFonts w:hint="eastAsia" w:ascii="宋体" w:hAnsi="宋体"/>
          <w:color w:val="auto"/>
          <w:spacing w:val="20"/>
          <w:kern w:val="21"/>
          <w:sz w:val="30"/>
          <w:szCs w:val="30"/>
          <w:highlight w:val="none"/>
        </w:rPr>
        <w:t>联 系 人：</w:t>
      </w:r>
      <w:r>
        <w:rPr>
          <w:rFonts w:hint="eastAsia" w:ascii="宋体" w:hAnsi="宋体"/>
          <w:color w:val="auto"/>
          <w:sz w:val="28"/>
          <w:highlight w:val="none"/>
          <w:u w:val="single"/>
        </w:rPr>
        <w:t>周先生</w:t>
      </w:r>
      <w:bookmarkEnd w:id="4"/>
    </w:p>
    <w:p w14:paraId="30EA24F5">
      <w:pPr>
        <w:spacing w:line="480" w:lineRule="auto"/>
        <w:ind w:firstLine="1020" w:firstLineChars="300"/>
        <w:rPr>
          <w:rFonts w:ascii="宋体" w:hAnsi="宋体"/>
          <w:color w:val="auto"/>
          <w:spacing w:val="20"/>
          <w:kern w:val="21"/>
          <w:sz w:val="30"/>
          <w:szCs w:val="30"/>
          <w:highlight w:val="none"/>
        </w:rPr>
      </w:pPr>
      <w:r>
        <w:rPr>
          <w:rFonts w:hint="eastAsia" w:ascii="宋体" w:hAnsi="宋体"/>
          <w:color w:val="auto"/>
          <w:spacing w:val="20"/>
          <w:kern w:val="21"/>
          <w:sz w:val="30"/>
          <w:szCs w:val="30"/>
          <w:highlight w:val="none"/>
        </w:rPr>
        <w:t>联系电话：</w:t>
      </w:r>
      <w:r>
        <w:rPr>
          <w:rFonts w:hint="eastAsia" w:ascii="宋体" w:hAnsi="宋体"/>
          <w:color w:val="auto"/>
          <w:sz w:val="28"/>
          <w:highlight w:val="none"/>
          <w:u w:val="single"/>
        </w:rPr>
        <w:t>18958682891</w:t>
      </w:r>
    </w:p>
    <w:p w14:paraId="02E7799C">
      <w:pPr>
        <w:spacing w:line="640" w:lineRule="exact"/>
        <w:ind w:firstLine="1020" w:firstLineChars="300"/>
        <w:outlineLvl w:val="0"/>
        <w:rPr>
          <w:rFonts w:ascii="宋体" w:hAnsi="宋体"/>
          <w:b/>
          <w:color w:val="auto"/>
          <w:sz w:val="36"/>
          <w:highlight w:val="none"/>
        </w:rPr>
        <w:sectPr>
          <w:headerReference r:id="rId3" w:type="default"/>
          <w:footerReference r:id="rId4" w:type="default"/>
          <w:footerReference r:id="rId5" w:type="even"/>
          <w:pgSz w:w="11906" w:h="16838"/>
          <w:pgMar w:top="1588" w:right="1797" w:bottom="1304" w:left="1797"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bookmarkStart w:id="5" w:name="_Toc22370"/>
      <w:r>
        <w:rPr>
          <w:rFonts w:hint="eastAsia" w:ascii="宋体" w:hAnsi="宋体"/>
          <w:color w:val="auto"/>
          <w:spacing w:val="20"/>
          <w:kern w:val="21"/>
          <w:sz w:val="30"/>
          <w:szCs w:val="30"/>
          <w:highlight w:val="none"/>
        </w:rPr>
        <w:t>日    期：202</w:t>
      </w:r>
      <w:r>
        <w:rPr>
          <w:rFonts w:hint="eastAsia" w:ascii="宋体" w:hAnsi="宋体"/>
          <w:color w:val="auto"/>
          <w:spacing w:val="20"/>
          <w:kern w:val="21"/>
          <w:sz w:val="30"/>
          <w:szCs w:val="30"/>
          <w:highlight w:val="none"/>
          <w:lang w:val="en-US" w:eastAsia="zh-CN"/>
        </w:rPr>
        <w:t>5</w:t>
      </w:r>
      <w:r>
        <w:rPr>
          <w:rFonts w:hint="eastAsia" w:ascii="宋体" w:hAnsi="宋体"/>
          <w:color w:val="auto"/>
          <w:spacing w:val="20"/>
          <w:kern w:val="21"/>
          <w:sz w:val="30"/>
          <w:szCs w:val="30"/>
          <w:highlight w:val="none"/>
        </w:rPr>
        <w:t>年</w:t>
      </w:r>
      <w:r>
        <w:rPr>
          <w:rFonts w:hint="eastAsia" w:ascii="宋体" w:hAnsi="宋体"/>
          <w:color w:val="auto"/>
          <w:spacing w:val="20"/>
          <w:kern w:val="21"/>
          <w:sz w:val="30"/>
          <w:szCs w:val="30"/>
          <w:highlight w:val="none"/>
          <w:lang w:val="en-US" w:eastAsia="zh-CN"/>
        </w:rPr>
        <w:t>06</w:t>
      </w:r>
      <w:r>
        <w:rPr>
          <w:rFonts w:hint="eastAsia" w:ascii="宋体" w:hAnsi="宋体"/>
          <w:color w:val="auto"/>
          <w:spacing w:val="20"/>
          <w:kern w:val="21"/>
          <w:sz w:val="30"/>
          <w:szCs w:val="30"/>
          <w:highlight w:val="none"/>
        </w:rPr>
        <w:t>月</w:t>
      </w:r>
      <w:bookmarkEnd w:id="5"/>
    </w:p>
    <w:p w14:paraId="7D2E498B">
      <w:pPr>
        <w:pStyle w:val="36"/>
        <w:rPr>
          <w:color w:val="auto"/>
          <w:highlight w:val="none"/>
        </w:rPr>
      </w:pPr>
    </w:p>
    <w:sdt>
      <w:sdtPr>
        <w:rPr>
          <w:rFonts w:ascii="宋体" w:hAnsi="宋体" w:eastAsia="宋体" w:cs="Times New Roman"/>
          <w:color w:val="auto"/>
          <w:kern w:val="2"/>
          <w:sz w:val="40"/>
          <w:szCs w:val="48"/>
          <w:highlight w:val="none"/>
          <w:lang w:val="en-US" w:eastAsia="zh-CN" w:bidi="ar-SA"/>
        </w:rPr>
        <w:id w:val="147463668"/>
        <w15:color w:val="DBDBDB"/>
        <w:docPartObj>
          <w:docPartGallery w:val="Table of Contents"/>
          <w:docPartUnique/>
        </w:docPartObj>
      </w:sdtPr>
      <w:sdtEndPr>
        <w:rPr>
          <w:rFonts w:ascii="Times New Roman" w:hAnsi="Times New Roman" w:eastAsia="宋体" w:cs="Times New Roman"/>
          <w:color w:val="auto"/>
          <w:kern w:val="2"/>
          <w:sz w:val="21"/>
          <w:szCs w:val="28"/>
          <w:highlight w:val="none"/>
          <w:lang w:val="en-US" w:eastAsia="zh-CN" w:bidi="ar-SA"/>
        </w:rPr>
      </w:sdtEndPr>
      <w:sdtContent>
        <w:p w14:paraId="3BEDD2C9">
          <w:pPr>
            <w:spacing w:before="0" w:beforeLines="0" w:after="0" w:afterLines="0" w:line="360" w:lineRule="auto"/>
            <w:ind w:left="0" w:leftChars="0" w:right="0" w:rightChars="0" w:firstLine="0" w:firstLineChars="0"/>
            <w:jc w:val="center"/>
            <w:rPr>
              <w:color w:val="auto"/>
              <w:sz w:val="40"/>
              <w:szCs w:val="48"/>
              <w:highlight w:val="none"/>
            </w:rPr>
          </w:pPr>
          <w:r>
            <w:rPr>
              <w:rFonts w:ascii="宋体" w:hAnsi="宋体" w:eastAsia="宋体"/>
              <w:color w:val="auto"/>
              <w:sz w:val="40"/>
              <w:szCs w:val="48"/>
              <w:highlight w:val="none"/>
            </w:rPr>
            <w:t>目</w:t>
          </w:r>
          <w:r>
            <w:rPr>
              <w:rFonts w:hint="eastAsia" w:ascii="宋体" w:hAnsi="宋体"/>
              <w:color w:val="auto"/>
              <w:sz w:val="40"/>
              <w:szCs w:val="48"/>
              <w:highlight w:val="none"/>
              <w:lang w:val="en-US" w:eastAsia="zh-CN"/>
            </w:rPr>
            <w:t xml:space="preserve">  </w:t>
          </w:r>
          <w:r>
            <w:rPr>
              <w:rFonts w:ascii="宋体" w:hAnsi="宋体" w:eastAsia="宋体"/>
              <w:color w:val="auto"/>
              <w:sz w:val="40"/>
              <w:szCs w:val="48"/>
              <w:highlight w:val="none"/>
            </w:rPr>
            <w:t>录</w:t>
          </w:r>
        </w:p>
        <w:p w14:paraId="214024FF">
          <w:pPr>
            <w:pStyle w:val="57"/>
            <w:tabs>
              <w:tab w:val="right" w:leader="dot" w:pos="9184"/>
            </w:tabs>
            <w:spacing w:line="360" w:lineRule="auto"/>
            <w:rPr>
              <w:color w:val="auto"/>
              <w:sz w:val="36"/>
              <w:szCs w:val="36"/>
              <w:highlight w:val="none"/>
            </w:rPr>
          </w:pPr>
          <w:r>
            <w:rPr>
              <w:color w:val="auto"/>
              <w:sz w:val="52"/>
              <w:szCs w:val="52"/>
              <w:highlight w:val="none"/>
            </w:rPr>
            <w:fldChar w:fldCharType="begin"/>
          </w:r>
          <w:r>
            <w:rPr>
              <w:color w:val="auto"/>
              <w:sz w:val="52"/>
              <w:szCs w:val="52"/>
              <w:highlight w:val="none"/>
            </w:rPr>
            <w:instrText xml:space="preserve">TOC \o "1-1" \h \u </w:instrText>
          </w:r>
          <w:r>
            <w:rPr>
              <w:color w:val="auto"/>
              <w:sz w:val="52"/>
              <w:szCs w:val="52"/>
              <w:highlight w:val="none"/>
            </w:rPr>
            <w:fldChar w:fldCharType="separate"/>
          </w:r>
          <w:r>
            <w:rPr>
              <w:color w:val="auto"/>
              <w:sz w:val="36"/>
              <w:szCs w:val="52"/>
              <w:highlight w:val="none"/>
            </w:rPr>
            <w:fldChar w:fldCharType="begin"/>
          </w:r>
          <w:r>
            <w:rPr>
              <w:color w:val="auto"/>
              <w:sz w:val="36"/>
              <w:szCs w:val="52"/>
              <w:highlight w:val="none"/>
            </w:rPr>
            <w:instrText xml:space="preserve"> HYPERLINK \l _Toc26456 </w:instrText>
          </w:r>
          <w:r>
            <w:rPr>
              <w:color w:val="auto"/>
              <w:sz w:val="36"/>
              <w:szCs w:val="52"/>
              <w:highlight w:val="none"/>
            </w:rPr>
            <w:fldChar w:fldCharType="separate"/>
          </w:r>
          <w:r>
            <w:rPr>
              <w:rFonts w:hint="eastAsia" w:ascii="宋体" w:hAnsi="宋体" w:cs="宋体"/>
              <w:color w:val="auto"/>
              <w:sz w:val="36"/>
              <w:szCs w:val="72"/>
              <w:highlight w:val="none"/>
            </w:rPr>
            <w:t xml:space="preserve">第一章 </w:t>
          </w:r>
          <w:r>
            <w:rPr>
              <w:rFonts w:hint="eastAsia" w:ascii="宋体" w:hAnsi="宋体" w:cs="宋体"/>
              <w:color w:val="auto"/>
              <w:kern w:val="0"/>
              <w:sz w:val="36"/>
              <w:szCs w:val="72"/>
              <w:highlight w:val="none"/>
            </w:rPr>
            <w:t>投标邀请</w:t>
          </w:r>
          <w:r>
            <w:rPr>
              <w:color w:val="auto"/>
              <w:sz w:val="36"/>
              <w:szCs w:val="36"/>
              <w:highlight w:val="none"/>
            </w:rPr>
            <w:tab/>
          </w:r>
          <w:r>
            <w:rPr>
              <w:color w:val="auto"/>
              <w:sz w:val="36"/>
              <w:szCs w:val="36"/>
              <w:highlight w:val="none"/>
            </w:rPr>
            <w:fldChar w:fldCharType="begin"/>
          </w:r>
          <w:r>
            <w:rPr>
              <w:color w:val="auto"/>
              <w:sz w:val="36"/>
              <w:szCs w:val="36"/>
              <w:highlight w:val="none"/>
            </w:rPr>
            <w:instrText xml:space="preserve"> PAGEREF _Toc26456 \h </w:instrText>
          </w:r>
          <w:r>
            <w:rPr>
              <w:color w:val="auto"/>
              <w:sz w:val="36"/>
              <w:szCs w:val="36"/>
              <w:highlight w:val="none"/>
            </w:rPr>
            <w:fldChar w:fldCharType="separate"/>
          </w:r>
          <w:r>
            <w:rPr>
              <w:color w:val="auto"/>
              <w:sz w:val="36"/>
              <w:szCs w:val="36"/>
              <w:highlight w:val="none"/>
            </w:rPr>
            <w:t>1</w:t>
          </w:r>
          <w:r>
            <w:rPr>
              <w:color w:val="auto"/>
              <w:sz w:val="36"/>
              <w:szCs w:val="36"/>
              <w:highlight w:val="none"/>
            </w:rPr>
            <w:fldChar w:fldCharType="end"/>
          </w:r>
          <w:r>
            <w:rPr>
              <w:color w:val="auto"/>
              <w:sz w:val="36"/>
              <w:szCs w:val="52"/>
              <w:highlight w:val="none"/>
            </w:rPr>
            <w:fldChar w:fldCharType="end"/>
          </w:r>
        </w:p>
        <w:p w14:paraId="0069376B">
          <w:pPr>
            <w:pStyle w:val="57"/>
            <w:tabs>
              <w:tab w:val="right" w:leader="dot" w:pos="9184"/>
            </w:tabs>
            <w:spacing w:line="360" w:lineRule="auto"/>
            <w:rPr>
              <w:color w:val="auto"/>
              <w:sz w:val="36"/>
              <w:szCs w:val="36"/>
              <w:highlight w:val="none"/>
            </w:rPr>
          </w:pPr>
          <w:r>
            <w:rPr>
              <w:color w:val="auto"/>
              <w:sz w:val="36"/>
              <w:szCs w:val="52"/>
              <w:highlight w:val="none"/>
            </w:rPr>
            <w:fldChar w:fldCharType="begin"/>
          </w:r>
          <w:r>
            <w:rPr>
              <w:color w:val="auto"/>
              <w:sz w:val="36"/>
              <w:szCs w:val="52"/>
              <w:highlight w:val="none"/>
            </w:rPr>
            <w:instrText xml:space="preserve"> HYPERLINK \l _Toc20901 </w:instrText>
          </w:r>
          <w:r>
            <w:rPr>
              <w:color w:val="auto"/>
              <w:sz w:val="36"/>
              <w:szCs w:val="52"/>
              <w:highlight w:val="none"/>
            </w:rPr>
            <w:fldChar w:fldCharType="separate"/>
          </w:r>
          <w:r>
            <w:rPr>
              <w:rFonts w:hint="eastAsia" w:asciiTheme="minorEastAsia" w:hAnsiTheme="minorEastAsia" w:eastAsiaTheme="minorEastAsia"/>
              <w:color w:val="auto"/>
              <w:sz w:val="36"/>
              <w:szCs w:val="72"/>
              <w:highlight w:val="none"/>
            </w:rPr>
            <w:t>第二章 投标人须知</w:t>
          </w:r>
          <w:r>
            <w:rPr>
              <w:color w:val="auto"/>
              <w:sz w:val="36"/>
              <w:szCs w:val="36"/>
              <w:highlight w:val="none"/>
            </w:rPr>
            <w:tab/>
          </w:r>
          <w:r>
            <w:rPr>
              <w:color w:val="auto"/>
              <w:sz w:val="36"/>
              <w:szCs w:val="36"/>
              <w:highlight w:val="none"/>
            </w:rPr>
            <w:fldChar w:fldCharType="begin"/>
          </w:r>
          <w:r>
            <w:rPr>
              <w:color w:val="auto"/>
              <w:sz w:val="36"/>
              <w:szCs w:val="36"/>
              <w:highlight w:val="none"/>
            </w:rPr>
            <w:instrText xml:space="preserve"> PAGEREF _Toc20901 \h </w:instrText>
          </w:r>
          <w:r>
            <w:rPr>
              <w:color w:val="auto"/>
              <w:sz w:val="36"/>
              <w:szCs w:val="36"/>
              <w:highlight w:val="none"/>
            </w:rPr>
            <w:fldChar w:fldCharType="separate"/>
          </w:r>
          <w:r>
            <w:rPr>
              <w:color w:val="auto"/>
              <w:sz w:val="36"/>
              <w:szCs w:val="36"/>
              <w:highlight w:val="none"/>
            </w:rPr>
            <w:t>5</w:t>
          </w:r>
          <w:r>
            <w:rPr>
              <w:color w:val="auto"/>
              <w:sz w:val="36"/>
              <w:szCs w:val="36"/>
              <w:highlight w:val="none"/>
            </w:rPr>
            <w:fldChar w:fldCharType="end"/>
          </w:r>
          <w:r>
            <w:rPr>
              <w:color w:val="auto"/>
              <w:sz w:val="36"/>
              <w:szCs w:val="52"/>
              <w:highlight w:val="none"/>
            </w:rPr>
            <w:fldChar w:fldCharType="end"/>
          </w:r>
        </w:p>
        <w:p w14:paraId="2FA372DD">
          <w:pPr>
            <w:pStyle w:val="57"/>
            <w:tabs>
              <w:tab w:val="right" w:leader="dot" w:pos="9184"/>
            </w:tabs>
            <w:spacing w:line="360" w:lineRule="auto"/>
            <w:rPr>
              <w:color w:val="auto"/>
              <w:sz w:val="36"/>
              <w:szCs w:val="36"/>
              <w:highlight w:val="none"/>
            </w:rPr>
          </w:pPr>
          <w:r>
            <w:rPr>
              <w:color w:val="auto"/>
              <w:sz w:val="36"/>
              <w:szCs w:val="52"/>
              <w:highlight w:val="none"/>
            </w:rPr>
            <w:fldChar w:fldCharType="begin"/>
          </w:r>
          <w:r>
            <w:rPr>
              <w:color w:val="auto"/>
              <w:sz w:val="36"/>
              <w:szCs w:val="52"/>
              <w:highlight w:val="none"/>
            </w:rPr>
            <w:instrText xml:space="preserve"> HYPERLINK \l _Toc27108 </w:instrText>
          </w:r>
          <w:r>
            <w:rPr>
              <w:color w:val="auto"/>
              <w:sz w:val="36"/>
              <w:szCs w:val="52"/>
              <w:highlight w:val="none"/>
            </w:rPr>
            <w:fldChar w:fldCharType="separate"/>
          </w:r>
          <w:r>
            <w:rPr>
              <w:rFonts w:hint="eastAsia" w:asciiTheme="minorEastAsia" w:hAnsiTheme="minorEastAsia" w:eastAsiaTheme="minorEastAsia"/>
              <w:color w:val="auto"/>
              <w:sz w:val="36"/>
              <w:szCs w:val="72"/>
              <w:highlight w:val="none"/>
            </w:rPr>
            <w:t>第三章 招标需求</w:t>
          </w:r>
          <w:r>
            <w:rPr>
              <w:color w:val="auto"/>
              <w:sz w:val="36"/>
              <w:szCs w:val="36"/>
              <w:highlight w:val="none"/>
            </w:rPr>
            <w:tab/>
          </w:r>
          <w:r>
            <w:rPr>
              <w:color w:val="auto"/>
              <w:sz w:val="36"/>
              <w:szCs w:val="36"/>
              <w:highlight w:val="none"/>
            </w:rPr>
            <w:fldChar w:fldCharType="begin"/>
          </w:r>
          <w:r>
            <w:rPr>
              <w:color w:val="auto"/>
              <w:sz w:val="36"/>
              <w:szCs w:val="36"/>
              <w:highlight w:val="none"/>
            </w:rPr>
            <w:instrText xml:space="preserve"> PAGEREF _Toc27108 \h </w:instrText>
          </w:r>
          <w:r>
            <w:rPr>
              <w:color w:val="auto"/>
              <w:sz w:val="36"/>
              <w:szCs w:val="36"/>
              <w:highlight w:val="none"/>
            </w:rPr>
            <w:fldChar w:fldCharType="separate"/>
          </w:r>
          <w:r>
            <w:rPr>
              <w:color w:val="auto"/>
              <w:sz w:val="36"/>
              <w:szCs w:val="36"/>
              <w:highlight w:val="none"/>
            </w:rPr>
            <w:t>14</w:t>
          </w:r>
          <w:r>
            <w:rPr>
              <w:color w:val="auto"/>
              <w:sz w:val="36"/>
              <w:szCs w:val="36"/>
              <w:highlight w:val="none"/>
            </w:rPr>
            <w:fldChar w:fldCharType="end"/>
          </w:r>
          <w:r>
            <w:rPr>
              <w:color w:val="auto"/>
              <w:sz w:val="36"/>
              <w:szCs w:val="52"/>
              <w:highlight w:val="none"/>
            </w:rPr>
            <w:fldChar w:fldCharType="end"/>
          </w:r>
        </w:p>
        <w:p w14:paraId="2A8502E6">
          <w:pPr>
            <w:pStyle w:val="57"/>
            <w:tabs>
              <w:tab w:val="right" w:leader="dot" w:pos="9184"/>
            </w:tabs>
            <w:spacing w:line="360" w:lineRule="auto"/>
            <w:rPr>
              <w:color w:val="auto"/>
              <w:sz w:val="36"/>
              <w:szCs w:val="36"/>
              <w:highlight w:val="none"/>
            </w:rPr>
          </w:pPr>
          <w:r>
            <w:rPr>
              <w:color w:val="auto"/>
              <w:sz w:val="36"/>
              <w:szCs w:val="52"/>
              <w:highlight w:val="none"/>
            </w:rPr>
            <w:fldChar w:fldCharType="begin"/>
          </w:r>
          <w:r>
            <w:rPr>
              <w:color w:val="auto"/>
              <w:sz w:val="36"/>
              <w:szCs w:val="52"/>
              <w:highlight w:val="none"/>
            </w:rPr>
            <w:instrText xml:space="preserve"> HYPERLINK \l _Toc27298 </w:instrText>
          </w:r>
          <w:r>
            <w:rPr>
              <w:color w:val="auto"/>
              <w:sz w:val="36"/>
              <w:szCs w:val="52"/>
              <w:highlight w:val="none"/>
            </w:rPr>
            <w:fldChar w:fldCharType="separate"/>
          </w:r>
          <w:r>
            <w:rPr>
              <w:rFonts w:hint="eastAsia" w:asciiTheme="minorEastAsia" w:hAnsiTheme="minorEastAsia" w:eastAsiaTheme="minorEastAsia"/>
              <w:color w:val="auto"/>
              <w:sz w:val="36"/>
              <w:szCs w:val="72"/>
              <w:highlight w:val="none"/>
            </w:rPr>
            <w:t>第四章 评标</w:t>
          </w:r>
          <w:r>
            <w:rPr>
              <w:color w:val="auto"/>
              <w:sz w:val="36"/>
              <w:szCs w:val="36"/>
              <w:highlight w:val="none"/>
            </w:rPr>
            <w:tab/>
          </w:r>
          <w:r>
            <w:rPr>
              <w:color w:val="auto"/>
              <w:sz w:val="36"/>
              <w:szCs w:val="36"/>
              <w:highlight w:val="none"/>
            </w:rPr>
            <w:fldChar w:fldCharType="begin"/>
          </w:r>
          <w:r>
            <w:rPr>
              <w:color w:val="auto"/>
              <w:sz w:val="36"/>
              <w:szCs w:val="36"/>
              <w:highlight w:val="none"/>
            </w:rPr>
            <w:instrText xml:space="preserve"> PAGEREF _Toc27298 \h </w:instrText>
          </w:r>
          <w:r>
            <w:rPr>
              <w:color w:val="auto"/>
              <w:sz w:val="36"/>
              <w:szCs w:val="36"/>
              <w:highlight w:val="none"/>
            </w:rPr>
            <w:fldChar w:fldCharType="separate"/>
          </w:r>
          <w:r>
            <w:rPr>
              <w:color w:val="auto"/>
              <w:sz w:val="36"/>
              <w:szCs w:val="36"/>
              <w:highlight w:val="none"/>
            </w:rPr>
            <w:t>76</w:t>
          </w:r>
          <w:r>
            <w:rPr>
              <w:color w:val="auto"/>
              <w:sz w:val="36"/>
              <w:szCs w:val="36"/>
              <w:highlight w:val="none"/>
            </w:rPr>
            <w:fldChar w:fldCharType="end"/>
          </w:r>
          <w:r>
            <w:rPr>
              <w:color w:val="auto"/>
              <w:sz w:val="36"/>
              <w:szCs w:val="52"/>
              <w:highlight w:val="none"/>
            </w:rPr>
            <w:fldChar w:fldCharType="end"/>
          </w:r>
        </w:p>
        <w:p w14:paraId="36EB02A0">
          <w:pPr>
            <w:pStyle w:val="57"/>
            <w:tabs>
              <w:tab w:val="right" w:leader="dot" w:pos="9184"/>
            </w:tabs>
            <w:spacing w:line="360" w:lineRule="auto"/>
            <w:rPr>
              <w:color w:val="auto"/>
              <w:sz w:val="36"/>
              <w:szCs w:val="36"/>
              <w:highlight w:val="none"/>
            </w:rPr>
          </w:pPr>
          <w:r>
            <w:rPr>
              <w:color w:val="auto"/>
              <w:sz w:val="36"/>
              <w:szCs w:val="52"/>
              <w:highlight w:val="none"/>
            </w:rPr>
            <w:fldChar w:fldCharType="begin"/>
          </w:r>
          <w:r>
            <w:rPr>
              <w:color w:val="auto"/>
              <w:sz w:val="36"/>
              <w:szCs w:val="52"/>
              <w:highlight w:val="none"/>
            </w:rPr>
            <w:instrText xml:space="preserve"> HYPERLINK \l _Toc24360 </w:instrText>
          </w:r>
          <w:r>
            <w:rPr>
              <w:color w:val="auto"/>
              <w:sz w:val="36"/>
              <w:szCs w:val="52"/>
              <w:highlight w:val="none"/>
            </w:rPr>
            <w:fldChar w:fldCharType="separate"/>
          </w:r>
          <w:r>
            <w:rPr>
              <w:rFonts w:hint="eastAsia" w:asciiTheme="minorEastAsia" w:hAnsiTheme="minorEastAsia" w:eastAsiaTheme="minorEastAsia"/>
              <w:color w:val="auto"/>
              <w:sz w:val="36"/>
              <w:szCs w:val="72"/>
              <w:highlight w:val="none"/>
            </w:rPr>
            <w:t>第五章 拟签订的合同文本</w:t>
          </w:r>
          <w:r>
            <w:rPr>
              <w:color w:val="auto"/>
              <w:sz w:val="36"/>
              <w:szCs w:val="36"/>
              <w:highlight w:val="none"/>
            </w:rPr>
            <w:tab/>
          </w:r>
          <w:r>
            <w:rPr>
              <w:color w:val="auto"/>
              <w:sz w:val="36"/>
              <w:szCs w:val="36"/>
              <w:highlight w:val="none"/>
            </w:rPr>
            <w:fldChar w:fldCharType="begin"/>
          </w:r>
          <w:r>
            <w:rPr>
              <w:color w:val="auto"/>
              <w:sz w:val="36"/>
              <w:szCs w:val="36"/>
              <w:highlight w:val="none"/>
            </w:rPr>
            <w:instrText xml:space="preserve"> PAGEREF _Toc24360 \h </w:instrText>
          </w:r>
          <w:r>
            <w:rPr>
              <w:color w:val="auto"/>
              <w:sz w:val="36"/>
              <w:szCs w:val="36"/>
              <w:highlight w:val="none"/>
            </w:rPr>
            <w:fldChar w:fldCharType="separate"/>
          </w:r>
          <w:r>
            <w:rPr>
              <w:color w:val="auto"/>
              <w:sz w:val="36"/>
              <w:szCs w:val="36"/>
              <w:highlight w:val="none"/>
            </w:rPr>
            <w:t>85</w:t>
          </w:r>
          <w:r>
            <w:rPr>
              <w:color w:val="auto"/>
              <w:sz w:val="36"/>
              <w:szCs w:val="36"/>
              <w:highlight w:val="none"/>
            </w:rPr>
            <w:fldChar w:fldCharType="end"/>
          </w:r>
          <w:r>
            <w:rPr>
              <w:color w:val="auto"/>
              <w:sz w:val="36"/>
              <w:szCs w:val="52"/>
              <w:highlight w:val="none"/>
            </w:rPr>
            <w:fldChar w:fldCharType="end"/>
          </w:r>
        </w:p>
        <w:p w14:paraId="476199F7">
          <w:pPr>
            <w:pStyle w:val="57"/>
            <w:tabs>
              <w:tab w:val="right" w:leader="dot" w:pos="9184"/>
            </w:tabs>
            <w:spacing w:line="360" w:lineRule="auto"/>
            <w:rPr>
              <w:color w:val="auto"/>
              <w:sz w:val="36"/>
              <w:szCs w:val="36"/>
              <w:highlight w:val="none"/>
            </w:rPr>
          </w:pPr>
          <w:r>
            <w:rPr>
              <w:color w:val="auto"/>
              <w:sz w:val="36"/>
              <w:szCs w:val="52"/>
              <w:highlight w:val="none"/>
            </w:rPr>
            <w:fldChar w:fldCharType="begin"/>
          </w:r>
          <w:r>
            <w:rPr>
              <w:color w:val="auto"/>
              <w:sz w:val="36"/>
              <w:szCs w:val="52"/>
              <w:highlight w:val="none"/>
            </w:rPr>
            <w:instrText xml:space="preserve"> HYPERLINK \l _Toc7164 </w:instrText>
          </w:r>
          <w:r>
            <w:rPr>
              <w:color w:val="auto"/>
              <w:sz w:val="36"/>
              <w:szCs w:val="52"/>
              <w:highlight w:val="none"/>
            </w:rPr>
            <w:fldChar w:fldCharType="separate"/>
          </w:r>
          <w:r>
            <w:rPr>
              <w:rFonts w:hint="eastAsia" w:asciiTheme="minorEastAsia" w:hAnsiTheme="minorEastAsia" w:eastAsiaTheme="minorEastAsia"/>
              <w:color w:val="auto"/>
              <w:sz w:val="36"/>
              <w:szCs w:val="72"/>
              <w:highlight w:val="none"/>
            </w:rPr>
            <w:t>第六章 投标文件格式</w:t>
          </w:r>
          <w:r>
            <w:rPr>
              <w:color w:val="auto"/>
              <w:sz w:val="36"/>
              <w:szCs w:val="36"/>
              <w:highlight w:val="none"/>
            </w:rPr>
            <w:tab/>
          </w:r>
          <w:r>
            <w:rPr>
              <w:color w:val="auto"/>
              <w:sz w:val="36"/>
              <w:szCs w:val="36"/>
              <w:highlight w:val="none"/>
            </w:rPr>
            <w:fldChar w:fldCharType="begin"/>
          </w:r>
          <w:r>
            <w:rPr>
              <w:color w:val="auto"/>
              <w:sz w:val="36"/>
              <w:szCs w:val="36"/>
              <w:highlight w:val="none"/>
            </w:rPr>
            <w:instrText xml:space="preserve"> PAGEREF _Toc7164 \h </w:instrText>
          </w:r>
          <w:r>
            <w:rPr>
              <w:color w:val="auto"/>
              <w:sz w:val="36"/>
              <w:szCs w:val="36"/>
              <w:highlight w:val="none"/>
            </w:rPr>
            <w:fldChar w:fldCharType="separate"/>
          </w:r>
          <w:r>
            <w:rPr>
              <w:color w:val="auto"/>
              <w:sz w:val="36"/>
              <w:szCs w:val="36"/>
              <w:highlight w:val="none"/>
            </w:rPr>
            <w:t>90</w:t>
          </w:r>
          <w:r>
            <w:rPr>
              <w:color w:val="auto"/>
              <w:sz w:val="36"/>
              <w:szCs w:val="36"/>
              <w:highlight w:val="none"/>
            </w:rPr>
            <w:fldChar w:fldCharType="end"/>
          </w:r>
          <w:r>
            <w:rPr>
              <w:color w:val="auto"/>
              <w:sz w:val="36"/>
              <w:szCs w:val="52"/>
              <w:highlight w:val="none"/>
            </w:rPr>
            <w:fldChar w:fldCharType="end"/>
          </w:r>
        </w:p>
        <w:p w14:paraId="54A0F8FC">
          <w:pPr>
            <w:pStyle w:val="57"/>
            <w:tabs>
              <w:tab w:val="right" w:leader="dot" w:pos="9184"/>
            </w:tabs>
            <w:spacing w:line="360" w:lineRule="auto"/>
            <w:rPr>
              <w:color w:val="auto"/>
              <w:sz w:val="36"/>
              <w:szCs w:val="36"/>
              <w:highlight w:val="none"/>
            </w:rPr>
          </w:pPr>
        </w:p>
        <w:p w14:paraId="75B81537">
          <w:pPr>
            <w:spacing w:line="360" w:lineRule="auto"/>
            <w:rPr>
              <w:color w:val="auto"/>
              <w:sz w:val="28"/>
              <w:szCs w:val="28"/>
              <w:highlight w:val="none"/>
            </w:rPr>
          </w:pPr>
          <w:r>
            <w:rPr>
              <w:color w:val="auto"/>
              <w:sz w:val="40"/>
              <w:szCs w:val="52"/>
              <w:highlight w:val="none"/>
            </w:rPr>
            <w:fldChar w:fldCharType="end"/>
          </w:r>
        </w:p>
      </w:sdtContent>
    </w:sdt>
    <w:p w14:paraId="749AFEA9">
      <w:pPr>
        <w:spacing w:line="360" w:lineRule="auto"/>
        <w:rPr>
          <w:color w:val="auto"/>
          <w:highlight w:val="none"/>
        </w:rPr>
      </w:pPr>
    </w:p>
    <w:p w14:paraId="40492492">
      <w:pPr>
        <w:spacing w:line="360" w:lineRule="auto"/>
        <w:rPr>
          <w:color w:val="auto"/>
          <w:highlight w:val="none"/>
        </w:rPr>
      </w:pPr>
    </w:p>
    <w:p w14:paraId="5FDC2991">
      <w:pPr>
        <w:spacing w:line="360" w:lineRule="auto"/>
        <w:rPr>
          <w:color w:val="auto"/>
          <w:highlight w:val="none"/>
        </w:rPr>
      </w:pPr>
    </w:p>
    <w:p w14:paraId="5B4B0666">
      <w:pPr>
        <w:spacing w:line="360" w:lineRule="auto"/>
        <w:rPr>
          <w:color w:val="auto"/>
          <w:highlight w:val="none"/>
        </w:rPr>
      </w:pPr>
    </w:p>
    <w:p w14:paraId="70C28E16">
      <w:pPr>
        <w:spacing w:line="360" w:lineRule="auto"/>
        <w:rPr>
          <w:color w:val="auto"/>
          <w:highlight w:val="none"/>
        </w:rPr>
      </w:pPr>
    </w:p>
    <w:p w14:paraId="7BADA227">
      <w:pPr>
        <w:spacing w:line="360" w:lineRule="auto"/>
        <w:rPr>
          <w:color w:val="auto"/>
          <w:highlight w:val="none"/>
        </w:rPr>
      </w:pPr>
    </w:p>
    <w:p w14:paraId="0308492F">
      <w:pPr>
        <w:spacing w:line="360" w:lineRule="auto"/>
        <w:rPr>
          <w:color w:val="auto"/>
          <w:highlight w:val="none"/>
        </w:rPr>
      </w:pPr>
    </w:p>
    <w:p w14:paraId="33FF88E0">
      <w:pPr>
        <w:spacing w:line="360" w:lineRule="auto"/>
        <w:rPr>
          <w:color w:val="auto"/>
          <w:highlight w:val="none"/>
        </w:rPr>
      </w:pPr>
    </w:p>
    <w:p w14:paraId="60C8BFC1">
      <w:pPr>
        <w:spacing w:line="360" w:lineRule="auto"/>
        <w:rPr>
          <w:color w:val="auto"/>
          <w:highlight w:val="none"/>
        </w:rPr>
      </w:pPr>
    </w:p>
    <w:p w14:paraId="79204BDF">
      <w:pPr>
        <w:spacing w:line="360" w:lineRule="auto"/>
        <w:rPr>
          <w:color w:val="auto"/>
          <w:highlight w:val="none"/>
        </w:rPr>
      </w:pPr>
    </w:p>
    <w:p w14:paraId="0E04D1B0">
      <w:pPr>
        <w:spacing w:line="360" w:lineRule="auto"/>
        <w:rPr>
          <w:color w:val="auto"/>
          <w:highlight w:val="none"/>
        </w:rPr>
      </w:pPr>
    </w:p>
    <w:p w14:paraId="4DADB812">
      <w:pPr>
        <w:spacing w:line="360" w:lineRule="auto"/>
        <w:rPr>
          <w:color w:val="auto"/>
          <w:highlight w:val="none"/>
        </w:rPr>
      </w:pPr>
    </w:p>
    <w:p w14:paraId="06333B39">
      <w:pPr>
        <w:spacing w:line="360" w:lineRule="auto"/>
        <w:rPr>
          <w:color w:val="auto"/>
          <w:highlight w:val="none"/>
        </w:rPr>
      </w:pPr>
    </w:p>
    <w:p w14:paraId="1475C20E">
      <w:pPr>
        <w:spacing w:line="360" w:lineRule="auto"/>
        <w:rPr>
          <w:color w:val="auto"/>
          <w:highlight w:val="none"/>
        </w:rPr>
      </w:pPr>
    </w:p>
    <w:p w14:paraId="7FAB29B6">
      <w:pPr>
        <w:spacing w:line="360" w:lineRule="auto"/>
        <w:rPr>
          <w:color w:val="auto"/>
          <w:highlight w:val="none"/>
        </w:rPr>
      </w:pPr>
    </w:p>
    <w:p w14:paraId="6C1D019F">
      <w:pPr>
        <w:numPr>
          <w:ilvl w:val="0"/>
          <w:numId w:val="5"/>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color w:val="auto"/>
          <w:sz w:val="36"/>
          <w:szCs w:val="36"/>
          <w:highlight w:val="none"/>
        </w:rPr>
        <w:sectPr>
          <w:footerReference r:id="rId6" w:type="default"/>
          <w:pgSz w:w="11906" w:h="16838"/>
          <w:pgMar w:top="1247" w:right="1361" w:bottom="1247" w:left="1361" w:header="851" w:footer="851" w:gutter="0"/>
          <w:pgBorders>
            <w:top w:val="none" w:sz="0" w:space="0"/>
            <w:left w:val="none" w:sz="0" w:space="0"/>
            <w:bottom w:val="none" w:sz="0" w:space="0"/>
            <w:right w:val="none" w:sz="0" w:space="0"/>
          </w:pgBorders>
          <w:pgNumType w:fmt="decimal" w:start="1"/>
          <w:cols w:space="720" w:num="1"/>
          <w:docGrid w:type="lines" w:linePitch="312" w:charSpace="0"/>
        </w:sectPr>
      </w:pPr>
    </w:p>
    <w:p w14:paraId="777DEF0D">
      <w:pPr>
        <w:numPr>
          <w:ilvl w:val="0"/>
          <w:numId w:val="5"/>
        </w:numPr>
        <w:tabs>
          <w:tab w:val="left" w:pos="180"/>
          <w:tab w:val="left" w:pos="360"/>
          <w:tab w:val="left" w:pos="540"/>
          <w:tab w:val="left" w:pos="8280"/>
        </w:tabs>
        <w:autoSpaceDE w:val="0"/>
        <w:autoSpaceDN w:val="0"/>
        <w:adjustRightInd w:val="0"/>
        <w:spacing w:line="360" w:lineRule="auto"/>
        <w:ind w:right="23"/>
        <w:jc w:val="center"/>
        <w:outlineLvl w:val="0"/>
        <w:rPr>
          <w:rFonts w:ascii="宋体" w:hAnsi="宋体" w:cs="宋体"/>
          <w:b/>
          <w:color w:val="auto"/>
          <w:sz w:val="36"/>
          <w:szCs w:val="36"/>
          <w:highlight w:val="none"/>
        </w:rPr>
      </w:pPr>
      <w:bookmarkStart w:id="6" w:name="_Toc26456"/>
      <w:r>
        <w:rPr>
          <w:rFonts w:hint="eastAsia" w:ascii="宋体" w:hAnsi="宋体" w:cs="宋体"/>
          <w:b/>
          <w:color w:val="auto"/>
          <w:kern w:val="0"/>
          <w:sz w:val="36"/>
          <w:szCs w:val="36"/>
          <w:highlight w:val="none"/>
        </w:rPr>
        <w:t>投标邀请</w:t>
      </w:r>
      <w:bookmarkEnd w:id="6"/>
    </w:p>
    <w:p w14:paraId="2395B2C3">
      <w:pPr>
        <w:pStyle w:val="4"/>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cs="宋体"/>
          <w:b w:val="0"/>
          <w:color w:val="auto"/>
          <w:sz w:val="24"/>
          <w:szCs w:val="24"/>
          <w:highlight w:val="none"/>
        </w:rPr>
      </w:pPr>
      <w:bookmarkStart w:id="7" w:name="_Toc28359079"/>
      <w:bookmarkStart w:id="8" w:name="_Toc35393790"/>
      <w:bookmarkStart w:id="9" w:name="_Toc35393621"/>
      <w:bookmarkStart w:id="10" w:name="_Toc28359002"/>
      <w:bookmarkStart w:id="11" w:name="_Hlk24379207"/>
      <w:r>
        <w:rPr>
          <w:rFonts w:hint="eastAsia" w:cs="宋体"/>
          <w:b w:val="0"/>
          <w:color w:val="auto"/>
          <w:sz w:val="24"/>
          <w:szCs w:val="24"/>
          <w:highlight w:val="none"/>
          <w:u w:val="single"/>
          <w:lang w:eastAsia="zh-CN"/>
        </w:rPr>
        <w:t>台州市永阳科技有限公司</w:t>
      </w:r>
      <w:r>
        <w:rPr>
          <w:rFonts w:hint="eastAsia" w:cs="宋体"/>
          <w:b w:val="0"/>
          <w:color w:val="auto"/>
          <w:sz w:val="24"/>
          <w:szCs w:val="24"/>
          <w:highlight w:val="none"/>
        </w:rPr>
        <w:t>受</w:t>
      </w:r>
      <w:r>
        <w:rPr>
          <w:rFonts w:hint="eastAsia" w:cs="宋体"/>
          <w:b w:val="0"/>
          <w:color w:val="auto"/>
          <w:sz w:val="24"/>
          <w:szCs w:val="24"/>
          <w:highlight w:val="none"/>
          <w:u w:val="single"/>
          <w:lang w:eastAsia="zh-CN"/>
        </w:rPr>
        <w:t>海虹街道中心幼儿园</w:t>
      </w:r>
      <w:r>
        <w:rPr>
          <w:rFonts w:hint="eastAsia" w:cs="宋体"/>
          <w:b w:val="0"/>
          <w:color w:val="auto"/>
          <w:sz w:val="24"/>
          <w:szCs w:val="24"/>
          <w:highlight w:val="none"/>
        </w:rPr>
        <w:t>委托，就</w:t>
      </w:r>
      <w:r>
        <w:rPr>
          <w:rFonts w:hint="eastAsia" w:cs="宋体"/>
          <w:b w:val="0"/>
          <w:color w:val="auto"/>
          <w:sz w:val="24"/>
          <w:szCs w:val="24"/>
          <w:highlight w:val="none"/>
          <w:u w:val="single"/>
          <w:lang w:eastAsia="zh-CN"/>
        </w:rPr>
        <w:t>海虹街道中心幼儿园（翡翠云邸）幼儿家具采购项目</w:t>
      </w:r>
      <w:r>
        <w:rPr>
          <w:rFonts w:hint="eastAsia" w:cs="宋体"/>
          <w:b w:val="0"/>
          <w:color w:val="auto"/>
          <w:sz w:val="24"/>
          <w:szCs w:val="24"/>
          <w:highlight w:val="none"/>
        </w:rPr>
        <w:t>进行公开招标，欢迎符合资格条件的国内投标人参加投标。</w:t>
      </w:r>
    </w:p>
    <w:p w14:paraId="1C1177E8">
      <w:pPr>
        <w:pStyle w:val="4"/>
        <w:keepNext w:val="0"/>
        <w:keepLines w:val="0"/>
        <w:pageBreakBefore w:val="0"/>
        <w:widowControl w:val="0"/>
        <w:numPr>
          <w:ilvl w:val="0"/>
          <w:numId w:val="6"/>
        </w:numPr>
        <w:kinsoku/>
        <w:wordWrap/>
        <w:overflowPunct/>
        <w:topLinePunct w:val="0"/>
        <w:bidi w:val="0"/>
        <w:adjustRightInd/>
        <w:snapToGrid/>
        <w:spacing w:line="360" w:lineRule="auto"/>
        <w:ind w:left="0" w:leftChars="0" w:right="0" w:firstLine="420" w:firstLineChars="0"/>
        <w:jc w:val="left"/>
        <w:textAlignment w:val="auto"/>
        <w:rPr>
          <w:rFonts w:cs="宋体"/>
          <w:bCs/>
          <w:color w:val="auto"/>
          <w:sz w:val="24"/>
          <w:szCs w:val="24"/>
          <w:highlight w:val="none"/>
        </w:rPr>
      </w:pPr>
      <w:r>
        <w:rPr>
          <w:rFonts w:hint="eastAsia" w:cs="宋体"/>
          <w:bCs/>
          <w:color w:val="auto"/>
          <w:sz w:val="24"/>
          <w:szCs w:val="24"/>
          <w:highlight w:val="none"/>
        </w:rPr>
        <w:t>项目基本情况</w:t>
      </w:r>
      <w:bookmarkEnd w:id="7"/>
      <w:bookmarkEnd w:id="8"/>
      <w:bookmarkEnd w:id="9"/>
      <w:bookmarkEnd w:id="10"/>
    </w:p>
    <w:p w14:paraId="2E4DD879">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TZYY-2506-005号</w:t>
      </w:r>
      <w:r>
        <w:rPr>
          <w:rFonts w:ascii="宋体" w:hAnsi="宋体" w:cs="宋体"/>
          <w:color w:val="auto"/>
          <w:sz w:val="24"/>
          <w:highlight w:val="none"/>
        </w:rPr>
        <w:t xml:space="preserve"> </w:t>
      </w:r>
    </w:p>
    <w:bookmarkEnd w:id="11"/>
    <w:p w14:paraId="33751660">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color w:val="auto"/>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海虹街道中心幼儿园（翡翠云邸）幼儿家具采购项目</w:t>
      </w:r>
      <w:r>
        <w:rPr>
          <w:color w:val="auto"/>
          <w:highlight w:val="none"/>
        </w:rPr>
        <w:t xml:space="preserve"> </w:t>
      </w:r>
    </w:p>
    <w:tbl>
      <w:tblPr>
        <w:tblStyle w:val="27"/>
        <w:tblpPr w:leftFromText="181" w:rightFromText="181" w:bottomFromText="17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5169"/>
        <w:gridCol w:w="2086"/>
      </w:tblGrid>
      <w:tr w14:paraId="360F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267" w:type="dxa"/>
            <w:vAlign w:val="center"/>
          </w:tcPr>
          <w:p w14:paraId="46A2EC60">
            <w:pPr>
              <w:keepNext w:val="0"/>
              <w:keepLines w:val="0"/>
              <w:pageBreakBefore w:val="0"/>
              <w:widowControl w:val="0"/>
              <w:kinsoku/>
              <w:wordWrap/>
              <w:overflowPunct/>
              <w:topLinePunct w:val="0"/>
              <w:bidi w:val="0"/>
              <w:adjustRightInd/>
              <w:snapToGrid/>
              <w:spacing w:line="360" w:lineRule="auto"/>
              <w:ind w:right="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标</w:t>
            </w:r>
            <w:r>
              <w:rPr>
                <w:rFonts w:hint="eastAsia" w:ascii="宋体" w:hAnsi="宋体" w:cs="宋体"/>
                <w:color w:val="auto"/>
                <w:sz w:val="24"/>
                <w:highlight w:val="none"/>
                <w:lang w:val="en-US" w:eastAsia="zh-CN"/>
              </w:rPr>
              <w:t>段</w:t>
            </w:r>
            <w:r>
              <w:rPr>
                <w:rFonts w:hint="eastAsia" w:ascii="宋体" w:hAnsi="宋体" w:cs="宋体"/>
                <w:color w:val="auto"/>
                <w:sz w:val="24"/>
                <w:highlight w:val="none"/>
              </w:rPr>
              <w:t>号</w:t>
            </w:r>
          </w:p>
        </w:tc>
        <w:tc>
          <w:tcPr>
            <w:tcW w:w="5169" w:type="dxa"/>
            <w:vAlign w:val="center"/>
          </w:tcPr>
          <w:p w14:paraId="70C408F6">
            <w:pPr>
              <w:keepNext w:val="0"/>
              <w:keepLines w:val="0"/>
              <w:pageBreakBefore w:val="0"/>
              <w:widowControl w:val="0"/>
              <w:kinsoku/>
              <w:wordWrap/>
              <w:overflowPunct/>
              <w:topLinePunct w:val="0"/>
              <w:bidi w:val="0"/>
              <w:adjustRightInd/>
              <w:snapToGrid/>
              <w:spacing w:line="360" w:lineRule="auto"/>
              <w:ind w:right="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标</w:t>
            </w:r>
            <w:r>
              <w:rPr>
                <w:rFonts w:hint="eastAsia" w:ascii="宋体" w:hAnsi="宋体" w:cs="宋体"/>
                <w:color w:val="auto"/>
                <w:sz w:val="24"/>
                <w:highlight w:val="none"/>
                <w:lang w:val="en-US" w:eastAsia="zh-CN"/>
              </w:rPr>
              <w:t>段</w:t>
            </w:r>
            <w:r>
              <w:rPr>
                <w:rFonts w:hint="eastAsia" w:ascii="宋体" w:hAnsi="宋体" w:cs="宋体"/>
                <w:color w:val="auto"/>
                <w:sz w:val="24"/>
                <w:highlight w:val="none"/>
              </w:rPr>
              <w:t>名称</w:t>
            </w:r>
          </w:p>
        </w:tc>
        <w:tc>
          <w:tcPr>
            <w:tcW w:w="2086" w:type="dxa"/>
            <w:vAlign w:val="center"/>
          </w:tcPr>
          <w:p w14:paraId="3AA8CCAA">
            <w:pPr>
              <w:keepNext w:val="0"/>
              <w:keepLines w:val="0"/>
              <w:pageBreakBefore w:val="0"/>
              <w:widowControl w:val="0"/>
              <w:kinsoku/>
              <w:wordWrap/>
              <w:overflowPunct/>
              <w:topLinePunct w:val="0"/>
              <w:bidi w:val="0"/>
              <w:adjustRightInd/>
              <w:snapToGrid/>
              <w:spacing w:line="360" w:lineRule="auto"/>
              <w:ind w:right="0"/>
              <w:jc w:val="center"/>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预算金额（元）</w:t>
            </w:r>
          </w:p>
        </w:tc>
      </w:tr>
      <w:tr w14:paraId="7252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267" w:type="dxa"/>
            <w:vAlign w:val="center"/>
          </w:tcPr>
          <w:p w14:paraId="5AAA1332">
            <w:pPr>
              <w:keepNext w:val="0"/>
              <w:keepLines w:val="0"/>
              <w:pageBreakBefore w:val="0"/>
              <w:widowControl w:val="0"/>
              <w:kinsoku/>
              <w:wordWrap/>
              <w:overflowPunct/>
              <w:topLinePunct w:val="0"/>
              <w:bidi w:val="0"/>
              <w:adjustRightInd/>
              <w:snapToGrid/>
              <w:spacing w:line="360" w:lineRule="auto"/>
              <w:ind w:right="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1</w:t>
            </w:r>
          </w:p>
        </w:tc>
        <w:tc>
          <w:tcPr>
            <w:tcW w:w="5169" w:type="dxa"/>
            <w:vAlign w:val="center"/>
          </w:tcPr>
          <w:p w14:paraId="2C57DFB5">
            <w:pPr>
              <w:keepNext w:val="0"/>
              <w:keepLines w:val="0"/>
              <w:pageBreakBefore w:val="0"/>
              <w:widowControl w:val="0"/>
              <w:kinsoku/>
              <w:wordWrap/>
              <w:overflowPunct/>
              <w:topLinePunct w:val="0"/>
              <w:bidi w:val="0"/>
              <w:adjustRightInd/>
              <w:snapToGrid/>
              <w:spacing w:line="360" w:lineRule="auto"/>
              <w:ind w:right="0"/>
              <w:jc w:val="center"/>
              <w:textAlignment w:val="auto"/>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海虹街道中心幼儿园（翡翠云邸）幼儿家具采购项目</w:t>
            </w:r>
          </w:p>
        </w:tc>
        <w:tc>
          <w:tcPr>
            <w:tcW w:w="2086" w:type="dxa"/>
            <w:vAlign w:val="center"/>
          </w:tcPr>
          <w:p w14:paraId="25B480BF">
            <w:pPr>
              <w:keepNext w:val="0"/>
              <w:keepLines w:val="0"/>
              <w:pageBreakBefore w:val="0"/>
              <w:widowControl w:val="0"/>
              <w:kinsoku/>
              <w:wordWrap/>
              <w:overflowPunct/>
              <w:topLinePunct w:val="0"/>
              <w:bidi w:val="0"/>
              <w:adjustRightInd/>
              <w:snapToGrid/>
              <w:spacing w:line="360" w:lineRule="auto"/>
              <w:ind w:right="0"/>
              <w:jc w:val="center"/>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330000</w:t>
            </w:r>
          </w:p>
        </w:tc>
      </w:tr>
    </w:tbl>
    <w:p w14:paraId="3FB2C084">
      <w:pPr>
        <w:pStyle w:val="4"/>
        <w:keepNext w:val="0"/>
        <w:keepLines w:val="0"/>
        <w:pageBreakBefore w:val="0"/>
        <w:widowControl w:val="0"/>
        <w:numPr>
          <w:ilvl w:val="0"/>
          <w:numId w:val="6"/>
        </w:numPr>
        <w:tabs>
          <w:tab w:val="left" w:pos="9660"/>
          <w:tab w:val="clear" w:pos="8280"/>
        </w:tabs>
        <w:kinsoku/>
        <w:wordWrap/>
        <w:overflowPunct/>
        <w:topLinePunct w:val="0"/>
        <w:bidi w:val="0"/>
        <w:adjustRightInd/>
        <w:snapToGrid/>
        <w:spacing w:line="360" w:lineRule="auto"/>
        <w:ind w:left="0" w:leftChars="0" w:right="0" w:firstLine="482" w:firstLineChars="200"/>
        <w:jc w:val="left"/>
        <w:textAlignment w:val="auto"/>
        <w:rPr>
          <w:rFonts w:cs="宋体"/>
          <w:bCs/>
          <w:color w:val="auto"/>
          <w:sz w:val="24"/>
          <w:szCs w:val="24"/>
          <w:highlight w:val="none"/>
        </w:rPr>
      </w:pPr>
      <w:bookmarkStart w:id="12" w:name="_Toc28359080"/>
      <w:bookmarkStart w:id="13" w:name="_Toc35393622"/>
      <w:bookmarkStart w:id="14" w:name="_Toc35393791"/>
      <w:bookmarkStart w:id="15" w:name="_Toc28359003"/>
      <w:r>
        <w:rPr>
          <w:rFonts w:hint="eastAsia" w:cs="宋体"/>
          <w:bCs/>
          <w:color w:val="auto"/>
          <w:sz w:val="24"/>
          <w:szCs w:val="24"/>
          <w:highlight w:val="none"/>
        </w:rPr>
        <w:t>投标人的资格要求</w:t>
      </w:r>
      <w:bookmarkEnd w:id="12"/>
      <w:bookmarkEnd w:id="13"/>
      <w:bookmarkEnd w:id="14"/>
      <w:bookmarkEnd w:id="15"/>
    </w:p>
    <w:p w14:paraId="018352F3">
      <w:pPr>
        <w:keepNext w:val="0"/>
        <w:keepLines w:val="0"/>
        <w:pageBreakBefore w:val="0"/>
        <w:widowControl w:val="0"/>
        <w:numPr>
          <w:ilvl w:val="0"/>
          <w:numId w:val="7"/>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满足《中华人民共和国政府采购法》第二十二条规定。</w:t>
      </w:r>
    </w:p>
    <w:p w14:paraId="658552C9">
      <w:pPr>
        <w:keepNext w:val="0"/>
        <w:keepLines w:val="0"/>
        <w:pageBreakBefore w:val="0"/>
        <w:widowControl w:val="0"/>
        <w:numPr>
          <w:ilvl w:val="0"/>
          <w:numId w:val="7"/>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rPr>
      </w:pPr>
      <w:bookmarkStart w:id="16" w:name="_Toc28359081"/>
      <w:bookmarkStart w:id="17" w:name="_Toc35393623"/>
      <w:bookmarkStart w:id="18" w:name="_Toc28359004"/>
      <w:bookmarkStart w:id="19" w:name="_Toc35393792"/>
      <w:r>
        <w:rPr>
          <w:rFonts w:hint="eastAsia" w:ascii="宋体" w:hAnsi="宋体" w:cs="宋体"/>
          <w:color w:val="auto"/>
          <w:sz w:val="24"/>
          <w:szCs w:val="24"/>
          <w:highlight w:val="none"/>
        </w:rPr>
        <w:t>本项目的特定资格要求：</w:t>
      </w:r>
      <w:r>
        <w:rPr>
          <w:rFonts w:hint="eastAsia" w:ascii="宋体" w:hAnsi="宋体"/>
          <w:color w:val="auto"/>
          <w:sz w:val="24"/>
          <w:szCs w:val="24"/>
          <w:highlight w:val="none"/>
        </w:rPr>
        <w:t>无</w:t>
      </w:r>
      <w:r>
        <w:rPr>
          <w:rFonts w:hint="eastAsia" w:ascii="宋体" w:hAnsi="宋体" w:cs="宋体"/>
          <w:color w:val="auto"/>
          <w:sz w:val="24"/>
          <w:szCs w:val="24"/>
          <w:highlight w:val="none"/>
        </w:rPr>
        <w:t>。</w:t>
      </w:r>
    </w:p>
    <w:p w14:paraId="44F6B6B2">
      <w:pPr>
        <w:keepNext w:val="0"/>
        <w:keepLines w:val="0"/>
        <w:pageBreakBefore w:val="0"/>
        <w:widowControl w:val="0"/>
        <w:numPr>
          <w:ilvl w:val="0"/>
          <w:numId w:val="7"/>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本项目不接受联合体投标。</w:t>
      </w:r>
    </w:p>
    <w:p w14:paraId="460F8558">
      <w:pPr>
        <w:keepNext w:val="0"/>
        <w:keepLines w:val="0"/>
        <w:pageBreakBefore w:val="0"/>
        <w:widowControl w:val="0"/>
        <w:numPr>
          <w:ilvl w:val="0"/>
          <w:numId w:val="7"/>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信用记录：未被列入“信用中国”失信被执行人或重大税收违法案件当事人名单；未处于“中国政府采购网”</w:t>
      </w:r>
      <w:r>
        <w:rPr>
          <w:color w:val="auto"/>
          <w:sz w:val="24"/>
          <w:szCs w:val="24"/>
          <w:highlight w:val="none"/>
        </w:rPr>
        <w:fldChar w:fldCharType="begin"/>
      </w:r>
      <w:r>
        <w:rPr>
          <w:color w:val="auto"/>
          <w:sz w:val="24"/>
          <w:szCs w:val="24"/>
          <w:highlight w:val="none"/>
        </w:rPr>
        <w:instrText xml:space="preserve"> HYPERLINK "http://www.ccgp.gov.cn）政府采购严重违法失信行为信息记录中的禁止参加政府采购活动期间。/" </w:instrText>
      </w:r>
      <w:r>
        <w:rPr>
          <w:color w:val="auto"/>
          <w:sz w:val="24"/>
          <w:szCs w:val="24"/>
          <w:highlight w:val="none"/>
        </w:rPr>
        <w:fldChar w:fldCharType="separate"/>
      </w:r>
      <w:r>
        <w:rPr>
          <w:rFonts w:hint="eastAsia" w:ascii="宋体" w:hAnsi="宋体" w:cs="宋体"/>
          <w:color w:val="auto"/>
          <w:sz w:val="24"/>
          <w:szCs w:val="24"/>
          <w:highlight w:val="none"/>
        </w:rPr>
        <w:t>政府采购严重违法失信行为信息记录中的禁止参加政府采购活动期间。</w:t>
      </w:r>
      <w:r>
        <w:rPr>
          <w:rFonts w:ascii="宋体" w:hAnsi="宋体" w:cs="宋体"/>
          <w:color w:val="auto"/>
          <w:sz w:val="24"/>
          <w:szCs w:val="24"/>
          <w:highlight w:val="none"/>
        </w:rPr>
        <w:fldChar w:fldCharType="end"/>
      </w:r>
    </w:p>
    <w:p w14:paraId="35228E11">
      <w:pPr>
        <w:keepNext w:val="0"/>
        <w:keepLines w:val="0"/>
        <w:pageBreakBefore w:val="0"/>
        <w:widowControl w:val="0"/>
        <w:numPr>
          <w:ilvl w:val="0"/>
          <w:numId w:val="7"/>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szCs w:val="24"/>
          <w:highlight w:val="none"/>
        </w:rPr>
      </w:pPr>
      <w:r>
        <w:rPr>
          <w:rFonts w:hint="eastAsia" w:ascii="宋体" w:hAnsi="宋体"/>
          <w:color w:val="auto"/>
          <w:sz w:val="24"/>
          <w:szCs w:val="24"/>
          <w:highlight w:val="none"/>
        </w:rPr>
        <w:t>公益一类事业单位，既不属于政府购买服务的购买主体，也不属于承接主体，不得参与承接政府购买服务。</w:t>
      </w:r>
    </w:p>
    <w:p w14:paraId="5F28C532">
      <w:pPr>
        <w:keepNext w:val="0"/>
        <w:keepLines w:val="0"/>
        <w:pageBreakBefore w:val="0"/>
        <w:widowControl w:val="0"/>
        <w:numPr>
          <w:ilvl w:val="0"/>
          <w:numId w:val="7"/>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法律、行政法规规定的其他条件：单位负责人为同一人或者存在直接控股、管理关系的不同供应商，不得同时参加同一项目投标，不得再参与本项目投标。</w:t>
      </w:r>
    </w:p>
    <w:p w14:paraId="48430003">
      <w:pPr>
        <w:pStyle w:val="4"/>
        <w:keepNext w:val="0"/>
        <w:keepLines w:val="0"/>
        <w:pageBreakBefore w:val="0"/>
        <w:widowControl w:val="0"/>
        <w:numPr>
          <w:ilvl w:val="0"/>
          <w:numId w:val="6"/>
        </w:numPr>
        <w:tabs>
          <w:tab w:val="left" w:pos="9660"/>
          <w:tab w:val="clear" w:pos="8280"/>
        </w:tabs>
        <w:kinsoku/>
        <w:wordWrap/>
        <w:overflowPunct/>
        <w:topLinePunct w:val="0"/>
        <w:bidi w:val="0"/>
        <w:adjustRightInd/>
        <w:snapToGrid/>
        <w:spacing w:line="360" w:lineRule="auto"/>
        <w:ind w:left="0" w:leftChars="0" w:right="0" w:firstLine="482" w:firstLineChars="200"/>
        <w:jc w:val="left"/>
        <w:textAlignment w:val="auto"/>
        <w:rPr>
          <w:rFonts w:cs="宋体"/>
          <w:bCs/>
          <w:color w:val="auto"/>
          <w:sz w:val="24"/>
          <w:szCs w:val="24"/>
          <w:highlight w:val="none"/>
        </w:rPr>
      </w:pPr>
      <w:r>
        <w:rPr>
          <w:rFonts w:hint="eastAsia" w:cs="宋体"/>
          <w:bCs/>
          <w:color w:val="auto"/>
          <w:sz w:val="24"/>
          <w:szCs w:val="24"/>
          <w:highlight w:val="none"/>
        </w:rPr>
        <w:t>获取招标文件</w:t>
      </w:r>
      <w:bookmarkEnd w:id="16"/>
      <w:bookmarkEnd w:id="17"/>
      <w:bookmarkEnd w:id="18"/>
      <w:bookmarkEnd w:id="19"/>
    </w:p>
    <w:p w14:paraId="1878AA5D">
      <w:pPr>
        <w:keepNext w:val="0"/>
        <w:keepLines w:val="0"/>
        <w:pageBreakBefore w:val="0"/>
        <w:widowControl w:val="0"/>
        <w:numPr>
          <w:ilvl w:val="0"/>
          <w:numId w:val="8"/>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时间：项目发布之日起至</w:t>
      </w:r>
      <w:r>
        <w:rPr>
          <w:rFonts w:hint="eastAsia" w:ascii="宋体" w:hAnsi="宋体" w:cs="宋体"/>
          <w:b w:val="0"/>
          <w:bCs w:val="0"/>
          <w:color w:val="auto"/>
          <w:sz w:val="24"/>
          <w:szCs w:val="24"/>
          <w:highlight w:val="none"/>
          <w:u w:val="single"/>
        </w:rPr>
        <w:t>开标截止时间</w:t>
      </w:r>
    </w:p>
    <w:p w14:paraId="4AA6E5D6">
      <w:pPr>
        <w:keepNext w:val="0"/>
        <w:keepLines w:val="0"/>
        <w:pageBreakBefore w:val="0"/>
        <w:widowControl w:val="0"/>
        <w:numPr>
          <w:ilvl w:val="0"/>
          <w:numId w:val="8"/>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
          <w:color w:val="auto"/>
          <w:kern w:val="0"/>
          <w:sz w:val="24"/>
          <w:szCs w:val="24"/>
          <w:highlight w:val="none"/>
        </w:rPr>
      </w:pPr>
      <w:r>
        <w:rPr>
          <w:rFonts w:hint="eastAsia" w:ascii="宋体" w:hAnsi="宋体" w:cs="宋体"/>
          <w:b w:val="0"/>
          <w:bCs w:val="0"/>
          <w:color w:val="auto"/>
          <w:sz w:val="24"/>
          <w:szCs w:val="24"/>
          <w:highlight w:val="none"/>
        </w:rPr>
        <w:t>方式：</w:t>
      </w:r>
      <w:r>
        <w:rPr>
          <w:rFonts w:hint="eastAsia" w:ascii="宋体" w:hAnsi="宋体" w:cs="宋体"/>
          <w:b w:val="0"/>
          <w:bCs w:val="0"/>
          <w:color w:val="auto"/>
          <w:kern w:val="0"/>
          <w:sz w:val="24"/>
          <w:szCs w:val="24"/>
          <w:highlight w:val="none"/>
        </w:rPr>
        <w:t>网上下载-台州湾新区小额工程电子交易平台</w:t>
      </w:r>
      <w:r>
        <w:rPr>
          <w:rFonts w:hint="eastAsia" w:ascii="宋体" w:hAnsi="宋体" w:cs="宋体"/>
          <w:b/>
          <w:color w:val="auto"/>
          <w:kern w:val="0"/>
          <w:sz w:val="24"/>
          <w:szCs w:val="24"/>
          <w:highlight w:val="none"/>
        </w:rPr>
        <w:t>（</w:t>
      </w:r>
      <w:r>
        <w:rPr>
          <w:rFonts w:ascii="宋体" w:hAnsi="宋体" w:cs="宋体"/>
          <w:b/>
          <w:color w:val="auto"/>
          <w:kern w:val="0"/>
          <w:sz w:val="24"/>
          <w:szCs w:val="24"/>
          <w:highlight w:val="none"/>
        </w:rPr>
        <w:t>http://www.tzwztb.com</w:t>
      </w:r>
      <w:r>
        <w:rPr>
          <w:rFonts w:hint="eastAsia" w:ascii="宋体" w:hAnsi="宋体" w:cs="宋体"/>
          <w:b/>
          <w:color w:val="auto"/>
          <w:kern w:val="0"/>
          <w:sz w:val="24"/>
          <w:szCs w:val="24"/>
          <w:highlight w:val="none"/>
          <w:lang w:eastAsia="zh-CN"/>
        </w:rPr>
        <w:t>)</w:t>
      </w:r>
    </w:p>
    <w:p w14:paraId="402F44DD">
      <w:pPr>
        <w:pStyle w:val="4"/>
        <w:keepNext w:val="0"/>
        <w:keepLines w:val="0"/>
        <w:pageBreakBefore w:val="0"/>
        <w:widowControl w:val="0"/>
        <w:numPr>
          <w:ilvl w:val="0"/>
          <w:numId w:val="6"/>
        </w:numPr>
        <w:kinsoku/>
        <w:wordWrap/>
        <w:overflowPunct/>
        <w:topLinePunct w:val="0"/>
        <w:bidi w:val="0"/>
        <w:adjustRightInd/>
        <w:snapToGrid/>
        <w:spacing w:line="360" w:lineRule="auto"/>
        <w:ind w:left="0" w:leftChars="0" w:right="0" w:firstLine="482" w:firstLineChars="200"/>
        <w:jc w:val="left"/>
        <w:textAlignment w:val="auto"/>
        <w:rPr>
          <w:rFonts w:cs="宋体"/>
          <w:bCs/>
          <w:color w:val="auto"/>
          <w:sz w:val="24"/>
          <w:szCs w:val="24"/>
          <w:highlight w:val="none"/>
        </w:rPr>
      </w:pPr>
      <w:bookmarkStart w:id="20" w:name="_Toc28359005"/>
      <w:bookmarkStart w:id="21" w:name="_Toc35393624"/>
      <w:bookmarkStart w:id="22" w:name="_Toc28359082"/>
      <w:bookmarkStart w:id="23" w:name="_Toc35393793"/>
      <w:r>
        <w:rPr>
          <w:rFonts w:hint="eastAsia" w:cs="宋体"/>
          <w:bCs/>
          <w:color w:val="auto"/>
          <w:sz w:val="24"/>
          <w:szCs w:val="24"/>
          <w:highlight w:val="none"/>
        </w:rPr>
        <w:t>提交投标文件</w:t>
      </w:r>
      <w:bookmarkEnd w:id="20"/>
      <w:bookmarkEnd w:id="21"/>
      <w:bookmarkEnd w:id="22"/>
      <w:bookmarkEnd w:id="23"/>
    </w:p>
    <w:p w14:paraId="3E38D0C8">
      <w:pPr>
        <w:keepNext w:val="0"/>
        <w:keepLines w:val="0"/>
        <w:pageBreakBefore w:val="0"/>
        <w:widowControl w:val="0"/>
        <w:numPr>
          <w:ilvl w:val="0"/>
          <w:numId w:val="9"/>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rPr>
      </w:pPr>
      <w:bookmarkStart w:id="24" w:name="_Toc28359084"/>
      <w:bookmarkStart w:id="25" w:name="_Toc28359007"/>
      <w:bookmarkStart w:id="26" w:name="_Toc35393794"/>
      <w:bookmarkStart w:id="27" w:name="_Toc35393625"/>
      <w:r>
        <w:rPr>
          <w:rFonts w:hint="eastAsia" w:ascii="宋体" w:hAnsi="宋体" w:cs="宋体"/>
          <w:color w:val="auto"/>
          <w:sz w:val="24"/>
          <w:szCs w:val="24"/>
          <w:highlight w:val="none"/>
        </w:rPr>
        <w:t>截止时间（开标时间）：</w:t>
      </w:r>
      <w:r>
        <w:rPr>
          <w:rFonts w:hint="eastAsia" w:ascii="宋体" w:hAnsi="宋体" w:cs="宋体"/>
          <w:bCs/>
          <w:color w:val="auto"/>
          <w:sz w:val="24"/>
          <w:szCs w:val="24"/>
          <w:highlight w:val="none"/>
          <w:u w:val="single"/>
          <w:lang w:eastAsia="zh-CN"/>
        </w:rPr>
        <w:t>202</w:t>
      </w:r>
      <w:r>
        <w:rPr>
          <w:rFonts w:hint="eastAsia" w:ascii="宋体" w:hAnsi="宋体" w:cs="宋体"/>
          <w:bCs/>
          <w:color w:val="auto"/>
          <w:sz w:val="24"/>
          <w:szCs w:val="24"/>
          <w:highlight w:val="none"/>
          <w:u w:val="single"/>
          <w:lang w:val="en-US" w:eastAsia="zh-CN"/>
        </w:rPr>
        <w:t>5</w:t>
      </w:r>
      <w:r>
        <w:rPr>
          <w:rFonts w:hint="eastAsia" w:ascii="宋体" w:hAnsi="宋体" w:cs="宋体"/>
          <w:bCs/>
          <w:color w:val="auto"/>
          <w:sz w:val="24"/>
          <w:szCs w:val="24"/>
          <w:highlight w:val="none"/>
          <w:u w:val="single"/>
          <w:lang w:eastAsia="zh-CN"/>
        </w:rPr>
        <w:t>年</w:t>
      </w:r>
      <w:r>
        <w:rPr>
          <w:rFonts w:hint="eastAsia" w:ascii="宋体" w:hAnsi="宋体" w:cs="宋体"/>
          <w:color w:val="auto"/>
          <w:sz w:val="24"/>
          <w:szCs w:val="24"/>
          <w:highlight w:val="none"/>
          <w:u w:val="single"/>
          <w:lang w:val="en-US" w:eastAsia="zh-CN"/>
        </w:rPr>
        <w:t>06月18</w:t>
      </w:r>
      <w:r>
        <w:rPr>
          <w:rFonts w:hint="eastAsia" w:ascii="宋体" w:hAnsi="宋体" w:cs="宋体"/>
          <w:bCs/>
          <w:color w:val="auto"/>
          <w:sz w:val="24"/>
          <w:szCs w:val="24"/>
          <w:highlight w:val="none"/>
          <w:u w:val="single"/>
        </w:rPr>
        <w:t>日</w:t>
      </w:r>
      <w:r>
        <w:rPr>
          <w:rFonts w:hint="eastAsia" w:ascii="宋体" w:hAnsi="宋体" w:cs="宋体"/>
          <w:bCs/>
          <w:color w:val="auto"/>
          <w:sz w:val="24"/>
          <w:szCs w:val="24"/>
          <w:highlight w:val="none"/>
          <w:u w:val="single"/>
          <w:lang w:val="en-US" w:eastAsia="zh-CN"/>
        </w:rPr>
        <w:t>09</w:t>
      </w:r>
      <w:r>
        <w:rPr>
          <w:rFonts w:hint="eastAsia" w:ascii="宋体" w:hAnsi="宋体" w:cs="宋体"/>
          <w:bCs/>
          <w:color w:val="auto"/>
          <w:sz w:val="24"/>
          <w:szCs w:val="24"/>
          <w:highlight w:val="none"/>
          <w:u w:val="single"/>
        </w:rPr>
        <w:t>点</w:t>
      </w:r>
      <w:r>
        <w:rPr>
          <w:rFonts w:hint="eastAsia" w:ascii="宋体" w:hAnsi="宋体" w:cs="宋体"/>
          <w:bCs/>
          <w:color w:val="auto"/>
          <w:sz w:val="24"/>
          <w:szCs w:val="24"/>
          <w:highlight w:val="none"/>
          <w:u w:val="single"/>
          <w:lang w:val="en-US" w:eastAsia="zh-CN"/>
        </w:rPr>
        <w:t>3</w:t>
      </w:r>
      <w:r>
        <w:rPr>
          <w:rFonts w:hint="eastAsia" w:ascii="宋体" w:hAnsi="宋体" w:cs="宋体"/>
          <w:bCs/>
          <w:color w:val="auto"/>
          <w:sz w:val="24"/>
          <w:szCs w:val="24"/>
          <w:highlight w:val="none"/>
          <w:u w:val="single"/>
        </w:rPr>
        <w:t>0分</w:t>
      </w:r>
      <w:r>
        <w:rPr>
          <w:rFonts w:hint="eastAsia" w:ascii="宋体" w:hAnsi="宋体" w:cs="宋体"/>
          <w:color w:val="auto"/>
          <w:sz w:val="24"/>
          <w:szCs w:val="24"/>
          <w:highlight w:val="none"/>
        </w:rPr>
        <w:t>（北京时间）</w:t>
      </w:r>
    </w:p>
    <w:p w14:paraId="558E22F4">
      <w:pPr>
        <w:keepNext w:val="0"/>
        <w:keepLines w:val="0"/>
        <w:pageBreakBefore w:val="0"/>
        <w:widowControl w:val="0"/>
        <w:numPr>
          <w:ilvl w:val="0"/>
          <w:numId w:val="9"/>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投标网址：台州湾新区小额工程电子交易平台（网址：</w:t>
      </w:r>
      <w:r>
        <w:rPr>
          <w:color w:val="auto"/>
          <w:sz w:val="24"/>
          <w:szCs w:val="24"/>
          <w:highlight w:val="none"/>
        </w:rPr>
        <w:t>http://www.tzwztb.com</w:t>
      </w:r>
      <w:r>
        <w:rPr>
          <w:rFonts w:hint="eastAsia"/>
          <w:color w:val="auto"/>
          <w:sz w:val="24"/>
          <w:szCs w:val="24"/>
          <w:highlight w:val="none"/>
          <w:lang w:eastAsia="zh-CN"/>
        </w:rPr>
        <w:t>）</w:t>
      </w:r>
    </w:p>
    <w:bookmarkEnd w:id="24"/>
    <w:bookmarkEnd w:id="25"/>
    <w:bookmarkEnd w:id="26"/>
    <w:bookmarkEnd w:id="27"/>
    <w:p w14:paraId="11CC9782">
      <w:pPr>
        <w:pStyle w:val="26"/>
        <w:keepNext w:val="0"/>
        <w:keepLines w:val="0"/>
        <w:pageBreakBefore w:val="0"/>
        <w:widowControl w:val="0"/>
        <w:numPr>
          <w:ilvl w:val="0"/>
          <w:numId w:val="6"/>
        </w:numPr>
        <w:kinsoku/>
        <w:wordWrap/>
        <w:overflowPunct/>
        <w:topLinePunct w:val="0"/>
        <w:bidi w:val="0"/>
        <w:adjustRightInd/>
        <w:snapToGrid/>
        <w:spacing w:after="0" w:line="360" w:lineRule="auto"/>
        <w:ind w:left="0" w:leftChars="0" w:right="0" w:firstLine="482" w:firstLineChars="200"/>
        <w:jc w:val="left"/>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发布公告</w:t>
      </w:r>
    </w:p>
    <w:p w14:paraId="4DE432AF">
      <w:pPr>
        <w:pStyle w:val="26"/>
        <w:keepNext w:val="0"/>
        <w:keepLines w:val="0"/>
        <w:pageBreakBefore w:val="0"/>
        <w:widowControl w:val="0"/>
        <w:numPr>
          <w:ilvl w:val="0"/>
          <w:numId w:val="10"/>
        </w:numPr>
        <w:kinsoku/>
        <w:wordWrap/>
        <w:overflowPunct/>
        <w:topLinePunct w:val="0"/>
        <w:bidi w:val="0"/>
        <w:adjustRightInd/>
        <w:snapToGrid/>
        <w:spacing w:after="0" w:line="360" w:lineRule="auto"/>
        <w:ind w:left="0" w:leftChars="0" w:right="0" w:firstLine="480" w:firstLineChars="200"/>
        <w:jc w:val="lef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rPr>
        <w:t>公告网址：台州湾新区小额工程电子交易平台（http://www.tzwztb.com）、</w:t>
      </w:r>
      <w:r>
        <w:rPr>
          <w:rFonts w:hint="eastAsia" w:ascii="宋体" w:hAnsi="宋体" w:cs="宋体"/>
          <w:color w:val="auto"/>
          <w:kern w:val="0"/>
          <w:sz w:val="24"/>
          <w:szCs w:val="24"/>
          <w:highlight w:val="none"/>
        </w:rPr>
        <w:t>浙江政府采购网（</w:t>
      </w:r>
      <w:r>
        <w:rPr>
          <w:rFonts w:hint="eastAsia" w:ascii="宋体" w:hAnsi="宋体" w:cs="宋体"/>
          <w:color w:val="auto"/>
          <w:sz w:val="24"/>
          <w:szCs w:val="24"/>
          <w:highlight w:val="none"/>
        </w:rPr>
        <w:t>https://zfcg.czt.zj.gov.cn</w:t>
      </w:r>
      <w:r>
        <w:rPr>
          <w:rFonts w:hint="eastAsia" w:ascii="宋体" w:hAnsi="宋体" w:cs="宋体"/>
          <w:color w:val="auto"/>
          <w:kern w:val="0"/>
          <w:sz w:val="24"/>
          <w:szCs w:val="24"/>
          <w:highlight w:val="none"/>
        </w:rPr>
        <w:t>）</w:t>
      </w:r>
    </w:p>
    <w:p w14:paraId="00BF4428">
      <w:pPr>
        <w:pStyle w:val="26"/>
        <w:keepNext w:val="0"/>
        <w:keepLines w:val="0"/>
        <w:pageBreakBefore w:val="0"/>
        <w:widowControl w:val="0"/>
        <w:numPr>
          <w:ilvl w:val="0"/>
          <w:numId w:val="10"/>
        </w:numPr>
        <w:kinsoku/>
        <w:wordWrap/>
        <w:overflowPunct/>
        <w:topLinePunct w:val="0"/>
        <w:bidi w:val="0"/>
        <w:adjustRightInd/>
        <w:snapToGrid/>
        <w:spacing w:after="0" w:line="360" w:lineRule="auto"/>
        <w:ind w:left="0" w:leftChars="0" w:right="0" w:firstLine="480" w:firstLineChars="200"/>
        <w:jc w:val="lef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rPr>
        <w:t>公告期限：</w:t>
      </w:r>
      <w:r>
        <w:rPr>
          <w:rFonts w:hint="eastAsia" w:ascii="宋体" w:hAnsi="宋体" w:cs="宋体"/>
          <w:color w:val="auto"/>
          <w:kern w:val="0"/>
          <w:sz w:val="24"/>
          <w:szCs w:val="24"/>
          <w:highlight w:val="none"/>
        </w:rPr>
        <w:t>本公告期限自发布之日起五个工作日</w:t>
      </w:r>
    </w:p>
    <w:p w14:paraId="38B12CF7">
      <w:pPr>
        <w:pStyle w:val="4"/>
        <w:keepNext w:val="0"/>
        <w:keepLines w:val="0"/>
        <w:pageBreakBefore w:val="0"/>
        <w:widowControl w:val="0"/>
        <w:numPr>
          <w:ilvl w:val="0"/>
          <w:numId w:val="6"/>
        </w:numPr>
        <w:kinsoku/>
        <w:wordWrap/>
        <w:overflowPunct/>
        <w:topLinePunct w:val="0"/>
        <w:bidi w:val="0"/>
        <w:adjustRightInd/>
        <w:snapToGrid/>
        <w:spacing w:line="360" w:lineRule="auto"/>
        <w:ind w:left="0" w:leftChars="0" w:right="0" w:firstLine="482" w:firstLineChars="200"/>
        <w:jc w:val="left"/>
        <w:textAlignment w:val="auto"/>
        <w:rPr>
          <w:rFonts w:cs="宋体"/>
          <w:bCs/>
          <w:color w:val="auto"/>
          <w:sz w:val="24"/>
          <w:szCs w:val="24"/>
          <w:highlight w:val="none"/>
        </w:rPr>
      </w:pPr>
      <w:r>
        <w:rPr>
          <w:rFonts w:hint="eastAsia" w:cs="宋体"/>
          <w:bCs/>
          <w:color w:val="auto"/>
          <w:sz w:val="24"/>
          <w:szCs w:val="24"/>
          <w:highlight w:val="none"/>
        </w:rPr>
        <w:t>注册报名</w:t>
      </w:r>
    </w:p>
    <w:p w14:paraId="2C1FC9D8">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投标人需登录</w:t>
      </w:r>
      <w:r>
        <w:rPr>
          <w:rFonts w:hint="eastAsia" w:ascii="宋体" w:hAnsi="宋体" w:cs="宋体"/>
          <w:b w:val="0"/>
          <w:bCs w:val="0"/>
          <w:color w:val="auto"/>
          <w:kern w:val="0"/>
          <w:sz w:val="24"/>
          <w:szCs w:val="24"/>
          <w:highlight w:val="none"/>
        </w:rPr>
        <w:t>台州湾新区小额工程电子交易平台（</w:t>
      </w:r>
      <w:r>
        <w:rPr>
          <w:rFonts w:ascii="宋体" w:hAnsi="宋体" w:cs="宋体"/>
          <w:b w:val="0"/>
          <w:bCs w:val="0"/>
          <w:color w:val="auto"/>
          <w:kern w:val="0"/>
          <w:sz w:val="24"/>
          <w:szCs w:val="24"/>
          <w:highlight w:val="none"/>
        </w:rPr>
        <w:t>http://www.tzwztb.com</w:t>
      </w:r>
      <w:r>
        <w:rPr>
          <w:rFonts w:hint="eastAsia" w:ascii="宋体" w:hAnsi="宋体" w:cs="宋体"/>
          <w:b w:val="0"/>
          <w:bCs w:val="0"/>
          <w:color w:val="auto"/>
          <w:kern w:val="0"/>
          <w:sz w:val="24"/>
          <w:szCs w:val="24"/>
          <w:highlight w:val="none"/>
          <w:lang w:eastAsia="zh-CN"/>
        </w:rPr>
        <w:t>)</w:t>
      </w:r>
      <w:r>
        <w:rPr>
          <w:rFonts w:hint="eastAsia" w:ascii="宋体" w:hAnsi="宋体" w:cs="宋体"/>
          <w:b w:val="0"/>
          <w:bCs w:val="0"/>
          <w:color w:val="auto"/>
          <w:sz w:val="24"/>
          <w:szCs w:val="24"/>
          <w:highlight w:val="none"/>
        </w:rPr>
        <w:t>进行注册后报名。</w:t>
      </w:r>
    </w:p>
    <w:p w14:paraId="3AF421DE">
      <w:pPr>
        <w:keepNext w:val="0"/>
        <w:keepLines w:val="0"/>
        <w:pageBreakBefore w:val="0"/>
        <w:widowControl w:val="0"/>
        <w:numPr>
          <w:ilvl w:val="0"/>
          <w:numId w:val="6"/>
        </w:numPr>
        <w:kinsoku/>
        <w:wordWrap/>
        <w:overflowPunct/>
        <w:topLinePunct w:val="0"/>
        <w:bidi w:val="0"/>
        <w:adjustRightInd/>
        <w:snapToGrid/>
        <w:spacing w:line="360" w:lineRule="auto"/>
        <w:ind w:left="0" w:leftChars="0" w:right="0" w:firstLine="482" w:firstLineChars="200"/>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投标保证金</w:t>
      </w:r>
      <w:r>
        <w:rPr>
          <w:rFonts w:hint="eastAsia" w:ascii="宋体" w:hAnsi="宋体" w:cs="宋体"/>
          <w:color w:val="auto"/>
          <w:sz w:val="24"/>
          <w:szCs w:val="24"/>
          <w:highlight w:val="none"/>
        </w:rPr>
        <w:t>：</w:t>
      </w:r>
    </w:p>
    <w:p w14:paraId="77375E3E">
      <w:pPr>
        <w:keepNext w:val="0"/>
        <w:keepLines w:val="0"/>
        <w:pageBreakBefore w:val="0"/>
        <w:widowControl w:val="0"/>
        <w:numPr>
          <w:ilvl w:val="0"/>
          <w:numId w:val="11"/>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宋体" w:hAnsi="宋体" w:cs="宋体"/>
          <w:b/>
          <w:bCs w:val="0"/>
          <w:color w:val="auto"/>
          <w:kern w:val="0"/>
          <w:sz w:val="24"/>
          <w:szCs w:val="24"/>
          <w:highlight w:val="none"/>
        </w:rPr>
      </w:pPr>
      <w:r>
        <w:rPr>
          <w:rFonts w:hint="eastAsia" w:ascii="宋体" w:hAnsi="宋体" w:cs="宋体"/>
          <w:b/>
          <w:bCs w:val="0"/>
          <w:color w:val="auto"/>
          <w:kern w:val="0"/>
          <w:sz w:val="24"/>
          <w:szCs w:val="24"/>
          <w:highlight w:val="none"/>
        </w:rPr>
        <w:t>投标保证金金额：</w:t>
      </w:r>
      <w:r>
        <w:rPr>
          <w:rFonts w:hint="eastAsia" w:ascii="宋体" w:hAnsi="宋体" w:cs="宋体"/>
          <w:b/>
          <w:bCs w:val="0"/>
          <w:color w:val="auto"/>
          <w:kern w:val="0"/>
          <w:sz w:val="24"/>
          <w:szCs w:val="24"/>
          <w:highlight w:val="none"/>
          <w:u w:val="single"/>
          <w:lang w:val="en-US" w:eastAsia="zh-CN"/>
        </w:rPr>
        <w:t>5000</w:t>
      </w:r>
      <w:r>
        <w:rPr>
          <w:rFonts w:hint="eastAsia" w:ascii="宋体" w:hAnsi="宋体" w:cs="宋体"/>
          <w:b/>
          <w:bCs w:val="0"/>
          <w:color w:val="auto"/>
          <w:kern w:val="0"/>
          <w:sz w:val="24"/>
          <w:szCs w:val="24"/>
          <w:highlight w:val="none"/>
        </w:rPr>
        <w:t>元。</w:t>
      </w:r>
    </w:p>
    <w:p w14:paraId="1DB591B6">
      <w:pPr>
        <w:pStyle w:val="26"/>
        <w:keepNext w:val="0"/>
        <w:keepLines w:val="0"/>
        <w:pageBreakBefore w:val="0"/>
        <w:widowControl w:val="0"/>
        <w:numPr>
          <w:ilvl w:val="0"/>
          <w:numId w:val="11"/>
        </w:numPr>
        <w:kinsoku/>
        <w:wordWrap/>
        <w:overflowPunct/>
        <w:topLinePunct w:val="0"/>
        <w:bidi w:val="0"/>
        <w:adjustRightInd/>
        <w:snapToGrid/>
        <w:spacing w:after="0" w:line="360" w:lineRule="auto"/>
        <w:ind w:left="0" w:leftChars="0" w:right="0" w:firstLine="482" w:firstLineChars="200"/>
        <w:jc w:val="left"/>
        <w:textAlignment w:val="auto"/>
        <w:rPr>
          <w:rFonts w:ascii="宋体" w:hAnsi="宋体" w:cs="宋体"/>
          <w:b/>
          <w:bCs w:val="0"/>
          <w:color w:val="auto"/>
          <w:kern w:val="0"/>
          <w:sz w:val="24"/>
          <w:szCs w:val="24"/>
          <w:highlight w:val="none"/>
        </w:rPr>
      </w:pPr>
      <w:r>
        <w:rPr>
          <w:rFonts w:hint="eastAsia" w:ascii="宋体" w:hAnsi="宋体" w:cs="宋体"/>
          <w:b/>
          <w:bCs w:val="0"/>
          <w:color w:val="auto"/>
          <w:kern w:val="0"/>
          <w:sz w:val="24"/>
          <w:szCs w:val="24"/>
          <w:highlight w:val="none"/>
        </w:rPr>
        <w:t>投标保证金缴纳方式：现金转账、银行保函、保险机构保证保险保单、融资担保公司保函。</w:t>
      </w:r>
    </w:p>
    <w:p w14:paraId="6B33B9B1">
      <w:pPr>
        <w:keepNext w:val="0"/>
        <w:keepLines w:val="0"/>
        <w:pageBreakBefore w:val="0"/>
        <w:widowControl w:val="0"/>
        <w:numPr>
          <w:ilvl w:val="0"/>
          <w:numId w:val="12"/>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现金转账</w:t>
      </w:r>
    </w:p>
    <w:p w14:paraId="57BB9AA1">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① 电汇或银行转账（请不要使用“支付宝”等第三方支付平台），通过“台州湾新区小额工程电子交易平台”取得相应的银行账号后支付，投标保证金收款账号根据不同</w:t>
      </w:r>
      <w:r>
        <w:rPr>
          <w:rFonts w:hint="eastAsia" w:ascii="宋体" w:hAnsi="宋体" w:cs="宋体"/>
          <w:bCs/>
          <w:color w:val="auto"/>
          <w:kern w:val="0"/>
          <w:sz w:val="24"/>
          <w:szCs w:val="24"/>
          <w:highlight w:val="none"/>
          <w:lang w:val="en-US" w:eastAsia="zh-CN"/>
        </w:rPr>
        <w:t>项目</w:t>
      </w:r>
      <w:r>
        <w:rPr>
          <w:rFonts w:hint="eastAsia" w:ascii="宋体" w:hAnsi="宋体" w:cs="宋体"/>
          <w:bCs/>
          <w:color w:val="auto"/>
          <w:kern w:val="0"/>
          <w:sz w:val="24"/>
          <w:szCs w:val="24"/>
          <w:highlight w:val="none"/>
        </w:rPr>
        <w:t>（标段）由系统随机生成，此账号只在本</w:t>
      </w:r>
      <w:r>
        <w:rPr>
          <w:rFonts w:hint="eastAsia" w:ascii="宋体" w:hAnsi="宋体" w:cs="宋体"/>
          <w:bCs/>
          <w:color w:val="auto"/>
          <w:kern w:val="0"/>
          <w:sz w:val="24"/>
          <w:szCs w:val="24"/>
          <w:highlight w:val="none"/>
          <w:lang w:val="en-US" w:eastAsia="zh-CN"/>
        </w:rPr>
        <w:t>项目</w:t>
      </w:r>
      <w:r>
        <w:rPr>
          <w:rFonts w:hint="eastAsia" w:ascii="宋体" w:hAnsi="宋体" w:cs="宋体"/>
          <w:bCs/>
          <w:color w:val="auto"/>
          <w:kern w:val="0"/>
          <w:sz w:val="24"/>
          <w:szCs w:val="24"/>
          <w:highlight w:val="none"/>
        </w:rPr>
        <w:t>（标段）中使用有效，请注意核对。</w:t>
      </w:r>
    </w:p>
    <w:p w14:paraId="2D60FFE1">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②投标人缴纳的投标保证金必须在投标截止时间前到达上述指定账户，否则导致投标无效等后果由投标人自行承担。另外须注意双休日银行柜台休息</w:t>
      </w:r>
      <w:r>
        <w:rPr>
          <w:rFonts w:hint="eastAsia" w:ascii="宋体" w:hAnsi="宋体" w:cs="宋体"/>
          <w:bCs/>
          <w:color w:val="auto"/>
          <w:kern w:val="0"/>
          <w:sz w:val="24"/>
          <w:szCs w:val="24"/>
          <w:highlight w:val="none"/>
          <w:lang w:eastAsia="zh-CN"/>
        </w:rPr>
        <w:t>对公</w:t>
      </w:r>
      <w:r>
        <w:rPr>
          <w:rFonts w:hint="eastAsia" w:ascii="宋体" w:hAnsi="宋体" w:cs="宋体"/>
          <w:bCs/>
          <w:color w:val="auto"/>
          <w:kern w:val="0"/>
          <w:sz w:val="24"/>
          <w:szCs w:val="24"/>
          <w:highlight w:val="none"/>
        </w:rPr>
        <w:t>转账的影响。开标结束后，未中标</w:t>
      </w:r>
      <w:r>
        <w:rPr>
          <w:rFonts w:hint="eastAsia" w:ascii="宋体" w:hAnsi="宋体" w:cs="宋体"/>
          <w:bCs/>
          <w:color w:val="auto"/>
          <w:kern w:val="0"/>
          <w:sz w:val="24"/>
          <w:szCs w:val="24"/>
          <w:highlight w:val="none"/>
          <w:lang w:eastAsia="zh-CN"/>
        </w:rPr>
        <w:t>单位</w:t>
      </w:r>
      <w:r>
        <w:rPr>
          <w:rFonts w:hint="eastAsia" w:ascii="宋体" w:hAnsi="宋体" w:cs="宋体"/>
          <w:bCs/>
          <w:color w:val="auto"/>
          <w:kern w:val="0"/>
          <w:sz w:val="24"/>
          <w:szCs w:val="24"/>
          <w:highlight w:val="none"/>
          <w:lang w:val="en-US" w:eastAsia="zh-CN"/>
        </w:rPr>
        <w:t>十天内返还</w:t>
      </w:r>
      <w:r>
        <w:rPr>
          <w:rFonts w:hint="eastAsia" w:ascii="宋体" w:hAnsi="宋体" w:cs="宋体"/>
          <w:bCs/>
          <w:color w:val="auto"/>
          <w:kern w:val="0"/>
          <w:sz w:val="24"/>
          <w:szCs w:val="24"/>
          <w:highlight w:val="none"/>
        </w:rPr>
        <w:t>;中标人的投标保证金由</w:t>
      </w:r>
      <w:r>
        <w:rPr>
          <w:rFonts w:hint="eastAsia" w:ascii="宋体" w:hAnsi="宋体" w:cs="宋体"/>
          <w:bCs/>
          <w:color w:val="auto"/>
          <w:kern w:val="0"/>
          <w:sz w:val="24"/>
          <w:szCs w:val="24"/>
          <w:highlight w:val="none"/>
          <w:lang w:eastAsia="zh-CN"/>
        </w:rPr>
        <w:t>采购人</w:t>
      </w:r>
      <w:r>
        <w:rPr>
          <w:rFonts w:hint="eastAsia" w:ascii="宋体" w:hAnsi="宋体" w:cs="宋体"/>
          <w:bCs/>
          <w:color w:val="auto"/>
          <w:kern w:val="0"/>
          <w:sz w:val="24"/>
          <w:szCs w:val="24"/>
          <w:highlight w:val="none"/>
        </w:rPr>
        <w:t>暂时保管，待签订合同后，</w:t>
      </w:r>
      <w:r>
        <w:rPr>
          <w:rFonts w:hint="eastAsia" w:ascii="宋体" w:hAnsi="宋体" w:cs="宋体"/>
          <w:bCs/>
          <w:color w:val="auto"/>
          <w:kern w:val="0"/>
          <w:sz w:val="24"/>
          <w:szCs w:val="24"/>
          <w:highlight w:val="none"/>
          <w:lang w:eastAsia="zh-CN"/>
        </w:rPr>
        <w:t>采购人</w:t>
      </w:r>
      <w:r>
        <w:rPr>
          <w:rFonts w:hint="eastAsia" w:ascii="宋体" w:hAnsi="宋体" w:cs="宋体"/>
          <w:bCs/>
          <w:color w:val="auto"/>
          <w:kern w:val="0"/>
          <w:sz w:val="24"/>
          <w:szCs w:val="24"/>
          <w:highlight w:val="none"/>
        </w:rPr>
        <w:t>返还中标人 (不计息)。</w:t>
      </w:r>
    </w:p>
    <w:p w14:paraId="3DC8A967">
      <w:pPr>
        <w:keepNext w:val="0"/>
        <w:keepLines w:val="0"/>
        <w:pageBreakBefore w:val="0"/>
        <w:widowControl w:val="0"/>
        <w:numPr>
          <w:ilvl w:val="0"/>
          <w:numId w:val="12"/>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银行保函、保险机构保证保险保单、融资担保公司保函（以下合称“保函”）</w:t>
      </w:r>
    </w:p>
    <w:p w14:paraId="7B621022">
      <w:pPr>
        <w:keepNext w:val="0"/>
        <w:keepLines w:val="0"/>
        <w:pageBreakBefore w:val="0"/>
        <w:widowControl w:val="0"/>
        <w:numPr>
          <w:ilvl w:val="0"/>
          <w:numId w:val="13"/>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u w:val="single"/>
        </w:rPr>
      </w:pPr>
      <w:r>
        <w:rPr>
          <w:rFonts w:hint="eastAsia" w:ascii="宋体" w:hAnsi="宋体" w:cs="宋体"/>
          <w:bCs/>
          <w:color w:val="auto"/>
          <w:kern w:val="0"/>
          <w:sz w:val="24"/>
          <w:szCs w:val="24"/>
          <w:highlight w:val="none"/>
          <w:lang w:eastAsia="zh-CN"/>
        </w:rPr>
        <w:t>保函</w:t>
      </w:r>
      <w:r>
        <w:rPr>
          <w:rFonts w:hint="eastAsia" w:ascii="宋体" w:hAnsi="宋体" w:cs="宋体"/>
          <w:bCs/>
          <w:color w:val="auto"/>
          <w:kern w:val="0"/>
          <w:sz w:val="24"/>
          <w:szCs w:val="24"/>
          <w:highlight w:val="none"/>
        </w:rPr>
        <w:t>的受益人：</w:t>
      </w:r>
      <w:r>
        <w:rPr>
          <w:rFonts w:hint="eastAsia" w:ascii="宋体" w:hAnsi="宋体" w:cs="宋体"/>
          <w:bCs/>
          <w:color w:val="auto"/>
          <w:kern w:val="0"/>
          <w:sz w:val="24"/>
          <w:szCs w:val="24"/>
          <w:highlight w:val="none"/>
          <w:u w:val="single"/>
          <w:lang w:eastAsia="zh-CN"/>
        </w:rPr>
        <w:t>海虹街道中心幼儿园</w:t>
      </w:r>
      <w:r>
        <w:rPr>
          <w:rFonts w:hint="eastAsia" w:ascii="宋体" w:hAnsi="宋体" w:cs="宋体"/>
          <w:bCs/>
          <w:color w:val="auto"/>
          <w:kern w:val="0"/>
          <w:sz w:val="24"/>
          <w:szCs w:val="24"/>
          <w:highlight w:val="none"/>
        </w:rPr>
        <w:t>；</w:t>
      </w:r>
    </w:p>
    <w:p w14:paraId="710596B2">
      <w:pPr>
        <w:keepNext w:val="0"/>
        <w:keepLines w:val="0"/>
        <w:pageBreakBefore w:val="0"/>
        <w:widowControl w:val="0"/>
        <w:numPr>
          <w:ilvl w:val="0"/>
          <w:numId w:val="13"/>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lang w:eastAsia="zh-CN"/>
        </w:rPr>
        <w:t>保函</w:t>
      </w:r>
      <w:r>
        <w:rPr>
          <w:rFonts w:hint="eastAsia" w:ascii="宋体" w:hAnsi="宋体" w:cs="宋体"/>
          <w:bCs/>
          <w:color w:val="auto"/>
          <w:kern w:val="0"/>
          <w:sz w:val="24"/>
          <w:szCs w:val="24"/>
          <w:highlight w:val="none"/>
        </w:rPr>
        <w:t>的有效期为1年；</w:t>
      </w:r>
    </w:p>
    <w:p w14:paraId="78686B7E">
      <w:pPr>
        <w:keepNext w:val="0"/>
        <w:keepLines w:val="0"/>
        <w:pageBreakBefore w:val="0"/>
        <w:widowControl w:val="0"/>
        <w:numPr>
          <w:ilvl w:val="0"/>
          <w:numId w:val="13"/>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递交方式：</w:t>
      </w:r>
    </w:p>
    <w:p w14:paraId="6ABEF16F">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递交方式一（电子保函系统）：</w:t>
      </w:r>
    </w:p>
    <w:p w14:paraId="326A214D">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通过台州湾新区小额工程电子交易平台选择“电子保函”递交方式，并按系统流程进行操作、购买电子保函。</w:t>
      </w:r>
    </w:p>
    <w:p w14:paraId="47F8EB12">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u w:val="single"/>
        </w:rPr>
      </w:pPr>
      <w:r>
        <w:rPr>
          <w:rFonts w:hint="eastAsia" w:ascii="宋体" w:hAnsi="宋体" w:cs="宋体"/>
          <w:bCs/>
          <w:color w:val="auto"/>
          <w:kern w:val="0"/>
          <w:sz w:val="24"/>
          <w:szCs w:val="24"/>
          <w:highlight w:val="none"/>
        </w:rPr>
        <w:t>注：电子保单生效时间为投保第二天00:00,各投标人须在投标截止时间前一工作日16点之前申购电子保函；付款后请确认已收到出单提醒短信，或者在系统中查看保单状态为“已出单”。因未确认保函出单情况导致递交投标保证金失败的，所有后果由投标人自行承担。</w:t>
      </w:r>
      <w:r>
        <w:rPr>
          <w:rFonts w:hint="eastAsia" w:ascii="宋体" w:hAnsi="宋体" w:cs="宋体"/>
          <w:bCs/>
          <w:color w:val="auto"/>
          <w:kern w:val="0"/>
          <w:sz w:val="24"/>
          <w:szCs w:val="24"/>
          <w:highlight w:val="none"/>
          <w:u w:val="single"/>
        </w:rPr>
        <w:t>投标电子保函针对具体项目标段的要求“一标段一保函”，每个标段对应相应的订单号，汇款时备注订单号。</w:t>
      </w:r>
    </w:p>
    <w:p w14:paraId="35C584A7">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递交方式二（非电子保函系统）：</w:t>
      </w:r>
    </w:p>
    <w:p w14:paraId="55FD19B1">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投标人须在投标截止时间前将纸质</w:t>
      </w:r>
      <w:r>
        <w:rPr>
          <w:rFonts w:hint="eastAsia" w:ascii="宋体" w:hAnsi="宋体" w:cs="宋体"/>
          <w:bCs/>
          <w:color w:val="auto"/>
          <w:kern w:val="0"/>
          <w:sz w:val="24"/>
          <w:szCs w:val="24"/>
          <w:highlight w:val="none"/>
          <w:lang w:eastAsia="zh-CN"/>
        </w:rPr>
        <w:t>保函</w:t>
      </w:r>
      <w:r>
        <w:rPr>
          <w:rFonts w:hint="eastAsia" w:ascii="宋体" w:hAnsi="宋体" w:cs="宋体"/>
          <w:bCs/>
          <w:color w:val="auto"/>
          <w:kern w:val="0"/>
          <w:sz w:val="24"/>
          <w:szCs w:val="24"/>
          <w:highlight w:val="none"/>
        </w:rPr>
        <w:t xml:space="preserve">按要求递交。 </w:t>
      </w:r>
    </w:p>
    <w:p w14:paraId="4E3BBC96">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递交方式：现场递交。</w:t>
      </w:r>
    </w:p>
    <w:p w14:paraId="5D6A8C3C">
      <w:pPr>
        <w:keepNext w:val="0"/>
        <w:keepLines w:val="0"/>
        <w:pageBreakBefore w:val="0"/>
        <w:widowControl w:val="0"/>
        <w:numPr>
          <w:ilvl w:val="0"/>
          <w:numId w:val="14"/>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若是投标人的法定代表人递交</w:t>
      </w:r>
      <w:r>
        <w:rPr>
          <w:rFonts w:hint="eastAsia" w:ascii="宋体" w:hAnsi="宋体" w:cs="宋体"/>
          <w:bCs/>
          <w:color w:val="auto"/>
          <w:kern w:val="0"/>
          <w:sz w:val="24"/>
          <w:szCs w:val="24"/>
          <w:highlight w:val="none"/>
          <w:lang w:eastAsia="zh-CN"/>
        </w:rPr>
        <w:t>保函</w:t>
      </w:r>
      <w:r>
        <w:rPr>
          <w:rFonts w:hint="eastAsia" w:ascii="宋体" w:hAnsi="宋体" w:cs="宋体"/>
          <w:bCs/>
          <w:color w:val="auto"/>
          <w:kern w:val="0"/>
          <w:sz w:val="24"/>
          <w:szCs w:val="24"/>
          <w:highlight w:val="none"/>
        </w:rPr>
        <w:t>的，应持法定代表人身份证明原件，否则</w:t>
      </w:r>
      <w:r>
        <w:rPr>
          <w:rFonts w:hint="eastAsia" w:ascii="宋体" w:hAnsi="宋体" w:cs="宋体"/>
          <w:bCs/>
          <w:color w:val="auto"/>
          <w:kern w:val="0"/>
          <w:sz w:val="24"/>
          <w:szCs w:val="24"/>
          <w:highlight w:val="none"/>
          <w:lang w:eastAsia="zh-CN"/>
        </w:rPr>
        <w:t>保函</w:t>
      </w:r>
      <w:r>
        <w:rPr>
          <w:rFonts w:hint="eastAsia" w:ascii="宋体" w:hAnsi="宋体" w:cs="宋体"/>
          <w:bCs/>
          <w:color w:val="auto"/>
          <w:kern w:val="0"/>
          <w:sz w:val="24"/>
          <w:szCs w:val="24"/>
          <w:highlight w:val="none"/>
        </w:rPr>
        <w:t>不予签收。</w:t>
      </w:r>
    </w:p>
    <w:p w14:paraId="7EB40D9E">
      <w:pPr>
        <w:keepNext w:val="0"/>
        <w:keepLines w:val="0"/>
        <w:pageBreakBefore w:val="0"/>
        <w:widowControl w:val="0"/>
        <w:numPr>
          <w:ilvl w:val="0"/>
          <w:numId w:val="14"/>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若是投标人委托代理人递交</w:t>
      </w:r>
      <w:r>
        <w:rPr>
          <w:rFonts w:hint="eastAsia" w:ascii="宋体" w:hAnsi="宋体" w:cs="宋体"/>
          <w:bCs/>
          <w:color w:val="auto"/>
          <w:kern w:val="0"/>
          <w:sz w:val="24"/>
          <w:szCs w:val="24"/>
          <w:highlight w:val="none"/>
          <w:lang w:eastAsia="zh-CN"/>
        </w:rPr>
        <w:t>保函</w:t>
      </w:r>
      <w:r>
        <w:rPr>
          <w:rFonts w:hint="eastAsia" w:ascii="宋体" w:hAnsi="宋体" w:cs="宋体"/>
          <w:bCs/>
          <w:color w:val="auto"/>
          <w:kern w:val="0"/>
          <w:sz w:val="24"/>
          <w:szCs w:val="24"/>
          <w:highlight w:val="none"/>
        </w:rPr>
        <w:t>的，应持针对本</w:t>
      </w:r>
      <w:r>
        <w:rPr>
          <w:rFonts w:hint="eastAsia" w:ascii="宋体" w:hAnsi="宋体" w:cs="宋体"/>
          <w:bCs/>
          <w:color w:val="auto"/>
          <w:kern w:val="0"/>
          <w:sz w:val="24"/>
          <w:szCs w:val="24"/>
          <w:highlight w:val="none"/>
          <w:lang w:val="en-US" w:eastAsia="zh-CN"/>
        </w:rPr>
        <w:t>项目</w:t>
      </w:r>
      <w:r>
        <w:rPr>
          <w:rFonts w:hint="eastAsia" w:ascii="宋体" w:hAnsi="宋体" w:cs="宋体"/>
          <w:bCs/>
          <w:color w:val="auto"/>
          <w:kern w:val="0"/>
          <w:sz w:val="24"/>
          <w:szCs w:val="24"/>
          <w:highlight w:val="none"/>
        </w:rPr>
        <w:t>的法定代表人授权委托书原件（投标文件格式</w:t>
      </w:r>
      <w:r>
        <w:rPr>
          <w:rFonts w:hint="eastAsia" w:ascii="宋体" w:hAnsi="宋体" w:cs="宋体"/>
          <w:bCs/>
          <w:color w:val="auto"/>
          <w:kern w:val="0"/>
          <w:sz w:val="24"/>
          <w:szCs w:val="24"/>
          <w:highlight w:val="none"/>
          <w:lang w:val="en-US" w:eastAsia="zh-CN"/>
        </w:rPr>
        <w:t>-附件2</w:t>
      </w:r>
      <w:r>
        <w:rPr>
          <w:rFonts w:hint="eastAsia" w:ascii="宋体" w:hAnsi="宋体" w:cs="宋体"/>
          <w:bCs/>
          <w:color w:val="auto"/>
          <w:kern w:val="0"/>
          <w:sz w:val="24"/>
          <w:szCs w:val="24"/>
          <w:highlight w:val="none"/>
        </w:rPr>
        <w:t>）及身份证原件，否则</w:t>
      </w:r>
      <w:r>
        <w:rPr>
          <w:rFonts w:hint="eastAsia" w:ascii="宋体" w:hAnsi="宋体" w:cs="宋体"/>
          <w:bCs/>
          <w:color w:val="auto"/>
          <w:kern w:val="0"/>
          <w:sz w:val="24"/>
          <w:szCs w:val="24"/>
          <w:highlight w:val="none"/>
          <w:lang w:eastAsia="zh-CN"/>
        </w:rPr>
        <w:t>保函</w:t>
      </w:r>
      <w:r>
        <w:rPr>
          <w:rFonts w:hint="eastAsia" w:ascii="宋体" w:hAnsi="宋体" w:cs="宋体"/>
          <w:bCs/>
          <w:color w:val="auto"/>
          <w:kern w:val="0"/>
          <w:sz w:val="24"/>
          <w:szCs w:val="24"/>
          <w:highlight w:val="none"/>
        </w:rPr>
        <w:t>不予签收。</w:t>
      </w:r>
    </w:p>
    <w:p w14:paraId="10C6D5A1">
      <w:pPr>
        <w:keepNext w:val="0"/>
        <w:keepLines w:val="0"/>
        <w:pageBreakBefore w:val="0"/>
        <w:widowControl w:val="0"/>
        <w:numPr>
          <w:ilvl w:val="0"/>
          <w:numId w:val="14"/>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递交</w:t>
      </w:r>
      <w:r>
        <w:rPr>
          <w:rFonts w:hint="eastAsia" w:ascii="宋体" w:hAnsi="宋体" w:cs="宋体"/>
          <w:bCs/>
          <w:color w:val="auto"/>
          <w:kern w:val="0"/>
          <w:sz w:val="24"/>
          <w:szCs w:val="24"/>
          <w:highlight w:val="none"/>
          <w:lang w:eastAsia="zh-CN"/>
        </w:rPr>
        <w:t>保函</w:t>
      </w:r>
      <w:r>
        <w:rPr>
          <w:rFonts w:hint="eastAsia" w:ascii="宋体" w:hAnsi="宋体" w:cs="宋体"/>
          <w:bCs/>
          <w:color w:val="auto"/>
          <w:kern w:val="0"/>
          <w:sz w:val="24"/>
          <w:szCs w:val="24"/>
          <w:highlight w:val="none"/>
        </w:rPr>
        <w:t>时所要求提供的法定代表人授权委托书或法定代表人身份证明中的人员须与投标文件组成中提供的人员一致，若提供的不一致则以无效标处理。</w:t>
      </w:r>
    </w:p>
    <w:p w14:paraId="09058564">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提交地点：</w:t>
      </w:r>
      <w:r>
        <w:rPr>
          <w:rFonts w:hint="eastAsia" w:ascii="宋体" w:hAnsi="宋体" w:cs="宋体"/>
          <w:bCs/>
          <w:color w:val="auto"/>
          <w:kern w:val="0"/>
          <w:sz w:val="24"/>
          <w:szCs w:val="24"/>
          <w:highlight w:val="none"/>
          <w:u w:val="single"/>
        </w:rPr>
        <w:t>台州湾新区海虹街道一楼大厅</w:t>
      </w:r>
    </w:p>
    <w:p w14:paraId="3E9AF6BE">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提交时间：</w:t>
      </w:r>
      <w:r>
        <w:rPr>
          <w:rFonts w:hint="eastAsia" w:ascii="宋体" w:hAnsi="宋体" w:cs="宋体"/>
          <w:bCs/>
          <w:color w:val="auto"/>
          <w:sz w:val="24"/>
          <w:szCs w:val="24"/>
          <w:highlight w:val="none"/>
          <w:u w:val="single"/>
          <w:lang w:eastAsia="zh-CN"/>
        </w:rPr>
        <w:t>202</w:t>
      </w:r>
      <w:r>
        <w:rPr>
          <w:rFonts w:hint="eastAsia" w:ascii="宋体" w:hAnsi="宋体" w:cs="宋体"/>
          <w:bCs/>
          <w:color w:val="auto"/>
          <w:sz w:val="24"/>
          <w:szCs w:val="24"/>
          <w:highlight w:val="none"/>
          <w:u w:val="single"/>
          <w:lang w:val="en-US" w:eastAsia="zh-CN"/>
        </w:rPr>
        <w:t>5</w:t>
      </w:r>
      <w:r>
        <w:rPr>
          <w:rFonts w:hint="eastAsia" w:ascii="宋体" w:hAnsi="宋体" w:cs="宋体"/>
          <w:bCs/>
          <w:color w:val="auto"/>
          <w:sz w:val="24"/>
          <w:szCs w:val="24"/>
          <w:highlight w:val="none"/>
          <w:u w:val="single"/>
          <w:lang w:eastAsia="zh-CN"/>
        </w:rPr>
        <w:t>年</w:t>
      </w:r>
      <w:r>
        <w:rPr>
          <w:rFonts w:hint="eastAsia" w:ascii="宋体" w:hAnsi="宋体" w:cs="宋体"/>
          <w:color w:val="auto"/>
          <w:sz w:val="24"/>
          <w:szCs w:val="24"/>
          <w:highlight w:val="none"/>
          <w:u w:val="single"/>
          <w:lang w:val="en-US" w:eastAsia="zh-CN"/>
        </w:rPr>
        <w:t>06月18</w:t>
      </w:r>
      <w:r>
        <w:rPr>
          <w:rFonts w:hint="eastAsia" w:ascii="宋体" w:hAnsi="宋体" w:cs="宋体"/>
          <w:bCs/>
          <w:color w:val="auto"/>
          <w:sz w:val="24"/>
          <w:szCs w:val="24"/>
          <w:highlight w:val="none"/>
          <w:u w:val="single"/>
        </w:rPr>
        <w:t>日</w:t>
      </w:r>
      <w:r>
        <w:rPr>
          <w:rFonts w:hint="eastAsia" w:ascii="宋体" w:hAnsi="宋体" w:cs="宋体"/>
          <w:bCs/>
          <w:color w:val="auto"/>
          <w:kern w:val="0"/>
          <w:sz w:val="24"/>
          <w:szCs w:val="24"/>
          <w:highlight w:val="none"/>
          <w:u w:val="single"/>
          <w:lang w:val="en-US" w:eastAsia="zh-CN"/>
        </w:rPr>
        <w:t>09</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lang w:val="en-US" w:eastAsia="zh-CN"/>
        </w:rPr>
        <w:t>0</w:t>
      </w:r>
      <w:r>
        <w:rPr>
          <w:rFonts w:hint="eastAsia" w:ascii="宋体" w:hAnsi="宋体" w:cs="宋体"/>
          <w:bCs/>
          <w:color w:val="auto"/>
          <w:kern w:val="0"/>
          <w:sz w:val="24"/>
          <w:szCs w:val="24"/>
          <w:highlight w:val="none"/>
          <w:u w:val="single"/>
        </w:rPr>
        <w:t>0-</w:t>
      </w:r>
      <w:r>
        <w:rPr>
          <w:rFonts w:hint="eastAsia" w:ascii="宋体" w:hAnsi="宋体" w:cs="宋体"/>
          <w:bCs/>
          <w:color w:val="auto"/>
          <w:kern w:val="0"/>
          <w:sz w:val="24"/>
          <w:szCs w:val="24"/>
          <w:highlight w:val="none"/>
          <w:u w:val="single"/>
          <w:lang w:val="en-US" w:eastAsia="zh-CN"/>
        </w:rPr>
        <w:t>09</w:t>
      </w:r>
      <w:r>
        <w:rPr>
          <w:rFonts w:hint="eastAsia"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lang w:val="en-US" w:eastAsia="zh-CN"/>
        </w:rPr>
        <w:t>3</w:t>
      </w:r>
      <w:r>
        <w:rPr>
          <w:rFonts w:hint="eastAsia" w:ascii="宋体" w:hAnsi="宋体" w:cs="宋体"/>
          <w:bCs/>
          <w:color w:val="auto"/>
          <w:kern w:val="0"/>
          <w:sz w:val="24"/>
          <w:szCs w:val="24"/>
          <w:highlight w:val="none"/>
          <w:u w:val="single"/>
        </w:rPr>
        <w:t>0</w:t>
      </w:r>
    </w:p>
    <w:p w14:paraId="2D4FB928">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接收人：</w:t>
      </w:r>
      <w:r>
        <w:rPr>
          <w:rFonts w:hint="eastAsia" w:ascii="宋体" w:hAnsi="宋体" w:cs="宋体"/>
          <w:bCs/>
          <w:color w:val="auto"/>
          <w:kern w:val="0"/>
          <w:sz w:val="24"/>
          <w:szCs w:val="24"/>
          <w:highlight w:val="none"/>
          <w:u w:val="single"/>
          <w:lang w:eastAsia="zh-CN"/>
        </w:rPr>
        <w:t>台州市永阳科技有限公司（</w:t>
      </w:r>
      <w:r>
        <w:rPr>
          <w:rFonts w:hint="eastAsia" w:ascii="宋体" w:hAnsi="宋体" w:cs="宋体"/>
          <w:bCs/>
          <w:color w:val="auto"/>
          <w:kern w:val="0"/>
          <w:sz w:val="24"/>
          <w:szCs w:val="24"/>
          <w:highlight w:val="none"/>
          <w:u w:val="single"/>
          <w:lang w:val="en-US" w:eastAsia="zh-CN"/>
        </w:rPr>
        <w:t>周先生</w:t>
      </w:r>
      <w:r>
        <w:rPr>
          <w:rFonts w:hint="eastAsia" w:ascii="宋体" w:hAnsi="宋体" w:cs="宋体"/>
          <w:bCs/>
          <w:color w:val="auto"/>
          <w:kern w:val="0"/>
          <w:sz w:val="24"/>
          <w:szCs w:val="24"/>
          <w:highlight w:val="none"/>
          <w:u w:val="single"/>
          <w:lang w:eastAsia="zh-CN"/>
        </w:rPr>
        <w:t>）</w:t>
      </w:r>
    </w:p>
    <w:p w14:paraId="359FC60C">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接收人联系方式：</w:t>
      </w:r>
      <w:r>
        <w:rPr>
          <w:rFonts w:hint="eastAsia" w:ascii="宋体" w:hAnsi="宋体" w:cs="宋体"/>
          <w:bCs/>
          <w:color w:val="auto"/>
          <w:kern w:val="0"/>
          <w:sz w:val="24"/>
          <w:szCs w:val="24"/>
          <w:highlight w:val="none"/>
          <w:u w:val="single"/>
          <w:lang w:val="en-US" w:eastAsia="zh-CN"/>
        </w:rPr>
        <w:t>18958682891</w:t>
      </w:r>
      <w:r>
        <w:rPr>
          <w:rFonts w:hint="eastAsia" w:ascii="宋体" w:hAnsi="宋体" w:cs="宋体"/>
          <w:bCs/>
          <w:color w:val="auto"/>
          <w:kern w:val="0"/>
          <w:sz w:val="24"/>
          <w:szCs w:val="24"/>
          <w:highlight w:val="none"/>
        </w:rPr>
        <w:t xml:space="preserve"> </w:t>
      </w:r>
    </w:p>
    <w:p w14:paraId="0868F029">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注：保函文件中必须包含</w:t>
      </w:r>
      <w:r>
        <w:rPr>
          <w:rFonts w:hint="eastAsia" w:ascii="宋体" w:hAnsi="宋体" w:cs="宋体"/>
          <w:bCs/>
          <w:color w:val="auto"/>
          <w:kern w:val="0"/>
          <w:sz w:val="24"/>
          <w:szCs w:val="24"/>
          <w:highlight w:val="none"/>
          <w:lang w:eastAsia="zh-CN"/>
        </w:rPr>
        <w:t>投标人</w:t>
      </w:r>
      <w:r>
        <w:rPr>
          <w:rFonts w:hint="eastAsia" w:ascii="宋体" w:hAnsi="宋体" w:cs="宋体"/>
          <w:bCs/>
          <w:color w:val="auto"/>
          <w:kern w:val="0"/>
          <w:sz w:val="24"/>
          <w:szCs w:val="24"/>
          <w:highlight w:val="none"/>
        </w:rPr>
        <w:t>的信息，包含但不仅限于投标</w:t>
      </w:r>
      <w:r>
        <w:rPr>
          <w:rFonts w:hint="eastAsia" w:ascii="宋体" w:hAnsi="宋体" w:cs="宋体"/>
          <w:bCs/>
          <w:color w:val="auto"/>
          <w:kern w:val="0"/>
          <w:sz w:val="24"/>
          <w:szCs w:val="24"/>
          <w:highlight w:val="none"/>
          <w:lang w:val="en-US" w:eastAsia="zh-CN"/>
        </w:rPr>
        <w:t>人</w:t>
      </w:r>
      <w:r>
        <w:rPr>
          <w:rFonts w:hint="eastAsia" w:ascii="宋体" w:hAnsi="宋体" w:cs="宋体"/>
          <w:bCs/>
          <w:color w:val="auto"/>
          <w:kern w:val="0"/>
          <w:sz w:val="24"/>
          <w:szCs w:val="24"/>
          <w:highlight w:val="none"/>
        </w:rPr>
        <w:t>名称、保证金额、保函获得时间、保证项目名称、保函有效期限等。</w:t>
      </w:r>
    </w:p>
    <w:p w14:paraId="20176166">
      <w:pPr>
        <w:keepNext w:val="0"/>
        <w:keepLines w:val="0"/>
        <w:pageBreakBefore w:val="0"/>
        <w:widowControl w:val="0"/>
        <w:numPr>
          <w:ilvl w:val="0"/>
          <w:numId w:val="11"/>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宋体" w:hAnsi="宋体" w:cs="宋体"/>
          <w:b/>
          <w:bCs w:val="0"/>
          <w:color w:val="auto"/>
          <w:kern w:val="0"/>
          <w:sz w:val="24"/>
          <w:szCs w:val="24"/>
          <w:highlight w:val="none"/>
        </w:rPr>
      </w:pPr>
      <w:r>
        <w:rPr>
          <w:rFonts w:hint="eastAsia" w:ascii="宋体" w:hAnsi="宋体" w:cs="宋体"/>
          <w:b/>
          <w:bCs w:val="0"/>
          <w:color w:val="auto"/>
          <w:kern w:val="0"/>
          <w:sz w:val="24"/>
          <w:szCs w:val="24"/>
          <w:highlight w:val="none"/>
        </w:rPr>
        <w:t>注意事项</w:t>
      </w:r>
    </w:p>
    <w:p w14:paraId="44B8D576">
      <w:pPr>
        <w:pStyle w:val="4"/>
        <w:keepNext w:val="0"/>
        <w:keepLines w:val="0"/>
        <w:pageBreakBefore w:val="0"/>
        <w:widowControl w:val="0"/>
        <w:numPr>
          <w:ilvl w:val="0"/>
          <w:numId w:val="15"/>
        </w:numPr>
        <w:kinsoku/>
        <w:wordWrap/>
        <w:overflowPunct/>
        <w:topLinePunct w:val="0"/>
        <w:bidi w:val="0"/>
        <w:adjustRightInd/>
        <w:snapToGrid/>
        <w:spacing w:line="360" w:lineRule="auto"/>
        <w:ind w:left="0" w:leftChars="0" w:right="0" w:firstLine="480" w:firstLineChars="200"/>
        <w:jc w:val="left"/>
        <w:textAlignment w:val="auto"/>
        <w:rPr>
          <w:rFonts w:cs="宋体"/>
          <w:b w:val="0"/>
          <w:bCs/>
          <w:color w:val="auto"/>
          <w:kern w:val="0"/>
          <w:sz w:val="24"/>
          <w:szCs w:val="24"/>
          <w:highlight w:val="none"/>
        </w:rPr>
      </w:pPr>
      <w:r>
        <w:rPr>
          <w:rFonts w:hint="eastAsia" w:cs="宋体"/>
          <w:b w:val="0"/>
          <w:bCs/>
          <w:color w:val="auto"/>
          <w:kern w:val="0"/>
          <w:sz w:val="24"/>
          <w:szCs w:val="24"/>
          <w:highlight w:val="none"/>
        </w:rPr>
        <w:t>若招标文件允许联合体投标且投标人以联合体身份投标的，由联合体牵头人提交投标保证金；</w:t>
      </w:r>
    </w:p>
    <w:p w14:paraId="7BFF5835">
      <w:pPr>
        <w:pStyle w:val="4"/>
        <w:keepNext w:val="0"/>
        <w:keepLines w:val="0"/>
        <w:pageBreakBefore w:val="0"/>
        <w:widowControl w:val="0"/>
        <w:numPr>
          <w:ilvl w:val="0"/>
          <w:numId w:val="15"/>
        </w:numPr>
        <w:kinsoku/>
        <w:wordWrap/>
        <w:overflowPunct/>
        <w:topLinePunct w:val="0"/>
        <w:bidi w:val="0"/>
        <w:adjustRightInd/>
        <w:snapToGrid/>
        <w:spacing w:line="360" w:lineRule="auto"/>
        <w:ind w:left="0" w:leftChars="0" w:right="0" w:firstLine="480" w:firstLineChars="200"/>
        <w:jc w:val="left"/>
        <w:textAlignment w:val="auto"/>
        <w:rPr>
          <w:rFonts w:cs="宋体"/>
          <w:b w:val="0"/>
          <w:bCs/>
          <w:color w:val="auto"/>
          <w:kern w:val="0"/>
          <w:sz w:val="24"/>
          <w:szCs w:val="24"/>
          <w:highlight w:val="none"/>
        </w:rPr>
      </w:pPr>
      <w:r>
        <w:rPr>
          <w:rFonts w:hint="eastAsia" w:cs="宋体"/>
          <w:b w:val="0"/>
          <w:bCs/>
          <w:color w:val="auto"/>
          <w:kern w:val="0"/>
          <w:sz w:val="24"/>
          <w:szCs w:val="24"/>
          <w:highlight w:val="none"/>
        </w:rPr>
        <w:t>现金转账账号根据不同</w:t>
      </w:r>
      <w:r>
        <w:rPr>
          <w:rFonts w:hint="eastAsia" w:cs="宋体"/>
          <w:b w:val="0"/>
          <w:bCs/>
          <w:color w:val="auto"/>
          <w:kern w:val="0"/>
          <w:sz w:val="24"/>
          <w:szCs w:val="24"/>
          <w:highlight w:val="none"/>
          <w:lang w:val="en-US" w:eastAsia="zh-CN"/>
        </w:rPr>
        <w:t>项目</w:t>
      </w:r>
      <w:r>
        <w:rPr>
          <w:rFonts w:hint="eastAsia" w:cs="宋体"/>
          <w:b w:val="0"/>
          <w:bCs/>
          <w:color w:val="auto"/>
          <w:kern w:val="0"/>
          <w:sz w:val="24"/>
          <w:szCs w:val="24"/>
          <w:highlight w:val="none"/>
        </w:rPr>
        <w:t>（标段）由系统随机生成，此账号只在本</w:t>
      </w:r>
      <w:r>
        <w:rPr>
          <w:rFonts w:hint="eastAsia" w:cs="宋体"/>
          <w:b w:val="0"/>
          <w:bCs/>
          <w:color w:val="auto"/>
          <w:kern w:val="0"/>
          <w:sz w:val="24"/>
          <w:szCs w:val="24"/>
          <w:highlight w:val="none"/>
          <w:lang w:val="en-US" w:eastAsia="zh-CN"/>
        </w:rPr>
        <w:t>项目</w:t>
      </w:r>
      <w:r>
        <w:rPr>
          <w:rFonts w:hint="eastAsia" w:cs="宋体"/>
          <w:b w:val="0"/>
          <w:bCs/>
          <w:color w:val="auto"/>
          <w:kern w:val="0"/>
          <w:sz w:val="24"/>
          <w:szCs w:val="24"/>
          <w:highlight w:val="none"/>
        </w:rPr>
        <w:t>（标段）中使用有效，请注意核对。账号漏填、混填或错填均视为未按时缴纳保证金。</w:t>
      </w:r>
    </w:p>
    <w:p w14:paraId="36391BB3">
      <w:pPr>
        <w:pStyle w:val="4"/>
        <w:keepNext w:val="0"/>
        <w:keepLines w:val="0"/>
        <w:pageBreakBefore w:val="0"/>
        <w:widowControl w:val="0"/>
        <w:numPr>
          <w:ilvl w:val="0"/>
          <w:numId w:val="15"/>
        </w:numPr>
        <w:kinsoku/>
        <w:wordWrap/>
        <w:overflowPunct/>
        <w:topLinePunct w:val="0"/>
        <w:bidi w:val="0"/>
        <w:adjustRightInd/>
        <w:snapToGrid/>
        <w:spacing w:line="360" w:lineRule="auto"/>
        <w:ind w:left="0" w:leftChars="0" w:right="0" w:firstLine="480" w:firstLineChars="200"/>
        <w:jc w:val="left"/>
        <w:textAlignment w:val="auto"/>
        <w:rPr>
          <w:rFonts w:cs="宋体"/>
          <w:b w:val="0"/>
          <w:bCs/>
          <w:color w:val="auto"/>
          <w:kern w:val="0"/>
          <w:sz w:val="24"/>
          <w:szCs w:val="24"/>
          <w:highlight w:val="none"/>
        </w:rPr>
      </w:pPr>
      <w:r>
        <w:rPr>
          <w:rFonts w:hint="eastAsia" w:cs="宋体"/>
          <w:b w:val="0"/>
          <w:bCs/>
          <w:color w:val="auto"/>
          <w:kern w:val="0"/>
          <w:sz w:val="24"/>
          <w:szCs w:val="24"/>
          <w:highlight w:val="none"/>
        </w:rPr>
        <w:t>以现金转账形式提交的投标保证金应当从投标人基本账户</w:t>
      </w:r>
      <w:r>
        <w:rPr>
          <w:rFonts w:hint="eastAsia" w:cs="宋体"/>
          <w:b w:val="0"/>
          <w:bCs/>
          <w:color w:val="auto"/>
          <w:kern w:val="0"/>
          <w:sz w:val="24"/>
          <w:szCs w:val="24"/>
          <w:highlight w:val="none"/>
          <w:lang w:eastAsia="zh-CN"/>
        </w:rPr>
        <w:t>（</w:t>
      </w:r>
      <w:r>
        <w:rPr>
          <w:rFonts w:hint="eastAsia" w:cs="宋体"/>
          <w:b w:val="0"/>
          <w:bCs/>
          <w:color w:val="auto"/>
          <w:kern w:val="0"/>
          <w:sz w:val="24"/>
          <w:szCs w:val="24"/>
          <w:highlight w:val="none"/>
          <w:lang w:val="en-US" w:eastAsia="zh-CN"/>
        </w:rPr>
        <w:t>个体户为经营者账户</w:t>
      </w:r>
      <w:r>
        <w:rPr>
          <w:rFonts w:hint="eastAsia" w:cs="宋体"/>
          <w:b w:val="0"/>
          <w:bCs/>
          <w:color w:val="auto"/>
          <w:kern w:val="0"/>
          <w:sz w:val="24"/>
          <w:szCs w:val="24"/>
          <w:highlight w:val="none"/>
          <w:lang w:eastAsia="zh-CN"/>
        </w:rPr>
        <w:t>）</w:t>
      </w:r>
      <w:r>
        <w:rPr>
          <w:rFonts w:hint="eastAsia" w:cs="宋体"/>
          <w:b w:val="0"/>
          <w:bCs/>
          <w:color w:val="auto"/>
          <w:kern w:val="0"/>
          <w:sz w:val="24"/>
          <w:szCs w:val="24"/>
          <w:highlight w:val="none"/>
        </w:rPr>
        <w:t>转出，购买</w:t>
      </w:r>
      <w:r>
        <w:rPr>
          <w:rFonts w:hint="eastAsia" w:cs="宋体"/>
          <w:b w:val="0"/>
          <w:bCs/>
          <w:color w:val="auto"/>
          <w:kern w:val="0"/>
          <w:sz w:val="24"/>
          <w:szCs w:val="24"/>
          <w:highlight w:val="none"/>
          <w:lang w:eastAsia="zh-CN"/>
        </w:rPr>
        <w:t>保函</w:t>
      </w:r>
      <w:r>
        <w:rPr>
          <w:rFonts w:hint="eastAsia" w:cs="宋体"/>
          <w:b w:val="0"/>
          <w:bCs/>
          <w:color w:val="auto"/>
          <w:kern w:val="0"/>
          <w:sz w:val="24"/>
          <w:szCs w:val="24"/>
          <w:highlight w:val="none"/>
        </w:rPr>
        <w:t>的费用应当从投标人基本账户</w:t>
      </w:r>
      <w:r>
        <w:rPr>
          <w:rFonts w:hint="eastAsia" w:cs="宋体"/>
          <w:b w:val="0"/>
          <w:bCs/>
          <w:color w:val="auto"/>
          <w:kern w:val="0"/>
          <w:sz w:val="24"/>
          <w:szCs w:val="24"/>
          <w:highlight w:val="none"/>
          <w:lang w:eastAsia="zh-CN"/>
        </w:rPr>
        <w:t>（</w:t>
      </w:r>
      <w:r>
        <w:rPr>
          <w:rFonts w:hint="eastAsia" w:cs="宋体"/>
          <w:b w:val="0"/>
          <w:bCs/>
          <w:color w:val="auto"/>
          <w:kern w:val="0"/>
          <w:sz w:val="24"/>
          <w:szCs w:val="24"/>
          <w:highlight w:val="none"/>
          <w:lang w:val="en-US" w:eastAsia="zh-CN"/>
        </w:rPr>
        <w:t>个体户为经营者账户</w:t>
      </w:r>
      <w:r>
        <w:rPr>
          <w:rFonts w:hint="eastAsia" w:cs="宋体"/>
          <w:b w:val="0"/>
          <w:bCs/>
          <w:color w:val="auto"/>
          <w:kern w:val="0"/>
          <w:sz w:val="24"/>
          <w:szCs w:val="24"/>
          <w:highlight w:val="none"/>
          <w:lang w:eastAsia="zh-CN"/>
        </w:rPr>
        <w:t>）</w:t>
      </w:r>
      <w:r>
        <w:rPr>
          <w:rFonts w:hint="eastAsia" w:cs="宋体"/>
          <w:b w:val="0"/>
          <w:bCs/>
          <w:color w:val="auto"/>
          <w:kern w:val="0"/>
          <w:sz w:val="24"/>
          <w:szCs w:val="24"/>
          <w:highlight w:val="none"/>
        </w:rPr>
        <w:t>支付；</w:t>
      </w:r>
    </w:p>
    <w:p w14:paraId="0446D664">
      <w:pPr>
        <w:pStyle w:val="4"/>
        <w:keepNext w:val="0"/>
        <w:keepLines w:val="0"/>
        <w:pageBreakBefore w:val="0"/>
        <w:widowControl w:val="0"/>
        <w:numPr>
          <w:ilvl w:val="0"/>
          <w:numId w:val="15"/>
        </w:numPr>
        <w:kinsoku/>
        <w:wordWrap/>
        <w:overflowPunct/>
        <w:topLinePunct w:val="0"/>
        <w:bidi w:val="0"/>
        <w:adjustRightInd/>
        <w:snapToGrid/>
        <w:spacing w:line="360" w:lineRule="auto"/>
        <w:ind w:left="0" w:leftChars="0" w:right="0" w:firstLine="480" w:firstLineChars="200"/>
        <w:jc w:val="left"/>
        <w:textAlignment w:val="auto"/>
        <w:rPr>
          <w:rFonts w:cs="宋体"/>
          <w:b w:val="0"/>
          <w:bCs/>
          <w:color w:val="auto"/>
          <w:kern w:val="0"/>
          <w:sz w:val="24"/>
          <w:szCs w:val="24"/>
          <w:highlight w:val="none"/>
        </w:rPr>
      </w:pPr>
      <w:r>
        <w:rPr>
          <w:rFonts w:hint="eastAsia" w:cs="宋体"/>
          <w:b w:val="0"/>
          <w:bCs/>
          <w:color w:val="auto"/>
          <w:kern w:val="0"/>
          <w:sz w:val="24"/>
          <w:szCs w:val="24"/>
          <w:highlight w:val="none"/>
        </w:rPr>
        <w:t>若有疑问，请咨询技术服务热线：0576-88865501</w:t>
      </w:r>
    </w:p>
    <w:p w14:paraId="02A56DFA">
      <w:pPr>
        <w:pStyle w:val="4"/>
        <w:keepNext w:val="0"/>
        <w:keepLines w:val="0"/>
        <w:pageBreakBefore w:val="0"/>
        <w:widowControl w:val="0"/>
        <w:numPr>
          <w:ilvl w:val="0"/>
          <w:numId w:val="15"/>
        </w:numPr>
        <w:kinsoku/>
        <w:wordWrap/>
        <w:overflowPunct/>
        <w:topLinePunct w:val="0"/>
        <w:bidi w:val="0"/>
        <w:adjustRightInd/>
        <w:snapToGrid/>
        <w:spacing w:line="360" w:lineRule="auto"/>
        <w:ind w:left="0" w:leftChars="0" w:right="0" w:firstLine="480" w:firstLineChars="200"/>
        <w:jc w:val="left"/>
        <w:textAlignment w:val="auto"/>
        <w:rPr>
          <w:rFonts w:cs="宋体"/>
          <w:b w:val="0"/>
          <w:bCs/>
          <w:color w:val="auto"/>
          <w:kern w:val="0"/>
          <w:sz w:val="24"/>
          <w:szCs w:val="24"/>
          <w:highlight w:val="none"/>
        </w:rPr>
      </w:pPr>
      <w:r>
        <w:rPr>
          <w:rFonts w:hint="eastAsia" w:cs="宋体"/>
          <w:b w:val="0"/>
          <w:bCs/>
          <w:color w:val="auto"/>
          <w:kern w:val="0"/>
          <w:sz w:val="24"/>
          <w:szCs w:val="24"/>
          <w:highlight w:val="none"/>
        </w:rPr>
        <w:t>以上未按要求提供或提供不清晰的，评标委员会可能做出不利于投标人的评审结果，由此造成的风险由投标人自行承担。</w:t>
      </w:r>
    </w:p>
    <w:p w14:paraId="5090C06C">
      <w:pPr>
        <w:keepNext w:val="0"/>
        <w:keepLines w:val="0"/>
        <w:pageBreakBefore w:val="0"/>
        <w:widowControl w:val="0"/>
        <w:numPr>
          <w:ilvl w:val="0"/>
          <w:numId w:val="11"/>
        </w:numPr>
        <w:tabs>
          <w:tab w:val="left" w:pos="180"/>
          <w:tab w:val="left" w:pos="360"/>
          <w:tab w:val="left" w:pos="540"/>
          <w:tab w:val="left" w:pos="8280"/>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宋体" w:hAnsi="宋体" w:cs="宋体"/>
          <w:b/>
          <w:bCs w:val="0"/>
          <w:color w:val="auto"/>
          <w:sz w:val="24"/>
          <w:szCs w:val="24"/>
          <w:highlight w:val="none"/>
        </w:rPr>
      </w:pPr>
      <w:r>
        <w:rPr>
          <w:rFonts w:hint="eastAsia" w:ascii="宋体" w:hAnsi="宋体" w:cs="宋体"/>
          <w:b/>
          <w:bCs w:val="0"/>
          <w:color w:val="auto"/>
          <w:kern w:val="0"/>
          <w:sz w:val="24"/>
          <w:szCs w:val="24"/>
          <w:highlight w:val="none"/>
        </w:rPr>
        <w:t>购买电子保函截止时间：2025年06月</w:t>
      </w:r>
      <w:r>
        <w:rPr>
          <w:rFonts w:hint="eastAsia" w:ascii="宋体" w:hAnsi="宋体" w:cs="宋体"/>
          <w:b/>
          <w:bCs w:val="0"/>
          <w:color w:val="auto"/>
          <w:kern w:val="0"/>
          <w:sz w:val="24"/>
          <w:szCs w:val="24"/>
          <w:highlight w:val="none"/>
          <w:lang w:val="en-US" w:eastAsia="zh-CN"/>
        </w:rPr>
        <w:t>17</w:t>
      </w:r>
      <w:r>
        <w:rPr>
          <w:rFonts w:hint="eastAsia" w:ascii="宋体" w:hAnsi="宋体" w:cs="宋体"/>
          <w:b/>
          <w:bCs w:val="0"/>
          <w:color w:val="auto"/>
          <w:kern w:val="0"/>
          <w:sz w:val="24"/>
          <w:szCs w:val="24"/>
          <w:highlight w:val="none"/>
        </w:rPr>
        <w:t>日</w:t>
      </w:r>
      <w:r>
        <w:rPr>
          <w:rFonts w:hint="eastAsia" w:ascii="宋体" w:hAnsi="宋体" w:cs="宋体"/>
          <w:b/>
          <w:bCs w:val="0"/>
          <w:color w:val="auto"/>
          <w:kern w:val="0"/>
          <w:sz w:val="24"/>
          <w:szCs w:val="24"/>
          <w:highlight w:val="none"/>
          <w:u w:val="single"/>
        </w:rPr>
        <w:t>16点前</w:t>
      </w:r>
      <w:bookmarkStart w:id="84" w:name="_GoBack"/>
      <w:bookmarkEnd w:id="84"/>
    </w:p>
    <w:p w14:paraId="03075DBA">
      <w:pPr>
        <w:pStyle w:val="4"/>
        <w:keepNext w:val="0"/>
        <w:keepLines w:val="0"/>
        <w:pageBreakBefore w:val="0"/>
        <w:widowControl w:val="0"/>
        <w:numPr>
          <w:ilvl w:val="0"/>
          <w:numId w:val="6"/>
        </w:numPr>
        <w:kinsoku/>
        <w:wordWrap/>
        <w:overflowPunct/>
        <w:topLinePunct w:val="0"/>
        <w:bidi w:val="0"/>
        <w:adjustRightInd/>
        <w:snapToGrid/>
        <w:spacing w:line="360" w:lineRule="auto"/>
        <w:ind w:left="0" w:leftChars="0" w:right="0" w:firstLine="482" w:firstLineChars="200"/>
        <w:jc w:val="left"/>
        <w:textAlignment w:val="auto"/>
        <w:rPr>
          <w:rFonts w:cs="宋体"/>
          <w:bCs/>
          <w:color w:val="auto"/>
          <w:sz w:val="24"/>
          <w:szCs w:val="24"/>
          <w:highlight w:val="none"/>
        </w:rPr>
      </w:pPr>
      <w:r>
        <w:rPr>
          <w:rFonts w:hint="eastAsia" w:cs="宋体"/>
          <w:bCs/>
          <w:color w:val="auto"/>
          <w:sz w:val="24"/>
          <w:szCs w:val="24"/>
          <w:highlight w:val="none"/>
        </w:rPr>
        <w:t>联系方式</w:t>
      </w:r>
    </w:p>
    <w:p w14:paraId="5B4DE524">
      <w:pPr>
        <w:keepNext w:val="0"/>
        <w:keepLines w:val="0"/>
        <w:pageBreakBefore w:val="0"/>
        <w:widowControl w:val="0"/>
        <w:numPr>
          <w:ilvl w:val="0"/>
          <w:numId w:val="16"/>
        </w:numPr>
        <w:kinsoku/>
        <w:wordWrap/>
        <w:overflowPunct/>
        <w:topLinePunct w:val="0"/>
        <w:bidi w:val="0"/>
        <w:adjustRightInd/>
        <w:snapToGrid/>
        <w:spacing w:line="360" w:lineRule="auto"/>
        <w:ind w:left="0" w:leftChars="0" w:right="0" w:firstLine="482" w:firstLineChars="200"/>
        <w:jc w:val="left"/>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采购人（受理招标文件相关质疑及答复） </w:t>
      </w:r>
    </w:p>
    <w:p w14:paraId="2483DA2C">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hint="eastAsia" w:ascii="宋体" w:hAnsi="宋体" w:eastAsia="宋体" w:cs="宋体"/>
          <w:color w:val="auto"/>
          <w:sz w:val="24"/>
          <w:szCs w:val="24"/>
          <w:highlight w:val="none"/>
          <w:u w:val="none"/>
          <w:lang w:eastAsia="zh-CN"/>
        </w:rPr>
      </w:pPr>
      <w:r>
        <w:rPr>
          <w:rFonts w:hint="eastAsia" w:ascii="宋体" w:hAnsi="宋体" w:cs="宋体"/>
          <w:color w:val="auto"/>
          <w:sz w:val="24"/>
          <w:szCs w:val="24"/>
          <w:highlight w:val="none"/>
          <w:u w:val="none"/>
        </w:rPr>
        <w:t>名称：</w:t>
      </w:r>
      <w:r>
        <w:rPr>
          <w:rFonts w:hint="eastAsia" w:ascii="宋体" w:hAnsi="宋体" w:cs="宋体"/>
          <w:color w:val="auto"/>
          <w:sz w:val="24"/>
          <w:szCs w:val="24"/>
          <w:highlight w:val="none"/>
          <w:u w:val="none"/>
          <w:lang w:eastAsia="zh-CN"/>
        </w:rPr>
        <w:t>海虹街道中心幼儿园</w:t>
      </w:r>
    </w:p>
    <w:p w14:paraId="1049590A">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hint="default" w:ascii="宋体" w:hAnsi="宋体" w:eastAsia="宋体" w:cs="宋体"/>
          <w:color w:val="auto"/>
          <w:sz w:val="24"/>
          <w:szCs w:val="24"/>
          <w:highlight w:val="none"/>
          <w:u w:val="none"/>
          <w:lang w:val="en-US" w:eastAsia="zh-CN"/>
        </w:rPr>
      </w:pPr>
      <w:r>
        <w:rPr>
          <w:rFonts w:hint="eastAsia" w:ascii="宋体" w:hAnsi="宋体" w:cs="宋体"/>
          <w:color w:val="auto"/>
          <w:sz w:val="24"/>
          <w:szCs w:val="24"/>
          <w:highlight w:val="none"/>
          <w:u w:val="none"/>
        </w:rPr>
        <w:t>地址：台州市台州湾新区</w:t>
      </w:r>
      <w:r>
        <w:rPr>
          <w:rFonts w:hint="eastAsia" w:ascii="宋体" w:hAnsi="宋体" w:cs="宋体"/>
          <w:color w:val="auto"/>
          <w:sz w:val="24"/>
          <w:szCs w:val="24"/>
          <w:highlight w:val="none"/>
          <w:u w:val="none"/>
          <w:lang w:val="en-US" w:eastAsia="zh-CN"/>
        </w:rPr>
        <w:t>梦和</w:t>
      </w:r>
      <w:r>
        <w:rPr>
          <w:rFonts w:hint="eastAsia" w:ascii="宋体" w:hAnsi="宋体" w:cs="宋体"/>
          <w:color w:val="auto"/>
          <w:sz w:val="24"/>
          <w:szCs w:val="24"/>
          <w:highlight w:val="none"/>
          <w:u w:val="none"/>
        </w:rPr>
        <w:t>路</w:t>
      </w:r>
      <w:r>
        <w:rPr>
          <w:rFonts w:hint="eastAsia" w:ascii="宋体" w:hAnsi="宋体" w:cs="宋体"/>
          <w:color w:val="auto"/>
          <w:sz w:val="24"/>
          <w:szCs w:val="24"/>
          <w:highlight w:val="none"/>
          <w:u w:val="none"/>
          <w:lang w:val="en-US" w:eastAsia="zh-CN"/>
        </w:rPr>
        <w:t>与经中路交叉口</w:t>
      </w:r>
    </w:p>
    <w:p w14:paraId="4A2C65ED">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hint="eastAsia" w:ascii="宋体" w:hAnsi="宋体" w:cs="宋体"/>
          <w:color w:val="auto"/>
          <w:sz w:val="24"/>
          <w:szCs w:val="24"/>
          <w:highlight w:val="none"/>
          <w:u w:val="none"/>
        </w:rPr>
      </w:pPr>
      <w:r>
        <w:rPr>
          <w:rFonts w:hint="eastAsia" w:ascii="宋体" w:hAnsi="宋体" w:cs="宋体"/>
          <w:color w:val="auto"/>
          <w:sz w:val="24"/>
          <w:szCs w:val="24"/>
          <w:highlight w:val="none"/>
          <w:u w:val="none"/>
        </w:rPr>
        <w:t>联系人：</w:t>
      </w:r>
      <w:bookmarkStart w:id="28" w:name="_Toc28359009"/>
      <w:bookmarkStart w:id="29" w:name="_Toc28359086"/>
      <w:r>
        <w:rPr>
          <w:rFonts w:hint="eastAsia" w:ascii="宋体" w:hAnsi="宋体" w:cs="宋体"/>
          <w:color w:val="auto"/>
          <w:sz w:val="24"/>
          <w:szCs w:val="24"/>
          <w:highlight w:val="none"/>
          <w:u w:val="none"/>
        </w:rPr>
        <w:t>张老师</w:t>
      </w:r>
    </w:p>
    <w:p w14:paraId="209BB90D">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hint="eastAsia" w:ascii="宋体" w:hAnsi="宋体" w:eastAsia="宋体" w:cs="宋体"/>
          <w:color w:val="auto"/>
          <w:sz w:val="24"/>
          <w:szCs w:val="24"/>
          <w:highlight w:val="none"/>
          <w:u w:val="none"/>
          <w:lang w:eastAsia="zh-CN"/>
        </w:rPr>
      </w:pPr>
      <w:r>
        <w:rPr>
          <w:rFonts w:hint="eastAsia" w:ascii="宋体" w:hAnsi="宋体" w:cs="宋体"/>
          <w:color w:val="auto"/>
          <w:sz w:val="24"/>
          <w:szCs w:val="24"/>
          <w:highlight w:val="none"/>
          <w:u w:val="none"/>
        </w:rPr>
        <w:t>联系电话：</w:t>
      </w:r>
      <w:r>
        <w:rPr>
          <w:rFonts w:hint="eastAsia" w:ascii="宋体" w:hAnsi="宋体" w:cs="宋体"/>
          <w:color w:val="auto"/>
          <w:sz w:val="24"/>
          <w:szCs w:val="24"/>
          <w:highlight w:val="none"/>
          <w:u w:val="none"/>
          <w:lang w:eastAsia="zh-CN"/>
        </w:rPr>
        <w:t>0576-81833198</w:t>
      </w:r>
    </w:p>
    <w:bookmarkEnd w:id="28"/>
    <w:bookmarkEnd w:id="29"/>
    <w:p w14:paraId="3A4964DA">
      <w:pPr>
        <w:keepNext w:val="0"/>
        <w:keepLines w:val="0"/>
        <w:pageBreakBefore w:val="0"/>
        <w:widowControl w:val="0"/>
        <w:numPr>
          <w:ilvl w:val="0"/>
          <w:numId w:val="16"/>
        </w:numPr>
        <w:kinsoku/>
        <w:wordWrap/>
        <w:overflowPunct/>
        <w:topLinePunct w:val="0"/>
        <w:bidi w:val="0"/>
        <w:adjustRightInd/>
        <w:snapToGrid/>
        <w:spacing w:line="360" w:lineRule="auto"/>
        <w:ind w:left="0" w:leftChars="0" w:right="0" w:firstLine="482" w:firstLineChars="200"/>
        <w:jc w:val="left"/>
        <w:textAlignment w:val="auto"/>
        <w:rPr>
          <w:rFonts w:ascii="宋体" w:hAnsi="宋体" w:cs="宋体"/>
          <w:b/>
          <w:color w:val="auto"/>
          <w:sz w:val="24"/>
          <w:szCs w:val="24"/>
          <w:highlight w:val="none"/>
          <w:u w:val="none"/>
        </w:rPr>
      </w:pPr>
      <w:r>
        <w:rPr>
          <w:rFonts w:hint="eastAsia" w:ascii="宋体" w:hAnsi="宋体" w:cs="宋体"/>
          <w:b/>
          <w:bCs/>
          <w:color w:val="auto"/>
          <w:sz w:val="24"/>
          <w:szCs w:val="24"/>
          <w:highlight w:val="none"/>
          <w:u w:val="none"/>
        </w:rPr>
        <w:t>采购组织机构</w:t>
      </w:r>
    </w:p>
    <w:p w14:paraId="69DCBAE4">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hint="eastAsia" w:ascii="宋体" w:hAnsi="宋体" w:cs="宋体"/>
          <w:color w:val="auto"/>
          <w:sz w:val="24"/>
          <w:szCs w:val="24"/>
          <w:highlight w:val="none"/>
          <w:u w:val="none"/>
        </w:rPr>
      </w:pPr>
      <w:bookmarkStart w:id="30" w:name="_Toc28359010"/>
      <w:bookmarkStart w:id="31" w:name="_Toc28359087"/>
      <w:r>
        <w:rPr>
          <w:rFonts w:hint="eastAsia" w:ascii="宋体" w:hAnsi="宋体" w:cs="宋体"/>
          <w:color w:val="auto"/>
          <w:sz w:val="24"/>
          <w:szCs w:val="24"/>
          <w:highlight w:val="none"/>
          <w:u w:val="none"/>
        </w:rPr>
        <w:t>名称：台州市永阳科技有限公司</w:t>
      </w:r>
    </w:p>
    <w:p w14:paraId="2186A18A">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rPr>
        <w:t>地址：台州市黄岩区劳动南路尚品南郡小区2号楼2单位902室</w:t>
      </w:r>
    </w:p>
    <w:p w14:paraId="5F235C4A">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rPr>
        <w:t>项目联系人：周先生</w:t>
      </w:r>
    </w:p>
    <w:p w14:paraId="5F7DB169">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rPr>
        <w:t>联系电话：18958682891</w:t>
      </w:r>
    </w:p>
    <w:p w14:paraId="2D9A1873">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lang w:val="en-US" w:eastAsia="zh-CN"/>
        </w:rPr>
        <w:t>质疑</w:t>
      </w:r>
      <w:r>
        <w:rPr>
          <w:rFonts w:hint="eastAsia" w:ascii="宋体" w:hAnsi="宋体" w:cs="宋体"/>
          <w:color w:val="auto"/>
          <w:sz w:val="24"/>
          <w:szCs w:val="24"/>
          <w:highlight w:val="none"/>
          <w:u w:val="none"/>
        </w:rPr>
        <w:t>受理联系人：</w:t>
      </w:r>
      <w:r>
        <w:rPr>
          <w:rFonts w:hint="eastAsia" w:ascii="宋体" w:hAnsi="宋体" w:cs="宋体"/>
          <w:color w:val="auto"/>
          <w:sz w:val="24"/>
          <w:szCs w:val="24"/>
          <w:highlight w:val="none"/>
          <w:u w:val="none"/>
          <w:lang w:val="en-US" w:eastAsia="zh-CN"/>
        </w:rPr>
        <w:t>金先生</w:t>
      </w:r>
    </w:p>
    <w:p w14:paraId="45DD7530">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rPr>
        <w:t>联系电话：15757655840</w:t>
      </w:r>
    </w:p>
    <w:p w14:paraId="452AF728">
      <w:pPr>
        <w:keepNext w:val="0"/>
        <w:keepLines w:val="0"/>
        <w:pageBreakBefore w:val="0"/>
        <w:widowControl w:val="0"/>
        <w:numPr>
          <w:ilvl w:val="0"/>
          <w:numId w:val="16"/>
        </w:numPr>
        <w:kinsoku/>
        <w:wordWrap/>
        <w:overflowPunct/>
        <w:topLinePunct w:val="0"/>
        <w:bidi w:val="0"/>
        <w:adjustRightInd/>
        <w:snapToGrid/>
        <w:spacing w:line="360" w:lineRule="auto"/>
        <w:ind w:left="0" w:leftChars="0" w:right="0" w:firstLine="482" w:firstLineChars="200"/>
        <w:jc w:val="left"/>
        <w:textAlignment w:val="auto"/>
        <w:rPr>
          <w:rFonts w:ascii="宋体" w:hAnsi="宋体" w:cs="宋体"/>
          <w:b/>
          <w:color w:val="auto"/>
          <w:sz w:val="24"/>
          <w:szCs w:val="24"/>
          <w:highlight w:val="none"/>
          <w:u w:val="none"/>
        </w:rPr>
      </w:pPr>
      <w:r>
        <w:rPr>
          <w:rFonts w:hint="eastAsia" w:ascii="宋体" w:hAnsi="宋体" w:cs="宋体"/>
          <w:b/>
          <w:color w:val="auto"/>
          <w:sz w:val="24"/>
          <w:szCs w:val="24"/>
          <w:highlight w:val="none"/>
          <w:u w:val="none"/>
        </w:rPr>
        <w:t>同级政府采购监管机构</w:t>
      </w:r>
    </w:p>
    <w:p w14:paraId="3AA6FD4C">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hint="eastAsia" w:ascii="宋体" w:hAnsi="宋体" w:eastAsia="宋体" w:cs="宋体"/>
          <w:color w:val="auto"/>
          <w:sz w:val="24"/>
          <w:szCs w:val="24"/>
          <w:highlight w:val="none"/>
          <w:u w:val="none"/>
          <w:lang w:eastAsia="zh-CN"/>
        </w:rPr>
      </w:pPr>
      <w:r>
        <w:rPr>
          <w:rFonts w:hint="eastAsia" w:ascii="宋体" w:hAnsi="宋体" w:cs="宋体"/>
          <w:color w:val="auto"/>
          <w:sz w:val="24"/>
          <w:szCs w:val="24"/>
          <w:highlight w:val="none"/>
          <w:u w:val="none"/>
        </w:rPr>
        <w:t>名称：</w:t>
      </w:r>
      <w:r>
        <w:rPr>
          <w:rFonts w:hint="eastAsia" w:asciiTheme="minorEastAsia" w:hAnsiTheme="minorEastAsia" w:eastAsiaTheme="minorEastAsia" w:cstheme="minorEastAsia"/>
          <w:color w:val="auto"/>
          <w:sz w:val="24"/>
          <w:szCs w:val="24"/>
          <w:highlight w:val="none"/>
          <w:u w:val="none"/>
          <w:lang w:eastAsia="zh-CN"/>
        </w:rPr>
        <w:t>台州湾新区行政审批与投资服务局</w:t>
      </w:r>
    </w:p>
    <w:p w14:paraId="7CB75CE0">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rPr>
        <w:t>地址：台州市甲南大道东段9号</w:t>
      </w:r>
    </w:p>
    <w:p w14:paraId="3F733C3A">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rPr>
        <w:t>联系人：</w:t>
      </w:r>
      <w:r>
        <w:rPr>
          <w:rFonts w:hint="eastAsia" w:ascii="宋体" w:hAnsi="宋体" w:cs="宋体"/>
          <w:color w:val="auto"/>
          <w:sz w:val="24"/>
          <w:szCs w:val="24"/>
          <w:highlight w:val="none"/>
          <w:u w:val="none"/>
          <w:lang w:val="en-US" w:eastAsia="zh-CN"/>
        </w:rPr>
        <w:t>邱</w:t>
      </w:r>
      <w:r>
        <w:rPr>
          <w:rFonts w:hint="eastAsia" w:ascii="宋体" w:hAnsi="宋体" w:cs="宋体"/>
          <w:color w:val="auto"/>
          <w:sz w:val="24"/>
          <w:szCs w:val="24"/>
          <w:highlight w:val="none"/>
          <w:u w:val="none"/>
        </w:rPr>
        <w:t>先生</w:t>
      </w:r>
    </w:p>
    <w:p w14:paraId="650061BF">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rPr>
        <w:t>联系电话：0576-88538849</w:t>
      </w:r>
    </w:p>
    <w:p w14:paraId="50D2EC70">
      <w:pPr>
        <w:keepNext w:val="0"/>
        <w:keepLines w:val="0"/>
        <w:pageBreakBefore w:val="0"/>
        <w:widowControl w:val="0"/>
        <w:numPr>
          <w:ilvl w:val="0"/>
          <w:numId w:val="16"/>
        </w:numPr>
        <w:kinsoku/>
        <w:wordWrap/>
        <w:overflowPunct/>
        <w:topLinePunct w:val="0"/>
        <w:bidi w:val="0"/>
        <w:adjustRightInd/>
        <w:snapToGrid/>
        <w:spacing w:line="360" w:lineRule="auto"/>
        <w:ind w:left="0" w:leftChars="0" w:right="0" w:firstLine="482" w:firstLineChars="200"/>
        <w:jc w:val="left"/>
        <w:textAlignment w:val="auto"/>
        <w:rPr>
          <w:rFonts w:ascii="宋体" w:hAnsi="宋体" w:cs="宋体"/>
          <w:b/>
          <w:color w:val="auto"/>
          <w:sz w:val="24"/>
          <w:szCs w:val="24"/>
          <w:highlight w:val="none"/>
          <w:u w:val="none"/>
        </w:rPr>
      </w:pPr>
      <w:r>
        <w:rPr>
          <w:rFonts w:hint="eastAsia" w:ascii="宋体" w:hAnsi="宋体" w:cs="宋体"/>
          <w:b/>
          <w:color w:val="auto"/>
          <w:sz w:val="24"/>
          <w:szCs w:val="24"/>
          <w:highlight w:val="none"/>
          <w:u w:val="none"/>
        </w:rPr>
        <w:t>台州湾新区小额工程电子交易平台</w:t>
      </w:r>
    </w:p>
    <w:p w14:paraId="531F6404">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u w:val="none"/>
        </w:rPr>
      </w:pPr>
      <w:r>
        <w:rPr>
          <w:rFonts w:hint="eastAsia" w:ascii="宋体" w:hAnsi="宋体" w:cs="宋体"/>
          <w:color w:val="auto"/>
          <w:sz w:val="24"/>
          <w:szCs w:val="24"/>
          <w:highlight w:val="none"/>
          <w:u w:val="none"/>
        </w:rPr>
        <w:t>联系人：蔡先生、王女士</w:t>
      </w:r>
    </w:p>
    <w:p w14:paraId="1E85E30E">
      <w:pPr>
        <w:keepNext w:val="0"/>
        <w:keepLines w:val="0"/>
        <w:pageBreakBefore w:val="0"/>
        <w:widowControl w:val="0"/>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u w:val="none"/>
          <w:shd w:val="clear" w:color="auto" w:fill="FFFFFF"/>
        </w:rPr>
      </w:pPr>
      <w:r>
        <w:rPr>
          <w:rFonts w:hint="eastAsia" w:ascii="宋体" w:hAnsi="宋体" w:cs="宋体"/>
          <w:color w:val="auto"/>
          <w:sz w:val="24"/>
          <w:szCs w:val="24"/>
          <w:highlight w:val="none"/>
          <w:u w:val="none"/>
        </w:rPr>
        <w:t>联系电话：13454667697、13757680207</w:t>
      </w:r>
    </w:p>
    <w:p w14:paraId="6B52AB1C">
      <w:pPr>
        <w:pStyle w:val="34"/>
        <w:ind w:firstLine="480"/>
        <w:rPr>
          <w:rFonts w:asciiTheme="minorEastAsia" w:hAnsiTheme="minorEastAsia" w:eastAsiaTheme="minorEastAsia" w:cstheme="minorEastAsia"/>
          <w:color w:val="auto"/>
          <w:kern w:val="0"/>
          <w:highlight w:val="none"/>
        </w:rPr>
      </w:pPr>
    </w:p>
    <w:p w14:paraId="2EC1EA92">
      <w:pPr>
        <w:pStyle w:val="34"/>
        <w:ind w:firstLine="0" w:firstLineChars="0"/>
        <w:rPr>
          <w:rFonts w:hint="eastAsia" w:asciiTheme="minorEastAsia" w:hAnsiTheme="minorEastAsia" w:eastAsiaTheme="minorEastAsia" w:cstheme="minorEastAsia"/>
          <w:color w:val="auto"/>
          <w:kern w:val="0"/>
          <w:highlight w:val="none"/>
        </w:rPr>
      </w:pPr>
    </w:p>
    <w:bookmarkEnd w:id="30"/>
    <w:bookmarkEnd w:id="31"/>
    <w:p w14:paraId="749D9A93">
      <w:pP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br w:type="page"/>
      </w:r>
    </w:p>
    <w:p w14:paraId="5B8D3FC1">
      <w:pPr>
        <w:numPr>
          <w:ilvl w:val="0"/>
          <w:numId w:val="17"/>
        </w:numPr>
        <w:spacing w:line="360" w:lineRule="auto"/>
        <w:jc w:val="center"/>
        <w:outlineLvl w:val="0"/>
        <w:rPr>
          <w:rFonts w:asciiTheme="minorEastAsia" w:hAnsiTheme="minorEastAsia" w:eastAsiaTheme="minorEastAsia"/>
          <w:b/>
          <w:color w:val="auto"/>
          <w:sz w:val="36"/>
          <w:szCs w:val="36"/>
          <w:highlight w:val="none"/>
        </w:rPr>
      </w:pPr>
      <w:bookmarkStart w:id="32" w:name="_Toc20901"/>
      <w:r>
        <w:rPr>
          <w:rFonts w:hint="eastAsia" w:asciiTheme="minorEastAsia" w:hAnsiTheme="minorEastAsia" w:eastAsiaTheme="minorEastAsia"/>
          <w:b/>
          <w:color w:val="auto"/>
          <w:sz w:val="36"/>
          <w:szCs w:val="36"/>
          <w:highlight w:val="none"/>
        </w:rPr>
        <w:t>投标人须知</w:t>
      </w:r>
      <w:bookmarkEnd w:id="32"/>
    </w:p>
    <w:p w14:paraId="67D4F3DF">
      <w:pPr>
        <w:numPr>
          <w:ilvl w:val="0"/>
          <w:numId w:val="18"/>
        </w:numPr>
        <w:ind w:left="0" w:leftChars="0" w:firstLine="420" w:firstLineChars="0"/>
        <w:rPr>
          <w:color w:val="auto"/>
          <w:highlight w:val="none"/>
        </w:rPr>
      </w:pPr>
      <w:r>
        <w:rPr>
          <w:rFonts w:hint="eastAsia" w:asciiTheme="minorEastAsia" w:hAnsiTheme="minorEastAsia" w:eastAsiaTheme="minorEastAsia"/>
          <w:b/>
          <w:color w:val="auto"/>
          <w:sz w:val="24"/>
          <w:highlight w:val="none"/>
        </w:rPr>
        <w:t>前附表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509"/>
        <w:gridCol w:w="6224"/>
      </w:tblGrid>
      <w:tr w14:paraId="7156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DC2CFBC">
            <w:pPr>
              <w:spacing w:line="300" w:lineRule="auto"/>
              <w:jc w:val="center"/>
              <w:rPr>
                <w:rFonts w:ascii="宋体" w:hAnsi="宋体" w:cs="宋体"/>
                <w:b/>
                <w:bCs/>
                <w:color w:val="auto"/>
                <w:highlight w:val="none"/>
              </w:rPr>
            </w:pPr>
            <w:r>
              <w:rPr>
                <w:rFonts w:hint="eastAsia" w:ascii="宋体" w:hAnsi="宋体" w:cs="宋体"/>
                <w:b/>
                <w:bCs/>
                <w:color w:val="auto"/>
                <w:highlight w:val="none"/>
              </w:rPr>
              <w:t>序 号</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14DC7B3">
            <w:pPr>
              <w:spacing w:line="300" w:lineRule="auto"/>
              <w:jc w:val="center"/>
              <w:rPr>
                <w:rFonts w:ascii="宋体" w:hAnsi="宋体" w:cs="宋体"/>
                <w:b/>
                <w:bCs/>
                <w:color w:val="auto"/>
                <w:highlight w:val="none"/>
              </w:rPr>
            </w:pPr>
            <w:r>
              <w:rPr>
                <w:rFonts w:hint="eastAsia" w:ascii="宋体" w:hAnsi="宋体" w:cs="宋体"/>
                <w:b/>
                <w:bCs/>
                <w:color w:val="auto"/>
                <w:highlight w:val="none"/>
              </w:rPr>
              <w:t>事 项</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99543A4">
            <w:pPr>
              <w:spacing w:line="300" w:lineRule="auto"/>
              <w:jc w:val="center"/>
              <w:rPr>
                <w:rFonts w:ascii="宋体" w:hAnsi="宋体" w:cs="宋体"/>
                <w:b/>
                <w:bCs/>
                <w:color w:val="auto"/>
                <w:highlight w:val="none"/>
              </w:rPr>
            </w:pPr>
            <w:r>
              <w:rPr>
                <w:rFonts w:hint="eastAsia" w:ascii="宋体" w:hAnsi="宋体" w:cs="宋体"/>
                <w:b/>
                <w:bCs/>
                <w:color w:val="auto"/>
                <w:highlight w:val="none"/>
              </w:rPr>
              <w:t>本项目的特别规定</w:t>
            </w:r>
          </w:p>
        </w:tc>
      </w:tr>
      <w:tr w14:paraId="3C58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F5CB204">
            <w:pPr>
              <w:spacing w:line="300" w:lineRule="auto"/>
              <w:jc w:val="center"/>
              <w:rPr>
                <w:rFonts w:ascii="宋体" w:hAnsi="宋体" w:cs="宋体"/>
                <w:color w:val="auto"/>
                <w:highlight w:val="none"/>
              </w:rPr>
            </w:pPr>
            <w:r>
              <w:rPr>
                <w:rFonts w:hint="eastAsia" w:ascii="宋体" w:hAnsi="宋体" w:cs="宋体"/>
                <w:color w:val="auto"/>
                <w:highlight w:val="none"/>
              </w:rPr>
              <w:t>1</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B912717">
            <w:pPr>
              <w:spacing w:line="300" w:lineRule="auto"/>
              <w:jc w:val="center"/>
              <w:rPr>
                <w:rFonts w:ascii="宋体" w:hAnsi="宋体" w:cs="宋体"/>
                <w:color w:val="auto"/>
                <w:highlight w:val="none"/>
              </w:rPr>
            </w:pPr>
            <w:r>
              <w:rPr>
                <w:rFonts w:hint="eastAsia" w:ascii="宋体" w:hAnsi="宋体" w:cs="宋体"/>
                <w:color w:val="auto"/>
                <w:highlight w:val="none"/>
              </w:rPr>
              <w:t>是否允许联合体</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31B0092">
            <w:pPr>
              <w:spacing w:line="300" w:lineRule="auto"/>
              <w:ind w:firstLine="210" w:firstLineChars="100"/>
              <w:rPr>
                <w:rFonts w:ascii="宋体" w:hAnsi="宋体" w:cs="宋体"/>
                <w:color w:val="auto"/>
                <w:highlight w:val="none"/>
              </w:rPr>
            </w:pPr>
            <w:r>
              <w:rPr>
                <w:rFonts w:hint="eastAsia" w:ascii="宋体" w:hAnsi="宋体" w:cs="宋体"/>
                <w:color w:val="auto"/>
                <w:highlight w:val="none"/>
              </w:rPr>
              <w:t>否</w:t>
            </w:r>
          </w:p>
        </w:tc>
      </w:tr>
      <w:tr w14:paraId="11D2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6EE254B">
            <w:pPr>
              <w:spacing w:line="300" w:lineRule="auto"/>
              <w:jc w:val="center"/>
              <w:rPr>
                <w:rFonts w:ascii="宋体" w:hAnsi="宋体" w:cs="宋体"/>
                <w:color w:val="auto"/>
                <w:highlight w:val="none"/>
              </w:rPr>
            </w:pPr>
            <w:r>
              <w:rPr>
                <w:rFonts w:hint="eastAsia" w:ascii="宋体" w:hAnsi="宋体" w:cs="宋体"/>
                <w:color w:val="auto"/>
                <w:highlight w:val="none"/>
              </w:rPr>
              <w:t>2</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649F4FC">
            <w:pPr>
              <w:spacing w:line="300" w:lineRule="auto"/>
              <w:jc w:val="center"/>
              <w:rPr>
                <w:rFonts w:ascii="宋体" w:hAnsi="宋体" w:cs="宋体"/>
                <w:color w:val="auto"/>
                <w:highlight w:val="none"/>
              </w:rPr>
            </w:pPr>
            <w:r>
              <w:rPr>
                <w:rFonts w:hint="eastAsia" w:ascii="宋体" w:hAnsi="宋体" w:cs="宋体"/>
                <w:color w:val="auto"/>
                <w:highlight w:val="none"/>
              </w:rPr>
              <w:t>是否允许分包</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243E41B">
            <w:pPr>
              <w:spacing w:line="300" w:lineRule="auto"/>
              <w:ind w:firstLine="210" w:firstLineChars="100"/>
              <w:jc w:val="both"/>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否</w:t>
            </w:r>
          </w:p>
        </w:tc>
      </w:tr>
      <w:tr w14:paraId="3EC7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E82B8C0">
            <w:pPr>
              <w:spacing w:line="300" w:lineRule="auto"/>
              <w:jc w:val="center"/>
              <w:rPr>
                <w:rFonts w:ascii="宋体" w:hAnsi="宋体" w:cs="宋体"/>
                <w:color w:val="auto"/>
                <w:highlight w:val="none"/>
              </w:rPr>
            </w:pPr>
            <w:r>
              <w:rPr>
                <w:rFonts w:hint="eastAsia" w:ascii="宋体" w:hAnsi="宋体" w:cs="宋体"/>
                <w:color w:val="auto"/>
                <w:highlight w:val="none"/>
              </w:rPr>
              <w:t>3</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7E93461">
            <w:pPr>
              <w:spacing w:line="300" w:lineRule="auto"/>
              <w:jc w:val="center"/>
              <w:rPr>
                <w:rFonts w:ascii="宋体" w:hAnsi="宋体" w:cs="宋体"/>
                <w:color w:val="auto"/>
                <w:highlight w:val="none"/>
              </w:rPr>
            </w:pPr>
            <w:r>
              <w:rPr>
                <w:rFonts w:hint="eastAsia" w:ascii="宋体" w:hAnsi="宋体" w:cs="宋体"/>
                <w:color w:val="auto"/>
                <w:highlight w:val="none"/>
              </w:rPr>
              <w:t>答疑会或</w:t>
            </w:r>
          </w:p>
          <w:p w14:paraId="3D45DAAA">
            <w:pPr>
              <w:spacing w:line="300" w:lineRule="auto"/>
              <w:jc w:val="center"/>
              <w:rPr>
                <w:rFonts w:ascii="宋体" w:hAnsi="宋体" w:cs="宋体"/>
                <w:color w:val="auto"/>
                <w:highlight w:val="none"/>
              </w:rPr>
            </w:pPr>
            <w:r>
              <w:rPr>
                <w:rFonts w:hint="eastAsia" w:ascii="宋体" w:hAnsi="宋体" w:cs="宋体"/>
                <w:color w:val="auto"/>
                <w:highlight w:val="none"/>
              </w:rPr>
              <w:t>现场踏勘</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B00CF67">
            <w:pPr>
              <w:spacing w:line="300" w:lineRule="auto"/>
              <w:ind w:firstLine="210" w:firstLineChars="100"/>
              <w:rPr>
                <w:rFonts w:ascii="宋体" w:hAnsi="宋体" w:cs="宋体"/>
                <w:color w:val="auto"/>
                <w:highlight w:val="none"/>
              </w:rPr>
            </w:pPr>
            <w:r>
              <w:rPr>
                <w:rFonts w:hint="eastAsia" w:ascii="宋体" w:hAnsi="宋体" w:cs="宋体"/>
                <w:color w:val="auto"/>
                <w:highlight w:val="none"/>
              </w:rPr>
              <w:t xml:space="preserve">无 </w:t>
            </w:r>
          </w:p>
        </w:tc>
      </w:tr>
      <w:tr w14:paraId="1EB5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D1D0408">
            <w:pPr>
              <w:spacing w:line="300" w:lineRule="auto"/>
              <w:jc w:val="center"/>
              <w:rPr>
                <w:rFonts w:ascii="宋体" w:hAnsi="宋体" w:cs="宋体"/>
                <w:color w:val="auto"/>
                <w:highlight w:val="none"/>
              </w:rPr>
            </w:pPr>
            <w:r>
              <w:rPr>
                <w:rFonts w:hint="eastAsia" w:ascii="宋体" w:hAnsi="宋体" w:cs="宋体"/>
                <w:color w:val="auto"/>
                <w:highlight w:val="none"/>
              </w:rPr>
              <w:t>4</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E9444F5">
            <w:pPr>
              <w:spacing w:line="300" w:lineRule="auto"/>
              <w:jc w:val="center"/>
              <w:rPr>
                <w:rFonts w:ascii="宋体" w:hAnsi="宋体" w:cs="宋体"/>
                <w:color w:val="auto"/>
                <w:highlight w:val="none"/>
              </w:rPr>
            </w:pPr>
            <w:r>
              <w:rPr>
                <w:rFonts w:hint="eastAsia" w:ascii="宋体" w:hAnsi="宋体" w:cs="宋体"/>
                <w:color w:val="auto"/>
                <w:highlight w:val="none"/>
              </w:rPr>
              <w:t>投标文件的制作和投标</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A07CF14">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1、投标人无需到开标现场，电子投标文件上传至台州湾新区小额工程电子交易平台。如遇有问题的请联系蔡先生，13454667697；王女士，13757680207。</w:t>
            </w:r>
          </w:p>
          <w:p w14:paraId="0289DFAA">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2、电子投标文件上传步骤：</w:t>
            </w:r>
          </w:p>
          <w:p w14:paraId="37FF4B92">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 台州湾新区小额工程电子交易平台（网址：http://www.tzwztb.com</w:t>
            </w:r>
            <w:r>
              <w:rPr>
                <w:rFonts w:hint="eastAsia" w:ascii="宋体" w:hAnsi="宋体" w:cs="宋体"/>
                <w:color w:val="auto"/>
                <w:highlight w:val="none"/>
                <w:lang w:eastAsia="zh-CN"/>
              </w:rPr>
              <w:t>）</w:t>
            </w:r>
            <w:r>
              <w:rPr>
                <w:rFonts w:hint="eastAsia" w:ascii="宋体" w:hAnsi="宋体" w:cs="宋体"/>
                <w:color w:val="auto"/>
                <w:highlight w:val="none"/>
              </w:rPr>
              <w:t>；</w:t>
            </w:r>
          </w:p>
          <w:p w14:paraId="750E977A">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 投标人应提前办好ca锁（办理网址：http://www.tseal.cn/tcloud/common.xhtml?projId=295），绑定平台账户。</w:t>
            </w:r>
          </w:p>
          <w:p w14:paraId="6C988C1D">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3)缴纳保证金（或购买电子保函）后，点击“电子投标文件制作工具”，进入制作页面，签章并加密上传电子投标文件。</w:t>
            </w:r>
          </w:p>
        </w:tc>
      </w:tr>
      <w:tr w14:paraId="0751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AB5D381">
            <w:pPr>
              <w:spacing w:line="300" w:lineRule="auto"/>
              <w:jc w:val="center"/>
              <w:rPr>
                <w:rFonts w:ascii="宋体" w:hAnsi="宋体" w:cs="宋体"/>
                <w:color w:val="auto"/>
                <w:highlight w:val="none"/>
              </w:rPr>
            </w:pPr>
            <w:r>
              <w:rPr>
                <w:rFonts w:hint="eastAsia" w:ascii="宋体" w:hAnsi="宋体" w:cs="宋体"/>
                <w:color w:val="auto"/>
                <w:highlight w:val="none"/>
              </w:rPr>
              <w:t>5</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5D7832D">
            <w:pPr>
              <w:spacing w:line="300" w:lineRule="auto"/>
              <w:jc w:val="center"/>
              <w:rPr>
                <w:rFonts w:ascii="宋体" w:hAnsi="宋体" w:cs="宋体"/>
                <w:color w:val="auto"/>
                <w:highlight w:val="none"/>
              </w:rPr>
            </w:pPr>
            <w:r>
              <w:rPr>
                <w:rFonts w:hint="eastAsia" w:ascii="宋体" w:hAnsi="宋体" w:cs="宋体"/>
                <w:color w:val="auto"/>
                <w:highlight w:val="none"/>
              </w:rPr>
              <w:t>投标与开标</w:t>
            </w:r>
          </w:p>
          <w:p w14:paraId="5AB88FBD">
            <w:pPr>
              <w:spacing w:line="300" w:lineRule="auto"/>
              <w:jc w:val="center"/>
              <w:rPr>
                <w:rFonts w:ascii="宋体" w:hAnsi="宋体" w:cs="宋体"/>
                <w:color w:val="auto"/>
                <w:highlight w:val="none"/>
              </w:rPr>
            </w:pPr>
            <w:r>
              <w:rPr>
                <w:rFonts w:hint="eastAsia" w:ascii="宋体" w:hAnsi="宋体" w:cs="宋体"/>
                <w:color w:val="auto"/>
                <w:highlight w:val="none"/>
              </w:rPr>
              <w:t>注意事项</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3C64934">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1.本项目实行电子投标，投标人自行承担投标一切费用。</w:t>
            </w:r>
          </w:p>
          <w:p w14:paraId="7F3D5B80">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标前准备：投标人在开标前确保成为台州湾新区小额工程电子交易平台正式注册用户，并完成CA数字证书办理（办理流程详见平台官网附件：CA签章申领操作流程）。因未注册入库、未办理CA数字证书等原因造成无法投标或投标失败等后果由投标人自行承担。</w:t>
            </w:r>
          </w:p>
        </w:tc>
      </w:tr>
      <w:tr w14:paraId="29D0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8AE6348">
            <w:pPr>
              <w:spacing w:line="300" w:lineRule="auto"/>
              <w:jc w:val="center"/>
              <w:rPr>
                <w:rFonts w:ascii="宋体" w:hAnsi="宋体" w:cs="宋体"/>
                <w:color w:val="auto"/>
                <w:highlight w:val="none"/>
              </w:rPr>
            </w:pPr>
            <w:r>
              <w:rPr>
                <w:rFonts w:hint="eastAsia" w:ascii="宋体" w:hAnsi="宋体" w:cs="宋体"/>
                <w:color w:val="auto"/>
                <w:highlight w:val="none"/>
              </w:rPr>
              <w:t>6</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C6953B8">
            <w:pPr>
              <w:spacing w:line="300" w:lineRule="auto"/>
              <w:jc w:val="center"/>
              <w:rPr>
                <w:rFonts w:ascii="宋体" w:hAnsi="宋体" w:cs="宋体"/>
                <w:color w:val="auto"/>
                <w:highlight w:val="none"/>
              </w:rPr>
            </w:pPr>
            <w:r>
              <w:rPr>
                <w:rFonts w:hint="eastAsia" w:ascii="宋体" w:hAnsi="宋体" w:cs="宋体"/>
                <w:color w:val="auto"/>
                <w:highlight w:val="none"/>
              </w:rPr>
              <w:t>信用信息</w:t>
            </w:r>
          </w:p>
          <w:p w14:paraId="333A5A60">
            <w:pPr>
              <w:spacing w:line="300" w:lineRule="auto"/>
              <w:jc w:val="center"/>
              <w:rPr>
                <w:rFonts w:ascii="宋体" w:hAnsi="宋体" w:cs="宋体"/>
                <w:color w:val="auto"/>
                <w:highlight w:val="none"/>
              </w:rPr>
            </w:pPr>
            <w:r>
              <w:rPr>
                <w:rFonts w:hint="eastAsia" w:ascii="宋体" w:hAnsi="宋体" w:cs="宋体"/>
                <w:color w:val="auto"/>
                <w:highlight w:val="none"/>
              </w:rPr>
              <w:t>查询渠道</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97463BC">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信用中国（网址：</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highlight w:val="none"/>
              </w:rPr>
              <w:t>http://www.creditchina.gov.cn</w:t>
            </w:r>
            <w:r>
              <w:rPr>
                <w:rFonts w:ascii="宋体" w:hAnsi="宋体" w:cs="宋体"/>
                <w:color w:val="auto"/>
                <w:highlight w:val="none"/>
              </w:rPr>
              <w:fldChar w:fldCharType="end"/>
            </w:r>
            <w:r>
              <w:rPr>
                <w:rFonts w:hint="eastAsia" w:ascii="宋体" w:hAnsi="宋体" w:cs="宋体"/>
                <w:color w:val="auto"/>
                <w:highlight w:val="none"/>
              </w:rPr>
              <w:t>）</w:t>
            </w:r>
          </w:p>
          <w:p w14:paraId="113DEEF6">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中国政府采购网（网址：http://www.ccgp.gov.cn）</w:t>
            </w:r>
          </w:p>
        </w:tc>
      </w:tr>
      <w:tr w14:paraId="4225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10B631F">
            <w:pPr>
              <w:spacing w:line="300" w:lineRule="auto"/>
              <w:jc w:val="center"/>
              <w:rPr>
                <w:rFonts w:ascii="宋体" w:hAnsi="宋体" w:cs="宋体"/>
                <w:color w:val="auto"/>
                <w:highlight w:val="none"/>
              </w:rPr>
            </w:pPr>
            <w:r>
              <w:rPr>
                <w:rFonts w:hint="eastAsia" w:ascii="宋体" w:hAnsi="宋体" w:cs="宋体"/>
                <w:color w:val="auto"/>
                <w:highlight w:val="none"/>
              </w:rPr>
              <w:t>7</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F96E1AD">
            <w:pPr>
              <w:spacing w:line="300" w:lineRule="auto"/>
              <w:jc w:val="center"/>
              <w:rPr>
                <w:rFonts w:ascii="宋体" w:hAnsi="宋体" w:cs="宋体"/>
                <w:color w:val="auto"/>
                <w:highlight w:val="none"/>
              </w:rPr>
            </w:pPr>
            <w:r>
              <w:rPr>
                <w:rFonts w:hint="eastAsia" w:ascii="宋体" w:hAnsi="宋体" w:cs="宋体"/>
                <w:color w:val="auto"/>
                <w:highlight w:val="none"/>
              </w:rPr>
              <w:t>质疑渠道</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918D127">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 xml:space="preserve"> 以书面形式向采购人、采购代理机构递交质疑函。</w:t>
            </w:r>
          </w:p>
        </w:tc>
      </w:tr>
      <w:tr w14:paraId="13DB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AC50A59">
            <w:pPr>
              <w:spacing w:line="300" w:lineRule="auto"/>
              <w:jc w:val="center"/>
              <w:rPr>
                <w:rFonts w:ascii="宋体" w:hAnsi="宋体" w:cs="宋体"/>
                <w:color w:val="auto"/>
                <w:highlight w:val="none"/>
              </w:rPr>
            </w:pPr>
            <w:r>
              <w:rPr>
                <w:rFonts w:hint="eastAsia" w:ascii="宋体" w:hAnsi="宋体" w:cs="宋体"/>
                <w:color w:val="auto"/>
                <w:highlight w:val="none"/>
              </w:rPr>
              <w:t>8</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3A0F8DE">
            <w:pPr>
              <w:spacing w:line="300" w:lineRule="auto"/>
              <w:jc w:val="center"/>
              <w:rPr>
                <w:rFonts w:ascii="宋体" w:hAnsi="宋体" w:cs="宋体"/>
                <w:color w:val="auto"/>
                <w:highlight w:val="none"/>
              </w:rPr>
            </w:pPr>
            <w:r>
              <w:rPr>
                <w:rFonts w:hint="eastAsia" w:ascii="宋体" w:hAnsi="宋体" w:cs="宋体"/>
                <w:color w:val="auto"/>
                <w:highlight w:val="none"/>
                <w:lang w:val="zh-CN"/>
              </w:rPr>
              <w:t>实质性条款</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1C98340">
            <w:pPr>
              <w:spacing w:line="300" w:lineRule="auto"/>
              <w:ind w:firstLine="420" w:firstLineChars="200"/>
              <w:rPr>
                <w:rFonts w:ascii="宋体" w:hAnsi="宋体" w:cs="宋体"/>
                <w:color w:val="auto"/>
                <w:highlight w:val="none"/>
              </w:rPr>
            </w:pPr>
            <w:r>
              <w:rPr>
                <w:rFonts w:hint="eastAsia" w:ascii="宋体" w:hAnsi="宋体" w:cs="宋体"/>
                <w:color w:val="auto"/>
                <w:highlight w:val="none"/>
                <w:lang w:val="zh-CN"/>
              </w:rPr>
              <w:t>带“</w:t>
            </w:r>
            <w:r>
              <w:rPr>
                <w:rFonts w:hint="eastAsia" w:ascii="宋体" w:hAnsi="宋体" w:cs="宋体"/>
                <w:color w:val="auto"/>
                <w:highlight w:val="none"/>
              </w:rPr>
              <w:t>▲”的条款是实质性条款，投标文件须作出实质性响应，否则作无效投标处理。</w:t>
            </w:r>
          </w:p>
        </w:tc>
      </w:tr>
      <w:tr w14:paraId="3002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67DCE2D">
            <w:pPr>
              <w:spacing w:line="300" w:lineRule="auto"/>
              <w:jc w:val="center"/>
              <w:rPr>
                <w:rFonts w:ascii="宋体" w:hAnsi="宋体" w:cs="宋体"/>
                <w:color w:val="auto"/>
                <w:highlight w:val="none"/>
              </w:rPr>
            </w:pPr>
            <w:r>
              <w:rPr>
                <w:rFonts w:hint="eastAsia" w:ascii="宋体" w:hAnsi="宋体" w:cs="宋体"/>
                <w:color w:val="auto"/>
                <w:highlight w:val="none"/>
              </w:rPr>
              <w:t>9</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96B47AC">
            <w:pPr>
              <w:spacing w:line="300" w:lineRule="auto"/>
              <w:jc w:val="center"/>
              <w:rPr>
                <w:rFonts w:ascii="宋体" w:hAnsi="宋体" w:cs="宋体"/>
                <w:color w:val="auto"/>
                <w:highlight w:val="none"/>
              </w:rPr>
            </w:pPr>
            <w:r>
              <w:rPr>
                <w:rFonts w:hint="eastAsia" w:ascii="宋体" w:hAnsi="宋体" w:cs="宋体"/>
                <w:color w:val="auto"/>
                <w:highlight w:val="none"/>
              </w:rPr>
              <w:t>主要性能参数</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D30DDAD">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带“★”的条款是主要性能参数。</w:t>
            </w:r>
          </w:p>
        </w:tc>
      </w:tr>
      <w:tr w14:paraId="7200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3AB9818">
            <w:pPr>
              <w:spacing w:line="300" w:lineRule="auto"/>
              <w:jc w:val="center"/>
              <w:rPr>
                <w:rFonts w:ascii="宋体" w:hAnsi="宋体" w:cs="宋体"/>
                <w:color w:val="auto"/>
                <w:highlight w:val="none"/>
              </w:rPr>
            </w:pPr>
            <w:r>
              <w:rPr>
                <w:rFonts w:hint="eastAsia" w:ascii="宋体" w:hAnsi="宋体" w:cs="宋体"/>
                <w:color w:val="auto"/>
                <w:highlight w:val="none"/>
              </w:rPr>
              <w:t>10</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E5873BD">
            <w:pPr>
              <w:spacing w:line="300" w:lineRule="auto"/>
              <w:jc w:val="center"/>
              <w:rPr>
                <w:rFonts w:ascii="宋体" w:hAnsi="宋体" w:cs="宋体"/>
                <w:color w:val="auto"/>
                <w:highlight w:val="none"/>
              </w:rPr>
            </w:pPr>
            <w:r>
              <w:rPr>
                <w:rFonts w:hint="eastAsia" w:ascii="宋体" w:hAnsi="宋体" w:cs="宋体"/>
                <w:color w:val="auto"/>
                <w:highlight w:val="none"/>
              </w:rPr>
              <w:t>书面形式</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0E41621">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包括电子邮件、信函、传真。</w:t>
            </w:r>
          </w:p>
        </w:tc>
      </w:tr>
      <w:tr w14:paraId="09E8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152AFAA">
            <w:pPr>
              <w:spacing w:line="300" w:lineRule="auto"/>
              <w:jc w:val="center"/>
              <w:rPr>
                <w:rFonts w:ascii="宋体" w:hAnsi="宋体" w:cs="宋体"/>
                <w:color w:val="auto"/>
                <w:highlight w:val="none"/>
              </w:rPr>
            </w:pPr>
            <w:r>
              <w:rPr>
                <w:rFonts w:hint="eastAsia" w:ascii="宋体" w:hAnsi="宋体" w:cs="宋体"/>
                <w:color w:val="auto"/>
                <w:highlight w:val="none"/>
              </w:rPr>
              <w:t>11</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ADD8314">
            <w:pPr>
              <w:spacing w:line="300" w:lineRule="auto"/>
              <w:jc w:val="center"/>
              <w:rPr>
                <w:rFonts w:ascii="宋体" w:hAnsi="宋体" w:cs="宋体"/>
                <w:color w:val="auto"/>
                <w:highlight w:val="none"/>
              </w:rPr>
            </w:pPr>
            <w:r>
              <w:rPr>
                <w:rFonts w:hint="eastAsia" w:ascii="宋体" w:hAnsi="宋体" w:cs="宋体"/>
                <w:color w:val="auto"/>
                <w:highlight w:val="none"/>
              </w:rPr>
              <w:t>解释权</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7271CC2">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本招标文件解释权属于采购人和采购组织机构。</w:t>
            </w:r>
          </w:p>
        </w:tc>
      </w:tr>
      <w:tr w14:paraId="027E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8C72312">
            <w:pPr>
              <w:spacing w:line="300" w:lineRule="auto"/>
              <w:jc w:val="center"/>
              <w:rPr>
                <w:rFonts w:ascii="宋体" w:hAnsi="宋体" w:cs="宋体"/>
                <w:color w:val="auto"/>
                <w:highlight w:val="none"/>
              </w:rPr>
            </w:pPr>
            <w:r>
              <w:rPr>
                <w:rFonts w:hint="eastAsia" w:ascii="宋体" w:hAnsi="宋体" w:cs="宋体"/>
                <w:color w:val="auto"/>
                <w:highlight w:val="none"/>
              </w:rPr>
              <w:t>12</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B0A94FC">
            <w:pPr>
              <w:spacing w:line="300" w:lineRule="auto"/>
              <w:jc w:val="center"/>
              <w:rPr>
                <w:rFonts w:ascii="宋体" w:hAnsi="宋体" w:cs="宋体"/>
                <w:color w:val="auto"/>
                <w:highlight w:val="none"/>
              </w:rPr>
            </w:pPr>
            <w:r>
              <w:rPr>
                <w:rFonts w:hint="eastAsia" w:ascii="宋体" w:hAnsi="宋体" w:cs="宋体"/>
                <w:color w:val="auto"/>
                <w:highlight w:val="none"/>
              </w:rPr>
              <w:t>投标报价及费用</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757E0AE">
            <w:pPr>
              <w:spacing w:line="300" w:lineRule="auto"/>
              <w:rPr>
                <w:rFonts w:ascii="宋体" w:hAnsi="宋体" w:cs="宋体"/>
                <w:color w:val="auto"/>
                <w:highlight w:val="none"/>
              </w:rPr>
            </w:pPr>
            <w:r>
              <w:rPr>
                <w:rFonts w:hint="eastAsia" w:ascii="宋体" w:hAnsi="宋体" w:cs="宋体"/>
                <w:color w:val="auto"/>
                <w:highlight w:val="none"/>
              </w:rPr>
              <w:t>本项目投标应以人民币报价；</w:t>
            </w:r>
          </w:p>
          <w:p w14:paraId="2B708EC1">
            <w:pPr>
              <w:spacing w:line="300" w:lineRule="auto"/>
              <w:rPr>
                <w:rFonts w:ascii="宋体" w:hAnsi="宋体" w:cs="宋体"/>
                <w:color w:val="auto"/>
                <w:highlight w:val="none"/>
              </w:rPr>
            </w:pPr>
            <w:r>
              <w:rPr>
                <w:rFonts w:hint="eastAsia" w:ascii="宋体" w:hAnsi="宋体" w:cs="宋体"/>
                <w:color w:val="auto"/>
                <w:highlight w:val="none"/>
              </w:rPr>
              <w:t>不论投标结果如何，投标人均应自行承担所有与投标有关的全部费用。</w:t>
            </w:r>
            <w:r>
              <w:rPr>
                <w:rFonts w:hint="eastAsia" w:ascii="宋体" w:hAnsi="宋体" w:cs="宋体"/>
                <w:color w:val="auto"/>
                <w:szCs w:val="21"/>
                <w:highlight w:val="none"/>
              </w:rPr>
              <w:t>本项目招标代理服务费</w:t>
            </w:r>
            <w:r>
              <w:rPr>
                <w:rFonts w:hint="eastAsia" w:ascii="宋体" w:hAnsi="宋体" w:cs="宋体"/>
                <w:color w:val="auto"/>
                <w:szCs w:val="21"/>
                <w:highlight w:val="none"/>
                <w:lang w:val="en-US" w:eastAsia="zh-CN"/>
              </w:rPr>
              <w:t>6000</w:t>
            </w:r>
            <w:r>
              <w:rPr>
                <w:rFonts w:hint="eastAsia" w:ascii="宋体" w:hAnsi="宋体" w:cs="宋体"/>
                <w:color w:val="auto"/>
                <w:szCs w:val="21"/>
                <w:highlight w:val="none"/>
              </w:rPr>
              <w:t>元，由</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支付，请各投标人报价时综合考虑。</w:t>
            </w:r>
          </w:p>
        </w:tc>
      </w:tr>
      <w:tr w14:paraId="0DF0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CCE09B7">
            <w:pPr>
              <w:spacing w:line="300" w:lineRule="auto"/>
              <w:jc w:val="center"/>
              <w:rPr>
                <w:rFonts w:hint="eastAsia" w:ascii="宋体" w:hAnsi="宋体" w:cs="宋体"/>
                <w:color w:val="auto"/>
                <w:highlight w:val="none"/>
                <w:lang w:val="en-US" w:eastAsia="zh-CN"/>
              </w:rPr>
            </w:pPr>
            <w:r>
              <w:rPr>
                <w:rFonts w:hint="eastAsia" w:ascii="宋体" w:hAnsi="宋体" w:cs="宋体"/>
                <w:color w:val="auto"/>
                <w:highlight w:val="none"/>
                <w:lang w:val="en-US" w:eastAsia="zh-CN"/>
              </w:rPr>
              <w:t>14</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4B61298">
            <w:pPr>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供应商样品</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55233D2">
            <w:pPr>
              <w:numPr>
                <w:ilvl w:val="0"/>
                <w:numId w:val="19"/>
              </w:numPr>
              <w:bidi w:val="0"/>
              <w:ind w:left="425" w:leftChars="0" w:hanging="425" w:firstLineChars="0"/>
              <w:rPr>
                <w:color w:val="auto"/>
                <w:highlight w:val="none"/>
              </w:rPr>
            </w:pPr>
            <w:r>
              <w:rPr>
                <w:rFonts w:hint="eastAsia"/>
                <w:color w:val="auto"/>
                <w:highlight w:val="none"/>
              </w:rPr>
              <w:t>样品清单及数量</w:t>
            </w:r>
            <w:r>
              <w:rPr>
                <w:rFonts w:hint="eastAsia"/>
                <w:color w:val="auto"/>
                <w:highlight w:val="none"/>
                <w:lang w:eastAsia="zh-CN"/>
              </w:rPr>
              <w:t>：</w:t>
            </w:r>
            <w:r>
              <w:rPr>
                <w:rFonts w:hint="eastAsia"/>
                <w:color w:val="auto"/>
                <w:highlight w:val="none"/>
              </w:rPr>
              <w:t>提供</w:t>
            </w:r>
            <w:r>
              <w:rPr>
                <w:rFonts w:hint="eastAsia"/>
                <w:color w:val="auto"/>
                <w:highlight w:val="none"/>
                <w:lang w:eastAsia="zh-CN"/>
              </w:rPr>
              <w:t>“</w:t>
            </w:r>
            <w:r>
              <w:rPr>
                <w:rFonts w:hint="eastAsia"/>
                <w:color w:val="auto"/>
                <w:highlight w:val="none"/>
                <w:lang w:val="en-US" w:eastAsia="zh-CN"/>
              </w:rPr>
              <w:t>采购清单一览表”中“序号4-4人桌.可调节、序号5-椅.23cm.可叠，序号39-托育婴幼儿活动床1.24m，序号50-原木3层高柜.全背板”各1套。</w:t>
            </w:r>
          </w:p>
          <w:p w14:paraId="21DDE7D5">
            <w:pPr>
              <w:numPr>
                <w:ilvl w:val="0"/>
                <w:numId w:val="19"/>
              </w:numPr>
              <w:bidi w:val="0"/>
              <w:ind w:left="425" w:leftChars="0" w:hanging="425" w:firstLineChars="0"/>
              <w:rPr>
                <w:rFonts w:hint="eastAsia"/>
                <w:color w:val="auto"/>
                <w:highlight w:val="none"/>
              </w:rPr>
            </w:pPr>
            <w:r>
              <w:rPr>
                <w:rFonts w:hint="eastAsia"/>
                <w:color w:val="auto"/>
                <w:highlight w:val="none"/>
              </w:rPr>
              <w:t>样品制作的标准和要求：应与采购需求一致，尺寸、样式应与采购需求相似。</w:t>
            </w:r>
          </w:p>
          <w:p w14:paraId="7EDF2CC6">
            <w:pPr>
              <w:numPr>
                <w:ilvl w:val="0"/>
                <w:numId w:val="19"/>
              </w:numPr>
              <w:bidi w:val="0"/>
              <w:ind w:left="425" w:leftChars="0" w:hanging="425" w:firstLineChars="0"/>
              <w:rPr>
                <w:rFonts w:hint="eastAsia"/>
                <w:color w:val="auto"/>
                <w:highlight w:val="none"/>
              </w:rPr>
            </w:pPr>
            <w:r>
              <w:rPr>
                <w:rFonts w:hint="eastAsia"/>
                <w:color w:val="auto"/>
                <w:highlight w:val="none"/>
              </w:rPr>
              <w:t>接收时间：开标当天</w:t>
            </w:r>
            <w:r>
              <w:rPr>
                <w:rFonts w:hint="eastAsia"/>
                <w:color w:val="auto"/>
                <w:highlight w:val="none"/>
                <w:lang w:val="en-US" w:eastAsia="zh-CN"/>
              </w:rPr>
              <w:t>08</w:t>
            </w:r>
            <w:r>
              <w:rPr>
                <w:rFonts w:hint="eastAsia"/>
                <w:color w:val="auto"/>
                <w:highlight w:val="none"/>
              </w:rPr>
              <w:t>:</w:t>
            </w:r>
            <w:r>
              <w:rPr>
                <w:rFonts w:hint="eastAsia"/>
                <w:color w:val="auto"/>
                <w:highlight w:val="none"/>
                <w:lang w:val="en-US" w:eastAsia="zh-CN"/>
              </w:rPr>
              <w:t>30</w:t>
            </w:r>
            <w:r>
              <w:rPr>
                <w:rFonts w:hint="eastAsia"/>
                <w:color w:val="auto"/>
                <w:highlight w:val="none"/>
              </w:rPr>
              <w:t>-</w:t>
            </w:r>
            <w:r>
              <w:rPr>
                <w:rFonts w:hint="eastAsia"/>
                <w:color w:val="auto"/>
                <w:highlight w:val="none"/>
                <w:lang w:val="en-US" w:eastAsia="zh-CN"/>
              </w:rPr>
              <w:t>09</w:t>
            </w:r>
            <w:r>
              <w:rPr>
                <w:rFonts w:hint="eastAsia"/>
                <w:color w:val="auto"/>
                <w:highlight w:val="none"/>
              </w:rPr>
              <w:t>:</w:t>
            </w:r>
            <w:r>
              <w:rPr>
                <w:rFonts w:hint="eastAsia"/>
                <w:color w:val="auto"/>
                <w:highlight w:val="none"/>
                <w:lang w:val="en-US" w:eastAsia="zh-CN"/>
              </w:rPr>
              <w:t>30</w:t>
            </w:r>
            <w:r>
              <w:rPr>
                <w:rFonts w:hint="eastAsia"/>
                <w:color w:val="auto"/>
                <w:highlight w:val="none"/>
              </w:rPr>
              <w:t>接收样品</w:t>
            </w:r>
            <w:r>
              <w:rPr>
                <w:rFonts w:hint="eastAsia"/>
                <w:color w:val="auto"/>
                <w:highlight w:val="none"/>
                <w:lang w:eastAsia="zh-CN"/>
              </w:rPr>
              <w:t>，</w:t>
            </w:r>
            <w:r>
              <w:rPr>
                <w:rFonts w:hint="eastAsia"/>
                <w:color w:val="auto"/>
                <w:highlight w:val="none"/>
              </w:rPr>
              <w:t>投标人应提前留足时间，逾期的样品恕不接受。</w:t>
            </w:r>
          </w:p>
          <w:p w14:paraId="21D7275D">
            <w:pPr>
              <w:numPr>
                <w:ilvl w:val="0"/>
                <w:numId w:val="19"/>
              </w:numPr>
              <w:bidi w:val="0"/>
              <w:ind w:left="425" w:leftChars="0" w:hanging="425" w:firstLineChars="0"/>
              <w:rPr>
                <w:rFonts w:hint="eastAsia"/>
                <w:color w:val="auto"/>
                <w:highlight w:val="none"/>
                <w:lang w:val="en-US" w:eastAsia="zh-CN"/>
              </w:rPr>
            </w:pPr>
            <w:r>
              <w:rPr>
                <w:rFonts w:hint="eastAsia"/>
                <w:color w:val="auto"/>
                <w:highlight w:val="none"/>
                <w:lang w:val="en-US" w:eastAsia="zh-CN"/>
              </w:rPr>
              <w:t>样品递交地点：台州湾新区海虹街道办事处一楼大厅</w:t>
            </w:r>
          </w:p>
          <w:p w14:paraId="79A5C849">
            <w:pPr>
              <w:numPr>
                <w:ilvl w:val="0"/>
                <w:numId w:val="19"/>
              </w:numPr>
              <w:bidi w:val="0"/>
              <w:ind w:left="425" w:leftChars="0" w:hanging="425" w:firstLineChars="0"/>
              <w:rPr>
                <w:rFonts w:hint="default"/>
                <w:color w:val="auto"/>
                <w:highlight w:val="none"/>
                <w:lang w:val="en-US" w:eastAsia="zh-CN"/>
              </w:rPr>
            </w:pPr>
            <w:r>
              <w:rPr>
                <w:rFonts w:hint="default"/>
                <w:color w:val="auto"/>
                <w:highlight w:val="none"/>
                <w:lang w:val="en-US" w:eastAsia="zh-CN"/>
              </w:rPr>
              <w:t>接收人：周正辉18958682891</w:t>
            </w:r>
          </w:p>
          <w:p w14:paraId="5FE40ECC">
            <w:pPr>
              <w:numPr>
                <w:ilvl w:val="0"/>
                <w:numId w:val="19"/>
              </w:numPr>
              <w:bidi w:val="0"/>
              <w:ind w:left="425" w:leftChars="0" w:hanging="425" w:firstLineChars="0"/>
              <w:rPr>
                <w:rFonts w:hint="eastAsia"/>
                <w:color w:val="auto"/>
                <w:highlight w:val="none"/>
                <w:lang w:val="en-US" w:eastAsia="zh-CN"/>
              </w:rPr>
            </w:pPr>
            <w:r>
              <w:rPr>
                <w:rFonts w:hint="eastAsia"/>
                <w:color w:val="auto"/>
                <w:highlight w:val="none"/>
              </w:rPr>
              <w:t>样品搭建要求：</w:t>
            </w:r>
            <w:r>
              <w:rPr>
                <w:rFonts w:hint="eastAsia"/>
                <w:color w:val="auto"/>
                <w:highlight w:val="none"/>
                <w:lang w:val="en-US" w:eastAsia="zh-CN"/>
              </w:rPr>
              <w:t>投标截止时间</w:t>
            </w:r>
            <w:r>
              <w:rPr>
                <w:rFonts w:hint="eastAsia"/>
                <w:color w:val="auto"/>
                <w:highlight w:val="none"/>
              </w:rPr>
              <w:t>之前自行完成样品拆封、搭建</w:t>
            </w:r>
            <w:r>
              <w:rPr>
                <w:rFonts w:hint="eastAsia"/>
                <w:color w:val="auto"/>
                <w:highlight w:val="none"/>
                <w:lang w:val="en-US" w:eastAsia="zh-CN"/>
              </w:rPr>
              <w:t>。超过截止时间的，采购人或采购代理机构将不予接收，并将清场并封闭样品现场。</w:t>
            </w:r>
          </w:p>
          <w:p w14:paraId="2CCD3166">
            <w:pPr>
              <w:numPr>
                <w:ilvl w:val="0"/>
                <w:numId w:val="19"/>
              </w:numPr>
              <w:bidi w:val="0"/>
              <w:ind w:left="425" w:leftChars="0" w:hanging="425" w:firstLineChars="0"/>
              <w:rPr>
                <w:rFonts w:hint="default"/>
                <w:color w:val="auto"/>
                <w:highlight w:val="none"/>
                <w:lang w:val="en-US" w:eastAsia="zh-CN"/>
              </w:rPr>
            </w:pPr>
            <w:r>
              <w:rPr>
                <w:rFonts w:hint="default"/>
                <w:color w:val="auto"/>
                <w:highlight w:val="none"/>
                <w:lang w:val="en-US" w:eastAsia="zh-CN"/>
              </w:rPr>
              <w:t>样品属于投标文件的组成部分。样品的生产、运输、安装、保全等一切费用由投标人自理。</w:t>
            </w:r>
          </w:p>
          <w:p w14:paraId="4028750B">
            <w:pPr>
              <w:numPr>
                <w:ilvl w:val="0"/>
                <w:numId w:val="19"/>
              </w:numPr>
              <w:bidi w:val="0"/>
              <w:ind w:left="425" w:leftChars="0" w:hanging="425" w:firstLineChars="0"/>
              <w:rPr>
                <w:rFonts w:hint="eastAsia"/>
                <w:color w:val="auto"/>
                <w:highlight w:val="none"/>
                <w:lang w:val="en-US" w:eastAsia="zh-CN"/>
              </w:rPr>
            </w:pPr>
            <w:r>
              <w:rPr>
                <w:rFonts w:hint="eastAsia" w:ascii="Times New Roman" w:hAnsi="Times New Roman" w:cs="Times New Roman"/>
                <w:color w:val="auto"/>
                <w:highlight w:val="none"/>
                <w:lang w:val="en-US" w:eastAsia="zh-CN"/>
              </w:rPr>
              <w:t>第一</w:t>
            </w:r>
            <w:r>
              <w:rPr>
                <w:rFonts w:hint="default" w:ascii="Times New Roman" w:hAnsi="Times New Roman" w:cs="Times New Roman"/>
                <w:color w:val="auto"/>
                <w:highlight w:val="none"/>
                <w:lang w:val="en-US" w:eastAsia="zh-CN"/>
              </w:rPr>
              <w:t>中标</w:t>
            </w:r>
            <w:r>
              <w:rPr>
                <w:rFonts w:hint="eastAsia" w:ascii="Times New Roman" w:hAnsi="Times New Roman" w:cs="Times New Roman"/>
                <w:color w:val="auto"/>
                <w:highlight w:val="none"/>
                <w:lang w:val="en-US" w:eastAsia="zh-CN"/>
              </w:rPr>
              <w:t>候选人</w:t>
            </w:r>
            <w:r>
              <w:rPr>
                <w:rFonts w:hint="default" w:ascii="Times New Roman" w:hAnsi="Times New Roman" w:cs="Times New Roman"/>
                <w:color w:val="auto"/>
                <w:highlight w:val="none"/>
                <w:lang w:val="en-US" w:eastAsia="zh-CN"/>
              </w:rPr>
              <w:t>的样品由采购人封存，作为履约验收的依据之一。</w:t>
            </w:r>
            <w:r>
              <w:rPr>
                <w:rFonts w:hint="eastAsia" w:ascii="Times New Roman" w:hAnsi="Times New Roman" w:cs="Times New Roman"/>
                <w:color w:val="auto"/>
                <w:highlight w:val="none"/>
                <w:lang w:val="en-US" w:eastAsia="zh-CN"/>
              </w:rPr>
              <w:t>评审结束后，其余投标人</w:t>
            </w:r>
            <w:r>
              <w:rPr>
                <w:rFonts w:hint="default" w:ascii="Times New Roman" w:hAnsi="Times New Roman" w:cs="Times New Roman"/>
                <w:color w:val="auto"/>
                <w:highlight w:val="none"/>
                <w:lang w:val="en-US" w:eastAsia="zh-CN"/>
              </w:rPr>
              <w:t>将样品自行取回</w:t>
            </w:r>
            <w:r>
              <w:rPr>
                <w:rFonts w:hint="eastAsia" w:ascii="Times New Roman" w:hAnsi="Times New Roman" w:cs="Times New Roman"/>
                <w:color w:val="auto"/>
                <w:highlight w:val="none"/>
                <w:lang w:val="en-US" w:eastAsia="zh-CN"/>
              </w:rPr>
              <w:t>，若未</w:t>
            </w:r>
            <w:r>
              <w:rPr>
                <w:rFonts w:hint="default" w:ascii="Times New Roman" w:hAnsi="Times New Roman" w:cs="Times New Roman"/>
                <w:color w:val="auto"/>
                <w:highlight w:val="none"/>
                <w:lang w:val="en-US" w:eastAsia="zh-CN"/>
              </w:rPr>
              <w:t>自行取回的，视为同意其样品由采购组织机构处理。</w:t>
            </w:r>
          </w:p>
        </w:tc>
      </w:tr>
      <w:tr w14:paraId="2543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D0BC754">
            <w:pPr>
              <w:spacing w:line="300" w:lineRule="auto"/>
              <w:jc w:val="center"/>
              <w:rPr>
                <w:rFonts w:hint="default" w:ascii="宋体" w:hAnsi="宋体" w:cs="宋体"/>
                <w:color w:val="auto"/>
                <w:highlight w:val="none"/>
                <w:lang w:val="en-US" w:eastAsia="zh-CN"/>
              </w:rPr>
            </w:pPr>
            <w:r>
              <w:rPr>
                <w:rFonts w:hint="eastAsia" w:ascii="宋体" w:hAnsi="宋体" w:cs="宋体"/>
                <w:color w:val="auto"/>
                <w:highlight w:val="none"/>
                <w:lang w:val="en-US" w:eastAsia="zh-CN"/>
              </w:rPr>
              <w:t>15</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A2FD56D">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核心产品</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E6C0657">
            <w:pPr>
              <w:jc w:val="left"/>
              <w:rPr>
                <w:rFonts w:hint="default"/>
                <w:color w:val="auto"/>
                <w:highlight w:val="none"/>
                <w:lang w:val="en-US" w:eastAsia="zh-CN"/>
              </w:rPr>
            </w:pPr>
            <w:r>
              <w:rPr>
                <w:rFonts w:hint="eastAsia"/>
                <w:color w:val="auto"/>
                <w:highlight w:val="none"/>
                <w:lang w:val="en-US" w:eastAsia="zh-CN"/>
              </w:rPr>
              <w:t>本项目为家具定制，不适用。</w:t>
            </w:r>
          </w:p>
        </w:tc>
      </w:tr>
      <w:tr w14:paraId="44D9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8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3D8E273">
            <w:pPr>
              <w:spacing w:line="300" w:lineRule="auto"/>
              <w:jc w:val="center"/>
              <w:rPr>
                <w:rFonts w:hint="default" w:ascii="宋体" w:hAnsi="宋体" w:cs="宋体"/>
                <w:color w:val="auto"/>
                <w:highlight w:val="none"/>
                <w:lang w:val="en-US" w:eastAsia="zh-CN"/>
              </w:rPr>
            </w:pPr>
            <w:r>
              <w:rPr>
                <w:rFonts w:hint="eastAsia" w:ascii="宋体" w:hAnsi="宋体" w:cs="宋体"/>
                <w:color w:val="auto"/>
                <w:highlight w:val="none"/>
                <w:lang w:val="en-US" w:eastAsia="zh-CN"/>
              </w:rPr>
              <w:t>16</w:t>
            </w:r>
          </w:p>
        </w:tc>
        <w:tc>
          <w:tcPr>
            <w:tcW w:w="150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2843FA9">
            <w:pPr>
              <w:spacing w:line="300" w:lineRule="auto"/>
              <w:jc w:val="center"/>
              <w:rPr>
                <w:rFonts w:hint="eastAsia" w:ascii="宋体" w:hAnsi="宋体" w:cs="宋体"/>
                <w:color w:val="auto"/>
                <w:sz w:val="21"/>
                <w:szCs w:val="21"/>
                <w:highlight w:val="none"/>
                <w:lang w:val="en-US" w:eastAsia="zh-CN"/>
              </w:rPr>
            </w:pPr>
            <w:r>
              <w:rPr>
                <w:rFonts w:hint="eastAsia" w:ascii="宋体" w:hAnsi="宋体" w:cs="宋体"/>
                <w:color w:val="auto"/>
                <w:highlight w:val="none"/>
              </w:rPr>
              <w:t>交易服务费</w:t>
            </w:r>
          </w:p>
        </w:tc>
        <w:tc>
          <w:tcPr>
            <w:tcW w:w="622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67DBCC4">
            <w:pPr>
              <w:spacing w:line="300" w:lineRule="auto"/>
              <w:rPr>
                <w:rFonts w:hint="eastAsia"/>
                <w:color w:val="auto"/>
                <w:highlight w:val="none"/>
                <w:lang w:val="en-US" w:eastAsia="zh-CN"/>
              </w:rPr>
            </w:pPr>
            <w:r>
              <w:rPr>
                <w:rFonts w:hint="eastAsia" w:ascii="宋体" w:hAnsi="宋体" w:cs="宋体"/>
                <w:color w:val="auto"/>
                <w:highlight w:val="none"/>
              </w:rPr>
              <w:t>本次开评标交易服务费，在评标结束后，由中标人支付给平台运营方。收费标准见台州湾新区小额工程电子交易平台官网首页通知公告（https://www.tzwztb.com/web/PubNews/viewinfo.aspx?nid=73）</w:t>
            </w:r>
          </w:p>
        </w:tc>
      </w:tr>
    </w:tbl>
    <w:p w14:paraId="5691C776">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30F7BF83">
      <w:pPr>
        <w:pStyle w:val="15"/>
        <w:keepNext w:val="0"/>
        <w:keepLines w:val="0"/>
        <w:pageBreakBefore w:val="0"/>
        <w:numPr>
          <w:ilvl w:val="0"/>
          <w:numId w:val="18"/>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说 明</w:t>
      </w:r>
    </w:p>
    <w:p w14:paraId="4B573ED5">
      <w:pPr>
        <w:pStyle w:val="16"/>
        <w:keepNext w:val="0"/>
        <w:keepLines w:val="0"/>
        <w:pageBreakBefore w:val="0"/>
        <w:numPr>
          <w:ilvl w:val="0"/>
          <w:numId w:val="20"/>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总则</w:t>
      </w:r>
    </w:p>
    <w:p w14:paraId="45F68CFF">
      <w:pPr>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本招标文件依据《中华人民共和国政府采购法》、《中华人民共和国政府采购法实施条例》（国务院令第658号）和《政府采购货物和服务招标投标管理办法》（财政部令第87号）及国家和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color w:val="auto"/>
          <w:sz w:val="24"/>
          <w:highlight w:val="none"/>
        </w:rPr>
        <w:t>浙江省</w:t>
      </w:r>
      <w:r>
        <w:rPr>
          <w:rFonts w:asciiTheme="minorEastAsia" w:hAnsiTheme="minorEastAsia" w:eastAsiaTheme="minorEastAsia"/>
          <w:color w:val="auto"/>
          <w:sz w:val="24"/>
          <w:highlight w:val="none"/>
        </w:rPr>
        <w:t>有关法律、法规、规章编制。</w:t>
      </w:r>
    </w:p>
    <w:p w14:paraId="1C9456EC">
      <w:pPr>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应仔细阅读本项目招标公告及招标文件的所有内容（包括变更、补充、澄清以及修改等，且均为招标文件的组成部分），按照招标文件要求以及格式编制投标文件，并保证其真实性，否则</w:t>
      </w:r>
      <w:r>
        <w:rPr>
          <w:rFonts w:hint="eastAsia"/>
          <w:color w:val="auto"/>
          <w:sz w:val="24"/>
          <w:highlight w:val="none"/>
        </w:rPr>
        <w:t>由此引起的一切后果应由</w:t>
      </w:r>
      <w:r>
        <w:rPr>
          <w:rFonts w:asciiTheme="minorEastAsia" w:hAnsiTheme="minorEastAsia" w:eastAsiaTheme="minorEastAsia"/>
          <w:color w:val="auto"/>
          <w:sz w:val="24"/>
          <w:highlight w:val="none"/>
        </w:rPr>
        <w:t>投标</w:t>
      </w:r>
      <w:r>
        <w:rPr>
          <w:rFonts w:hint="eastAsia" w:asciiTheme="minorEastAsia" w:hAnsiTheme="minorEastAsia" w:eastAsiaTheme="minorEastAsia"/>
          <w:color w:val="auto"/>
          <w:sz w:val="24"/>
          <w:highlight w:val="none"/>
        </w:rPr>
        <w:t>人</w:t>
      </w:r>
      <w:r>
        <w:rPr>
          <w:rFonts w:hint="eastAsia"/>
          <w:color w:val="auto"/>
          <w:sz w:val="24"/>
          <w:highlight w:val="none"/>
        </w:rPr>
        <w:t>承担。</w:t>
      </w:r>
    </w:p>
    <w:p w14:paraId="724DBA93">
      <w:pPr>
        <w:keepNext w:val="0"/>
        <w:keepLines w:val="0"/>
        <w:pageBreakBefore w:val="0"/>
        <w:numPr>
          <w:ilvl w:val="0"/>
          <w:numId w:val="20"/>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适用范围</w:t>
      </w:r>
    </w:p>
    <w:p w14:paraId="1981D442">
      <w:pPr>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本招标文件适用于</w:t>
      </w:r>
      <w:r>
        <w:rPr>
          <w:rFonts w:hint="eastAsia" w:asciiTheme="minorEastAsia" w:hAnsiTheme="minorEastAsia" w:eastAsiaTheme="minorEastAsia"/>
          <w:bCs/>
          <w:color w:val="auto"/>
          <w:sz w:val="24"/>
          <w:highlight w:val="none"/>
        </w:rPr>
        <w:t>本次</w:t>
      </w:r>
      <w:r>
        <w:rPr>
          <w:rFonts w:hint="eastAsia" w:asciiTheme="minorEastAsia" w:hAnsiTheme="minorEastAsia" w:eastAsiaTheme="minorEastAsia"/>
          <w:color w:val="auto"/>
          <w:sz w:val="24"/>
          <w:highlight w:val="none"/>
        </w:rPr>
        <w:t>项目的招标、投标、评标、定标、验收、合同履约、付款等行为（法律、法规另有规定的，从其规定）。</w:t>
      </w:r>
    </w:p>
    <w:p w14:paraId="39C2D125">
      <w:pPr>
        <w:pStyle w:val="10"/>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color w:val="auto"/>
          <w:highlight w:val="none"/>
        </w:rPr>
      </w:pPr>
      <w:r>
        <w:rPr>
          <w:color w:val="auto"/>
          <w:highlight w:val="none"/>
        </w:rPr>
        <w:t>本招标文件仅适用于本次招标公告中所涉及的项目和内容。</w:t>
      </w:r>
    </w:p>
    <w:p w14:paraId="313FA45A">
      <w:pPr>
        <w:keepNext w:val="0"/>
        <w:keepLines w:val="0"/>
        <w:pageBreakBefore w:val="0"/>
        <w:numPr>
          <w:ilvl w:val="0"/>
          <w:numId w:val="20"/>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当事人</w:t>
      </w:r>
    </w:p>
    <w:p w14:paraId="698875CB">
      <w:pPr>
        <w:pStyle w:val="5"/>
        <w:keepNext w:val="0"/>
        <w:keepLines w:val="0"/>
        <w:pageBreakBefore w:val="0"/>
        <w:numPr>
          <w:ilvl w:val="0"/>
          <w:numId w:val="21"/>
        </w:numPr>
        <w:tabs>
          <w:tab w:val="left" w:pos="0"/>
          <w:tab w:val="left" w:pos="851"/>
        </w:tabs>
        <w:kinsoku/>
        <w:wordWrap/>
        <w:overflowPunct/>
        <w:topLinePunct w:val="0"/>
        <w:bidi w:val="0"/>
        <w:adjustRightInd/>
        <w:snapToGrid/>
        <w:spacing w:before="0" w:after="0" w:line="360" w:lineRule="auto"/>
        <w:ind w:left="0" w:leftChars="0" w:right="0" w:firstLine="480" w:firstLineChars="200"/>
        <w:jc w:val="left"/>
        <w:textAlignment w:val="auto"/>
        <w:rPr>
          <w:rFonts w:asciiTheme="minorEastAsia" w:hAnsiTheme="minorEastAsia" w:eastAsiaTheme="minorEastAsia"/>
          <w:bCs w:val="0"/>
          <w:color w:val="auto"/>
          <w:sz w:val="24"/>
          <w:szCs w:val="24"/>
          <w:highlight w:val="none"/>
        </w:rPr>
      </w:pPr>
      <w:r>
        <w:rPr>
          <w:rFonts w:hint="eastAsia"/>
          <w:bCs w:val="0"/>
          <w:color w:val="auto"/>
          <w:sz w:val="24"/>
          <w:szCs w:val="24"/>
          <w:highlight w:val="none"/>
          <w:lang w:val="zh-CN"/>
        </w:rPr>
        <w:t>采购组织机构：</w:t>
      </w:r>
      <w:r>
        <w:rPr>
          <w:rFonts w:hint="eastAsia" w:asciiTheme="minorEastAsia" w:hAnsiTheme="minorEastAsia" w:eastAsiaTheme="minorEastAsia"/>
          <w:color w:val="auto"/>
          <w:sz w:val="24"/>
          <w:szCs w:val="24"/>
          <w:highlight w:val="none"/>
        </w:rPr>
        <w:t>是</w:t>
      </w:r>
      <w:r>
        <w:rPr>
          <w:rFonts w:hint="eastAsia"/>
          <w:bCs w:val="0"/>
          <w:color w:val="auto"/>
          <w:sz w:val="24"/>
          <w:szCs w:val="24"/>
          <w:highlight w:val="none"/>
          <w:lang w:val="zh-CN"/>
        </w:rPr>
        <w:t>指</w:t>
      </w:r>
      <w:r>
        <w:rPr>
          <w:rFonts w:hint="eastAsia" w:ascii="宋体" w:hAnsi="宋体" w:cs="宋体"/>
          <w:color w:val="auto"/>
          <w:sz w:val="24"/>
          <w:szCs w:val="24"/>
          <w:highlight w:val="none"/>
          <w:lang w:eastAsia="zh-CN"/>
        </w:rPr>
        <w:t>台州市永阳科技有限公司</w:t>
      </w:r>
      <w:r>
        <w:rPr>
          <w:rFonts w:hint="eastAsia"/>
          <w:bCs w:val="0"/>
          <w:color w:val="auto"/>
          <w:sz w:val="24"/>
          <w:szCs w:val="24"/>
          <w:highlight w:val="none"/>
          <w:lang w:val="zh-CN"/>
        </w:rPr>
        <w:t>；</w:t>
      </w:r>
    </w:p>
    <w:p w14:paraId="1CF636A2">
      <w:pPr>
        <w:keepNext w:val="0"/>
        <w:keepLines w:val="0"/>
        <w:pageBreakBefore w:val="0"/>
        <w:numPr>
          <w:ilvl w:val="0"/>
          <w:numId w:val="21"/>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采购人：是指</w:t>
      </w:r>
      <w:r>
        <w:rPr>
          <w:rFonts w:hint="eastAsia" w:ascii="宋体" w:hAnsi="宋体" w:cs="宋体"/>
          <w:color w:val="auto"/>
          <w:sz w:val="24"/>
          <w:szCs w:val="24"/>
          <w:highlight w:val="none"/>
          <w:lang w:eastAsia="zh-CN"/>
        </w:rPr>
        <w:t>海虹街道中心幼儿园</w:t>
      </w:r>
      <w:r>
        <w:rPr>
          <w:rFonts w:hint="eastAsia" w:asciiTheme="minorEastAsia" w:hAnsiTheme="minorEastAsia" w:eastAsiaTheme="minorEastAsia"/>
          <w:color w:val="auto"/>
          <w:sz w:val="24"/>
          <w:highlight w:val="none"/>
        </w:rPr>
        <w:t>；</w:t>
      </w:r>
    </w:p>
    <w:p w14:paraId="2E972145">
      <w:pPr>
        <w:keepNext w:val="0"/>
        <w:keepLines w:val="0"/>
        <w:pageBreakBefore w:val="0"/>
        <w:numPr>
          <w:ilvl w:val="0"/>
          <w:numId w:val="21"/>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投标人</w:t>
      </w:r>
      <w:r>
        <w:rPr>
          <w:rFonts w:hint="eastAsia" w:asciiTheme="minorEastAsia" w:hAnsiTheme="minorEastAsia" w:eastAsiaTheme="minorEastAsia"/>
          <w:color w:val="auto"/>
          <w:sz w:val="24"/>
          <w:highlight w:val="none"/>
        </w:rPr>
        <w:t>：是</w:t>
      </w:r>
      <w:r>
        <w:rPr>
          <w:rFonts w:asciiTheme="minorEastAsia" w:hAnsiTheme="minorEastAsia" w:eastAsiaTheme="minorEastAsia"/>
          <w:color w:val="auto"/>
          <w:sz w:val="24"/>
          <w:highlight w:val="none"/>
        </w:rPr>
        <w:t>指</w:t>
      </w:r>
      <w:r>
        <w:rPr>
          <w:rFonts w:hint="eastAsia" w:asciiTheme="minorEastAsia" w:hAnsiTheme="minorEastAsia" w:eastAsiaTheme="minorEastAsia"/>
          <w:color w:val="auto"/>
          <w:sz w:val="24"/>
          <w:highlight w:val="none"/>
        </w:rPr>
        <w:t>响应招标、参加投标竞争的法人、其他组织或者自然人；</w:t>
      </w:r>
    </w:p>
    <w:p w14:paraId="2B5C1F46">
      <w:pPr>
        <w:keepNext w:val="0"/>
        <w:keepLines w:val="0"/>
        <w:pageBreakBefore w:val="0"/>
        <w:numPr>
          <w:ilvl w:val="0"/>
          <w:numId w:val="21"/>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lang w:val="zh-CN"/>
        </w:rPr>
      </w:pPr>
      <w:r>
        <w:rPr>
          <w:rFonts w:hint="eastAsia" w:ascii="宋体" w:hAnsi="宋体"/>
          <w:color w:val="auto"/>
          <w:sz w:val="24"/>
          <w:highlight w:val="none"/>
          <w:lang w:val="zh-CN"/>
        </w:rPr>
        <w:t>中标</w:t>
      </w:r>
      <w:r>
        <w:rPr>
          <w:rFonts w:hint="eastAsia" w:ascii="宋体" w:hAnsi="宋体"/>
          <w:color w:val="auto"/>
          <w:sz w:val="24"/>
          <w:highlight w:val="none"/>
        </w:rPr>
        <w:t>人</w:t>
      </w:r>
      <w:r>
        <w:rPr>
          <w:rFonts w:hint="eastAsia" w:ascii="宋体" w:hAnsi="宋体"/>
          <w:color w:val="auto"/>
          <w:sz w:val="24"/>
          <w:highlight w:val="none"/>
          <w:lang w:val="zh-CN"/>
        </w:rPr>
        <w:t>：是指经评</w:t>
      </w:r>
      <w:r>
        <w:rPr>
          <w:rFonts w:hint="eastAsia" w:ascii="宋体" w:hAnsi="宋体"/>
          <w:color w:val="auto"/>
          <w:sz w:val="24"/>
          <w:highlight w:val="none"/>
        </w:rPr>
        <w:t>标</w:t>
      </w:r>
      <w:r>
        <w:rPr>
          <w:rFonts w:hint="eastAsia" w:ascii="宋体" w:hAnsi="宋体"/>
          <w:color w:val="auto"/>
          <w:sz w:val="24"/>
          <w:highlight w:val="none"/>
          <w:lang w:val="zh-CN"/>
        </w:rPr>
        <w:t>委员会评审确定的对招标文件</w:t>
      </w:r>
      <w:r>
        <w:rPr>
          <w:rFonts w:hint="eastAsia" w:ascii="宋体" w:hAnsi="宋体"/>
          <w:color w:val="auto"/>
          <w:sz w:val="24"/>
          <w:highlight w:val="none"/>
        </w:rPr>
        <w:t>作</w:t>
      </w:r>
      <w:r>
        <w:rPr>
          <w:rFonts w:hint="eastAsia" w:ascii="宋体" w:hAnsi="宋体"/>
          <w:color w:val="auto"/>
          <w:sz w:val="24"/>
          <w:highlight w:val="none"/>
          <w:lang w:val="zh-CN"/>
        </w:rPr>
        <w:t>出实质性响应，经采购人按照规定在评</w:t>
      </w:r>
      <w:r>
        <w:rPr>
          <w:rFonts w:hint="eastAsia" w:ascii="宋体" w:hAnsi="宋体"/>
          <w:color w:val="auto"/>
          <w:sz w:val="24"/>
          <w:highlight w:val="none"/>
        </w:rPr>
        <w:t>标</w:t>
      </w:r>
      <w:r>
        <w:rPr>
          <w:rFonts w:hint="eastAsia" w:ascii="宋体" w:hAnsi="宋体"/>
          <w:color w:val="auto"/>
          <w:sz w:val="24"/>
          <w:highlight w:val="none"/>
          <w:lang w:val="zh-CN"/>
        </w:rPr>
        <w:t>委员会推荐的中标候选人中确定的或受采购人委托直接确认的，与采购人签订合同资格的投标</w:t>
      </w:r>
      <w:r>
        <w:rPr>
          <w:rFonts w:hint="eastAsia" w:ascii="宋体" w:hAnsi="宋体"/>
          <w:color w:val="auto"/>
          <w:sz w:val="24"/>
          <w:highlight w:val="none"/>
        </w:rPr>
        <w:t>人；</w:t>
      </w:r>
    </w:p>
    <w:p w14:paraId="5E80706B">
      <w:pPr>
        <w:keepNext w:val="0"/>
        <w:keepLines w:val="0"/>
        <w:pageBreakBefore w:val="0"/>
        <w:numPr>
          <w:ilvl w:val="0"/>
          <w:numId w:val="21"/>
        </w:numPr>
        <w:kinsoku/>
        <w:wordWrap/>
        <w:overflowPunct/>
        <w:topLinePunct w:val="0"/>
        <w:bidi w:val="0"/>
        <w:adjustRightInd/>
        <w:snapToGrid/>
        <w:spacing w:line="360" w:lineRule="auto"/>
        <w:ind w:left="0" w:leftChars="0" w:right="0" w:firstLine="480" w:firstLineChars="200"/>
        <w:jc w:val="left"/>
        <w:textAlignment w:val="auto"/>
        <w:rPr>
          <w:color w:val="auto"/>
          <w:sz w:val="24"/>
          <w:highlight w:val="none"/>
        </w:rPr>
      </w:pPr>
      <w:r>
        <w:rPr>
          <w:rFonts w:hint="eastAsia" w:ascii="宋体" w:hAnsi="宋体"/>
          <w:color w:val="auto"/>
          <w:sz w:val="24"/>
          <w:highlight w:val="none"/>
        </w:rPr>
        <w:t>联合体：</w:t>
      </w:r>
      <w:r>
        <w:rPr>
          <w:rFonts w:hint="eastAsia"/>
          <w:color w:val="auto"/>
          <w:sz w:val="24"/>
          <w:highlight w:val="none"/>
        </w:rPr>
        <w:t>两个或两个以上法人或者其他组织可以组成一个联合体，以一个投标人的身份共同投标。</w:t>
      </w:r>
    </w:p>
    <w:p w14:paraId="3BC637F9">
      <w:pPr>
        <w:keepNext w:val="0"/>
        <w:keepLines w:val="0"/>
        <w:pageBreakBefore w:val="0"/>
        <w:numPr>
          <w:ilvl w:val="0"/>
          <w:numId w:val="20"/>
        </w:numPr>
        <w:kinsoku/>
        <w:wordWrap/>
        <w:overflowPunct/>
        <w:topLinePunct w:val="0"/>
        <w:bidi w:val="0"/>
        <w:adjustRightInd/>
        <w:snapToGrid/>
        <w:spacing w:line="360" w:lineRule="auto"/>
        <w:ind w:left="0" w:leftChars="0" w:right="0" w:firstLine="482" w:firstLineChars="200"/>
        <w:jc w:val="left"/>
        <w:textAlignment w:val="auto"/>
        <w:rPr>
          <w:b/>
          <w:bCs/>
          <w:color w:val="auto"/>
          <w:sz w:val="24"/>
          <w:highlight w:val="none"/>
        </w:rPr>
      </w:pPr>
      <w:r>
        <w:rPr>
          <w:b/>
          <w:bCs/>
          <w:color w:val="auto"/>
          <w:sz w:val="24"/>
          <w:highlight w:val="none"/>
        </w:rPr>
        <w:t>以联合体形式投标的，应符合以下规定</w:t>
      </w:r>
    </w:p>
    <w:p w14:paraId="1EE356DC">
      <w:pPr>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本项目不接受联合体投标。</w:t>
      </w:r>
    </w:p>
    <w:p w14:paraId="51080EE1">
      <w:pPr>
        <w:keepNext w:val="0"/>
        <w:keepLines w:val="0"/>
        <w:pageBreakBefore w:val="0"/>
        <w:numPr>
          <w:ilvl w:val="0"/>
          <w:numId w:val="20"/>
        </w:numPr>
        <w:kinsoku/>
        <w:wordWrap/>
        <w:overflowPunct/>
        <w:topLinePunct w:val="0"/>
        <w:bidi w:val="0"/>
        <w:adjustRightInd/>
        <w:snapToGrid/>
        <w:spacing w:line="360" w:lineRule="auto"/>
        <w:ind w:left="0" w:leftChars="0" w:right="0" w:firstLine="482" w:firstLineChars="200"/>
        <w:jc w:val="left"/>
        <w:textAlignment w:val="auto"/>
        <w:rPr>
          <w:b/>
          <w:bCs/>
          <w:color w:val="auto"/>
          <w:sz w:val="24"/>
          <w:highlight w:val="none"/>
        </w:rPr>
      </w:pPr>
      <w:r>
        <w:rPr>
          <w:b/>
          <w:bCs/>
          <w:color w:val="auto"/>
          <w:sz w:val="24"/>
          <w:highlight w:val="none"/>
        </w:rPr>
        <w:t>语言文字以及度量衡单位</w:t>
      </w:r>
    </w:p>
    <w:p w14:paraId="0AABF796">
      <w:pPr>
        <w:keepNext w:val="0"/>
        <w:keepLines w:val="0"/>
        <w:pageBreakBefore w:val="0"/>
        <w:numPr>
          <w:ilvl w:val="0"/>
          <w:numId w:val="22"/>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投标文件以及投标人与</w:t>
      </w:r>
      <w:r>
        <w:rPr>
          <w:rFonts w:hint="eastAsia" w:ascii="宋体" w:hAnsi="宋体" w:cs="宋体" w:eastAsiaTheme="minorEastAsia"/>
          <w:color w:val="auto"/>
          <w:kern w:val="0"/>
          <w:sz w:val="24"/>
          <w:highlight w:val="none"/>
          <w:lang w:eastAsia="zh-CN"/>
        </w:rPr>
        <w:t>台州市永阳科技有限公司</w:t>
      </w:r>
      <w:r>
        <w:rPr>
          <w:rFonts w:hint="eastAsia" w:asciiTheme="minorEastAsia" w:hAnsiTheme="minorEastAsia" w:eastAsiaTheme="minorEastAsia"/>
          <w:color w:val="auto"/>
          <w:sz w:val="24"/>
          <w:highlight w:val="none"/>
        </w:rPr>
        <w:t>就有关投标事宜的所有来往函电，均应以中文汉语书写，除签字、盖章、专用名称等特殊情形外。投标资料提供外文证书或者外国语视听资料的，应当附有中文译本，由翻译机构盖章或者翻译人员签名。</w:t>
      </w:r>
    </w:p>
    <w:p w14:paraId="5F691B56">
      <w:pPr>
        <w:keepNext w:val="0"/>
        <w:keepLines w:val="0"/>
        <w:pageBreakBefore w:val="0"/>
        <w:numPr>
          <w:ilvl w:val="0"/>
          <w:numId w:val="22"/>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所有计量均采用中国法定的计量单位。</w:t>
      </w:r>
    </w:p>
    <w:p w14:paraId="2B955DCB">
      <w:pPr>
        <w:keepNext w:val="0"/>
        <w:keepLines w:val="0"/>
        <w:pageBreakBefore w:val="0"/>
        <w:numPr>
          <w:ilvl w:val="0"/>
          <w:numId w:val="22"/>
        </w:numPr>
        <w:kinsoku/>
        <w:wordWrap/>
        <w:overflowPunct/>
        <w:topLinePunct w:val="0"/>
        <w:bidi w:val="0"/>
        <w:adjustRightInd/>
        <w:snapToGrid/>
        <w:spacing w:line="360" w:lineRule="auto"/>
        <w:ind w:left="0" w:leftChars="0" w:right="0" w:firstLine="480" w:firstLineChars="200"/>
        <w:jc w:val="left"/>
        <w:textAlignment w:val="auto"/>
        <w:rPr>
          <w:color w:val="auto"/>
          <w:sz w:val="24"/>
          <w:highlight w:val="none"/>
        </w:rPr>
      </w:pPr>
      <w:r>
        <w:rPr>
          <w:rFonts w:hint="eastAsia" w:asciiTheme="minorEastAsia" w:hAnsiTheme="minorEastAsia" w:eastAsiaTheme="minorEastAsia"/>
          <w:color w:val="auto"/>
          <w:sz w:val="24"/>
          <w:highlight w:val="none"/>
        </w:rPr>
        <w:t>所有</w:t>
      </w:r>
      <w:r>
        <w:rPr>
          <w:color w:val="auto"/>
          <w:sz w:val="24"/>
          <w:highlight w:val="none"/>
        </w:rPr>
        <w:t>报价一律使用人民币，货币单位：元。</w:t>
      </w:r>
    </w:p>
    <w:p w14:paraId="6D67F15D">
      <w:pPr>
        <w:keepNext w:val="0"/>
        <w:keepLines w:val="0"/>
        <w:pageBreakBefore w:val="0"/>
        <w:numPr>
          <w:ilvl w:val="0"/>
          <w:numId w:val="20"/>
        </w:numPr>
        <w:kinsoku/>
        <w:wordWrap/>
        <w:overflowPunct/>
        <w:topLinePunct w:val="0"/>
        <w:bidi w:val="0"/>
        <w:adjustRightInd/>
        <w:snapToGrid/>
        <w:spacing w:line="360" w:lineRule="auto"/>
        <w:ind w:left="0" w:leftChars="0" w:right="0" w:firstLine="482" w:firstLineChars="200"/>
        <w:jc w:val="left"/>
        <w:textAlignment w:val="auto"/>
        <w:rPr>
          <w:b/>
          <w:bCs/>
          <w:color w:val="auto"/>
          <w:sz w:val="24"/>
          <w:highlight w:val="none"/>
        </w:rPr>
      </w:pPr>
      <w:r>
        <w:rPr>
          <w:b/>
          <w:bCs/>
          <w:color w:val="auto"/>
          <w:sz w:val="24"/>
          <w:highlight w:val="none"/>
        </w:rPr>
        <w:t>现场踏勘</w:t>
      </w:r>
    </w:p>
    <w:p w14:paraId="77EACDCF">
      <w:pPr>
        <w:keepNext w:val="0"/>
        <w:keepLines w:val="0"/>
        <w:pageBreakBefore w:val="0"/>
        <w:numPr>
          <w:ilvl w:val="0"/>
          <w:numId w:val="23"/>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本项目不组织现场踏勘。</w:t>
      </w:r>
    </w:p>
    <w:p w14:paraId="15D54BA7">
      <w:pPr>
        <w:keepNext w:val="0"/>
        <w:keepLines w:val="0"/>
        <w:pageBreakBefore w:val="0"/>
        <w:numPr>
          <w:ilvl w:val="0"/>
          <w:numId w:val="23"/>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投标人自行承担踏勘现场发生的责任、风险和自身费用。</w:t>
      </w:r>
    </w:p>
    <w:p w14:paraId="2D9B30F9">
      <w:pPr>
        <w:keepNext w:val="0"/>
        <w:keepLines w:val="0"/>
        <w:pageBreakBefore w:val="0"/>
        <w:numPr>
          <w:ilvl w:val="0"/>
          <w:numId w:val="23"/>
        </w:numPr>
        <w:kinsoku/>
        <w:wordWrap/>
        <w:overflowPunct/>
        <w:topLinePunct w:val="0"/>
        <w:bidi w:val="0"/>
        <w:adjustRightInd/>
        <w:snapToGrid/>
        <w:spacing w:line="360" w:lineRule="auto"/>
        <w:ind w:left="0" w:leftChars="0" w:right="0" w:firstLine="480" w:firstLineChars="200"/>
        <w:jc w:val="left"/>
        <w:textAlignment w:val="auto"/>
        <w:rPr>
          <w:color w:val="auto"/>
          <w:sz w:val="24"/>
          <w:highlight w:val="none"/>
        </w:rPr>
      </w:pPr>
      <w:r>
        <w:rPr>
          <w:rFonts w:hint="eastAsia" w:asciiTheme="minorEastAsia" w:hAnsiTheme="minorEastAsia" w:eastAsiaTheme="minorEastAsia"/>
          <w:color w:val="auto"/>
          <w:sz w:val="24"/>
          <w:highlight w:val="none"/>
        </w:rPr>
        <w:t>采购人</w:t>
      </w:r>
      <w:r>
        <w:rPr>
          <w:color w:val="auto"/>
          <w:sz w:val="24"/>
          <w:highlight w:val="none"/>
        </w:rPr>
        <w:t>在踏勘现场中介绍的资料和数据等，不构成对招标文件的修改或不作为投标人编制投标文件的依据。</w:t>
      </w:r>
    </w:p>
    <w:p w14:paraId="25000BF5">
      <w:pPr>
        <w:pStyle w:val="15"/>
        <w:keepNext w:val="0"/>
        <w:keepLines w:val="0"/>
        <w:pageBreakBefore w:val="0"/>
        <w:numPr>
          <w:ilvl w:val="0"/>
          <w:numId w:val="20"/>
        </w:numPr>
        <w:kinsoku/>
        <w:wordWrap/>
        <w:overflowPunct/>
        <w:topLinePunct w:val="0"/>
        <w:bidi w:val="0"/>
        <w:adjustRightInd/>
        <w:snapToGrid/>
        <w:spacing w:line="360" w:lineRule="auto"/>
        <w:ind w:left="0" w:leftChars="0" w:right="0" w:firstLine="482" w:firstLineChars="200"/>
        <w:jc w:val="left"/>
        <w:textAlignment w:val="auto"/>
        <w:rPr>
          <w:rFonts w:hAnsi="宋体"/>
          <w:b/>
          <w:color w:val="auto"/>
          <w:sz w:val="24"/>
          <w:highlight w:val="none"/>
        </w:rPr>
      </w:pPr>
      <w:r>
        <w:rPr>
          <w:rFonts w:hint="eastAsia" w:hAnsi="宋体"/>
          <w:b/>
          <w:color w:val="auto"/>
          <w:sz w:val="24"/>
          <w:highlight w:val="none"/>
        </w:rPr>
        <w:t>特别说明</w:t>
      </w:r>
    </w:p>
    <w:p w14:paraId="546239BB">
      <w:pPr>
        <w:pStyle w:val="15"/>
        <w:keepNext w:val="0"/>
        <w:keepLines w:val="0"/>
        <w:pageBreakBefore w:val="0"/>
        <w:numPr>
          <w:ilvl w:val="0"/>
          <w:numId w:val="24"/>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投标人投标所使用的资格、信誉、荣誉、业绩与企业认证必须为本法人所拥有</w:t>
      </w:r>
      <w:r>
        <w:rPr>
          <w:rFonts w:hint="eastAsia" w:asciiTheme="minorEastAsia" w:hAnsiTheme="minorEastAsia" w:eastAsiaTheme="minorEastAsia"/>
          <w:color w:val="auto"/>
          <w:sz w:val="24"/>
          <w:highlight w:val="none"/>
        </w:rPr>
        <w:t>且所提供的资料都是真实有效的</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招标文件另有说明的除外</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。投标人投标所使用的采购项目实施人员必须为本法人员工。</w:t>
      </w:r>
    </w:p>
    <w:p w14:paraId="50077814">
      <w:pPr>
        <w:pStyle w:val="37"/>
        <w:keepNext w:val="0"/>
        <w:keepLines w:val="0"/>
        <w:pageBreakBefore w:val="0"/>
        <w:numPr>
          <w:ilvl w:val="0"/>
          <w:numId w:val="24"/>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本招标文件中关于电子招投标的内容、流程，如与台州湾新区小额工程电子交易平台系统中最新的内容、操作不一致的，以台州湾新区小额工程电子交易平台系统中的要求为准。</w:t>
      </w:r>
    </w:p>
    <w:p w14:paraId="688ED8D4">
      <w:pPr>
        <w:keepNext w:val="0"/>
        <w:keepLines w:val="0"/>
        <w:pageBreakBefore w:val="0"/>
        <w:numPr>
          <w:ilvl w:val="0"/>
          <w:numId w:val="18"/>
        </w:numPr>
        <w:tabs>
          <w:tab w:val="left" w:pos="720"/>
          <w:tab w:val="left" w:pos="1260"/>
          <w:tab w:val="left" w:pos="2160"/>
          <w:tab w:val="left" w:pos="2880"/>
          <w:tab w:val="left" w:pos="3600"/>
          <w:tab w:val="left" w:pos="4320"/>
          <w:tab w:val="left" w:pos="5040"/>
          <w:tab w:val="left" w:pos="5760"/>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招标文件</w:t>
      </w:r>
    </w:p>
    <w:p w14:paraId="096DA261">
      <w:pPr>
        <w:pStyle w:val="37"/>
        <w:keepNext w:val="0"/>
        <w:keepLines w:val="0"/>
        <w:pageBreakBefore w:val="0"/>
        <w:numPr>
          <w:ilvl w:val="0"/>
          <w:numId w:val="25"/>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招标文件由招标文件目录所列内容组成。</w:t>
      </w:r>
    </w:p>
    <w:p w14:paraId="362FD14D">
      <w:pPr>
        <w:pStyle w:val="37"/>
        <w:keepNext w:val="0"/>
        <w:keepLines w:val="0"/>
        <w:pageBreakBefore w:val="0"/>
        <w:numPr>
          <w:ilvl w:val="0"/>
          <w:numId w:val="25"/>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投标人在规定的时间内未对招标文件提出疑问、质疑或要求澄清的，将视其为无异议。</w:t>
      </w:r>
    </w:p>
    <w:p w14:paraId="2DA04966">
      <w:pPr>
        <w:pStyle w:val="37"/>
        <w:keepNext w:val="0"/>
        <w:keepLines w:val="0"/>
        <w:pageBreakBefore w:val="0"/>
        <w:numPr>
          <w:ilvl w:val="0"/>
          <w:numId w:val="25"/>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对招标文件中描述有歧义或前后不一致的地方，评标委员会有权进行评判，但对同一条款的评判应适用于每个投标人。</w:t>
      </w:r>
    </w:p>
    <w:p w14:paraId="3FEB634B">
      <w:pPr>
        <w:pStyle w:val="37"/>
        <w:keepNext w:val="0"/>
        <w:keepLines w:val="0"/>
        <w:pageBreakBefore w:val="0"/>
        <w:numPr>
          <w:ilvl w:val="0"/>
          <w:numId w:val="25"/>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采购组织机构对招标文件进行必要的澄清更正的，澄清或者修改的内容可能影响投标文件编制的，于投标截止时间的3日前在台州湾新区小额工程电子交易平台</w:t>
      </w:r>
      <w:r>
        <w:rPr>
          <w:rFonts w:hint="eastAsia" w:asciiTheme="minorEastAsia" w:hAnsiTheme="minorEastAsia" w:eastAsiaTheme="minorEastAsia" w:cstheme="minorBidi"/>
          <w:color w:val="auto"/>
          <w:sz w:val="24"/>
          <w:highlight w:val="none"/>
          <w:lang w:val="en-US" w:eastAsia="zh-CN"/>
        </w:rPr>
        <w:t>和</w:t>
      </w:r>
      <w:r>
        <w:rPr>
          <w:rFonts w:hint="eastAsia" w:asciiTheme="minorEastAsia" w:hAnsiTheme="minorEastAsia" w:eastAsiaTheme="minorEastAsia" w:cstheme="minorBidi"/>
          <w:color w:val="auto"/>
          <w:sz w:val="24"/>
          <w:highlight w:val="none"/>
          <w:lang w:eastAsia="zh-CN"/>
        </w:rPr>
        <w:t>浙江政府采购网</w:t>
      </w:r>
      <w:r>
        <w:rPr>
          <w:rFonts w:hint="eastAsia" w:asciiTheme="minorEastAsia" w:hAnsiTheme="minorEastAsia" w:eastAsiaTheme="minorEastAsia" w:cstheme="minorBidi"/>
          <w:color w:val="auto"/>
          <w:sz w:val="24"/>
          <w:highlight w:val="none"/>
        </w:rPr>
        <w:t>上以更正公告的形式通知各潜在的投标人；不足3日的，采购组织机构应当顺延提交投标文件的截止时间。</w:t>
      </w:r>
    </w:p>
    <w:p w14:paraId="6E17A884">
      <w:pPr>
        <w:keepNext w:val="0"/>
        <w:keepLines w:val="0"/>
        <w:pageBreakBefore w:val="0"/>
        <w:numPr>
          <w:ilvl w:val="0"/>
          <w:numId w:val="18"/>
        </w:numPr>
        <w:tabs>
          <w:tab w:val="left" w:pos="1418"/>
        </w:tabs>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投标文件</w:t>
      </w:r>
    </w:p>
    <w:p w14:paraId="6A511739">
      <w:pPr>
        <w:pStyle w:val="6"/>
        <w:keepNext w:val="0"/>
        <w:keepLines w:val="0"/>
        <w:pageBreakBefore w:val="0"/>
        <w:numPr>
          <w:ilvl w:val="0"/>
          <w:numId w:val="26"/>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b/>
          <w:color w:val="auto"/>
          <w:kern w:val="0"/>
          <w:sz w:val="24"/>
          <w:highlight w:val="none"/>
        </w:rPr>
      </w:pPr>
      <w:r>
        <w:rPr>
          <w:rFonts w:hint="eastAsia" w:asciiTheme="minorEastAsia" w:hAnsiTheme="minorEastAsia" w:eastAsiaTheme="minorEastAsia"/>
          <w:b/>
          <w:color w:val="auto"/>
          <w:kern w:val="0"/>
          <w:sz w:val="24"/>
          <w:highlight w:val="none"/>
        </w:rPr>
        <w:t>投标文件的编制</w:t>
      </w:r>
    </w:p>
    <w:p w14:paraId="7C6E12FA">
      <w:pPr>
        <w:pStyle w:val="6"/>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bCs/>
          <w:color w:val="auto"/>
          <w:kern w:val="0"/>
          <w:sz w:val="24"/>
          <w:highlight w:val="none"/>
        </w:rPr>
      </w:pPr>
      <w:r>
        <w:rPr>
          <w:rFonts w:hint="eastAsia" w:asciiTheme="minorEastAsia" w:hAnsiTheme="minorEastAsia" w:eastAsiaTheme="minorEastAsia"/>
          <w:color w:val="auto"/>
          <w:kern w:val="0"/>
          <w:sz w:val="24"/>
          <w:highlight w:val="none"/>
        </w:rPr>
        <w:t>投标人获取招标文件后，按照采购组织机构的要求提供：资格标、技术标和商务标</w:t>
      </w:r>
      <w:r>
        <w:rPr>
          <w:rFonts w:hint="eastAsia" w:asciiTheme="minorEastAsia" w:hAnsiTheme="minorEastAsia" w:eastAsiaTheme="minorEastAsia"/>
          <w:color w:val="auto"/>
          <w:kern w:val="0"/>
          <w:sz w:val="24"/>
          <w:highlight w:val="none"/>
          <w:lang w:val="zh-CN"/>
        </w:rPr>
        <w:t>。</w:t>
      </w:r>
    </w:p>
    <w:p w14:paraId="4A405BEE">
      <w:pPr>
        <w:keepNext w:val="0"/>
        <w:keepLines w:val="0"/>
        <w:pageBreakBefore w:val="0"/>
        <w:numPr>
          <w:ilvl w:val="0"/>
          <w:numId w:val="27"/>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eastAsiaTheme="minorEastAsia"/>
          <w:b/>
          <w:bCs w:val="0"/>
          <w:color w:val="auto"/>
          <w:kern w:val="0"/>
          <w:sz w:val="24"/>
          <w:highlight w:val="none"/>
        </w:rPr>
      </w:pPr>
      <w:r>
        <w:rPr>
          <w:rFonts w:hint="eastAsia" w:asciiTheme="minorEastAsia" w:hAnsiTheme="minorEastAsia" w:eastAsiaTheme="minorEastAsia"/>
          <w:b/>
          <w:bCs w:val="0"/>
          <w:color w:val="auto"/>
          <w:sz w:val="24"/>
          <w:highlight w:val="none"/>
        </w:rPr>
        <w:t>资格标</w:t>
      </w:r>
      <w:r>
        <w:rPr>
          <w:rFonts w:hint="eastAsia" w:ascii="宋体" w:hAnsi="宋体"/>
          <w:b/>
          <w:bCs w:val="0"/>
          <w:color w:val="auto"/>
          <w:sz w:val="24"/>
          <w:highlight w:val="none"/>
        </w:rPr>
        <w:t>组成</w:t>
      </w:r>
    </w:p>
    <w:p w14:paraId="06976573">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482" w:firstLineChars="200"/>
        <w:jc w:val="left"/>
        <w:textAlignment w:val="auto"/>
        <w:rPr>
          <w:rFonts w:ascii="宋体" w:hAnsi="宋体" w:cs="宋体"/>
          <w:b/>
          <w:bCs w:val="0"/>
          <w:color w:val="auto"/>
          <w:sz w:val="24"/>
          <w:highlight w:val="none"/>
        </w:rPr>
      </w:pPr>
      <w:r>
        <w:rPr>
          <w:rFonts w:hint="eastAsia" w:ascii="宋体" w:hAnsi="宋体" w:cs="宋体"/>
          <w:b/>
          <w:bCs w:val="0"/>
          <w:color w:val="auto"/>
          <w:sz w:val="24"/>
          <w:highlight w:val="none"/>
        </w:rPr>
        <w:t>▲投标声明书（附件1）；</w:t>
      </w:r>
    </w:p>
    <w:p w14:paraId="31548BB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482" w:firstLineChars="200"/>
        <w:jc w:val="left"/>
        <w:textAlignment w:val="auto"/>
        <w:rPr>
          <w:rFonts w:ascii="宋体" w:hAnsi="宋体" w:cs="宋体"/>
          <w:b/>
          <w:bCs w:val="0"/>
          <w:color w:val="auto"/>
          <w:sz w:val="24"/>
          <w:highlight w:val="none"/>
        </w:rPr>
      </w:pPr>
      <w:r>
        <w:rPr>
          <w:rFonts w:hint="eastAsia" w:ascii="宋体" w:hAnsi="宋体" w:cs="宋体"/>
          <w:b/>
          <w:bCs w:val="0"/>
          <w:color w:val="auto"/>
          <w:sz w:val="24"/>
          <w:highlight w:val="none"/>
        </w:rPr>
        <w:t>▲授权委托书（法定代表人亲自办理投标事宜的，则无需提交；附件2）；</w:t>
      </w:r>
    </w:p>
    <w:p w14:paraId="0316066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482" w:firstLineChars="200"/>
        <w:jc w:val="left"/>
        <w:textAlignment w:val="auto"/>
        <w:rPr>
          <w:rFonts w:ascii="宋体" w:hAnsi="宋体" w:cs="宋体"/>
          <w:b/>
          <w:bCs w:val="0"/>
          <w:color w:val="auto"/>
          <w:sz w:val="24"/>
          <w:highlight w:val="none"/>
        </w:rPr>
      </w:pPr>
      <w:r>
        <w:rPr>
          <w:rFonts w:hint="eastAsia" w:ascii="宋体" w:hAnsi="宋体" w:cs="宋体"/>
          <w:b/>
          <w:bCs w:val="0"/>
          <w:color w:val="auto"/>
          <w:sz w:val="24"/>
          <w:highlight w:val="none"/>
        </w:rPr>
        <w:t>▲法人或者其他组织的营业执照等证明文件，自然人的身份证明；</w:t>
      </w:r>
    </w:p>
    <w:p w14:paraId="08DC1283">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482" w:firstLineChars="200"/>
        <w:jc w:val="left"/>
        <w:textAlignment w:val="auto"/>
        <w:rPr>
          <w:rFonts w:ascii="宋体" w:hAnsi="宋体" w:cs="宋体"/>
          <w:b/>
          <w:bCs w:val="0"/>
          <w:color w:val="auto"/>
          <w:sz w:val="24"/>
          <w:highlight w:val="none"/>
        </w:rPr>
      </w:pPr>
      <w:r>
        <w:rPr>
          <w:rFonts w:hint="eastAsia" w:ascii="宋体" w:hAnsi="宋体" w:cs="宋体"/>
          <w:b/>
          <w:bCs w:val="0"/>
          <w:color w:val="auto"/>
          <w:sz w:val="24"/>
          <w:highlight w:val="none"/>
        </w:rPr>
        <w:t>▲具有依法缴纳税收和社会保障资金证明的承诺函（附件3）；</w:t>
      </w:r>
    </w:p>
    <w:p w14:paraId="3176689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482" w:firstLineChars="200"/>
        <w:jc w:val="left"/>
        <w:textAlignment w:val="auto"/>
        <w:rPr>
          <w:rFonts w:ascii="宋体" w:hAnsi="宋体" w:cs="宋体"/>
          <w:b/>
          <w:bCs w:val="0"/>
          <w:color w:val="auto"/>
          <w:sz w:val="24"/>
          <w:highlight w:val="none"/>
        </w:rPr>
      </w:pPr>
      <w:r>
        <w:rPr>
          <w:rFonts w:hint="eastAsia" w:ascii="宋体" w:hAnsi="宋体" w:cs="宋体"/>
          <w:b/>
          <w:bCs w:val="0"/>
          <w:color w:val="auto"/>
          <w:sz w:val="24"/>
          <w:highlight w:val="none"/>
        </w:rPr>
        <w:t>▲具有良好的商业信誉和健全的财务会计制度的承诺函（附件4）；</w:t>
      </w:r>
    </w:p>
    <w:p w14:paraId="465EBB95">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right="0" w:firstLine="482" w:firstLineChars="200"/>
        <w:jc w:val="left"/>
        <w:textAlignment w:val="auto"/>
        <w:rPr>
          <w:rFonts w:ascii="宋体" w:hAnsi="宋体" w:cs="宋体"/>
          <w:color w:val="auto"/>
          <w:sz w:val="24"/>
          <w:highlight w:val="none"/>
        </w:rPr>
      </w:pPr>
      <w:r>
        <w:rPr>
          <w:rFonts w:hint="eastAsia" w:ascii="宋体" w:hAnsi="宋体" w:cs="宋体"/>
          <w:b/>
          <w:bCs w:val="0"/>
          <w:color w:val="auto"/>
          <w:sz w:val="24"/>
          <w:highlight w:val="none"/>
        </w:rPr>
        <w:t>▲具有履行合同所</w:t>
      </w:r>
      <w:r>
        <w:rPr>
          <w:rFonts w:hint="eastAsia" w:ascii="宋体" w:hAnsi="宋体" w:cs="宋体"/>
          <w:b/>
          <w:bCs w:val="0"/>
          <w:color w:val="auto"/>
          <w:sz w:val="24"/>
          <w:highlight w:val="none"/>
          <w:lang w:eastAsia="zh-CN"/>
        </w:rPr>
        <w:t>必需的设备</w:t>
      </w:r>
      <w:r>
        <w:rPr>
          <w:rFonts w:hint="eastAsia" w:ascii="宋体" w:hAnsi="宋体" w:cs="宋体"/>
          <w:b/>
          <w:bCs w:val="0"/>
          <w:color w:val="auto"/>
          <w:sz w:val="24"/>
          <w:highlight w:val="none"/>
        </w:rPr>
        <w:t>和专业技术能力的承诺函（附件5）</w:t>
      </w:r>
      <w:r>
        <w:rPr>
          <w:rFonts w:hint="eastAsia" w:ascii="宋体" w:hAnsi="宋体" w:cs="宋体"/>
          <w:color w:val="auto"/>
          <w:sz w:val="24"/>
          <w:highlight w:val="none"/>
        </w:rPr>
        <w:t>。</w:t>
      </w:r>
    </w:p>
    <w:p w14:paraId="26BD65DB">
      <w:pPr>
        <w:keepNext w:val="0"/>
        <w:keepLines w:val="0"/>
        <w:pageBreakBefore w:val="0"/>
        <w:numPr>
          <w:ilvl w:val="0"/>
          <w:numId w:val="27"/>
        </w:numPr>
        <w:kinsoku/>
        <w:wordWrap/>
        <w:overflowPunct/>
        <w:topLinePunct w:val="0"/>
        <w:bidi w:val="0"/>
        <w:adjustRightInd/>
        <w:snapToGrid/>
        <w:spacing w:line="360" w:lineRule="auto"/>
        <w:ind w:left="0" w:leftChars="0" w:right="0" w:firstLine="482" w:firstLineChars="200"/>
        <w:jc w:val="left"/>
        <w:textAlignment w:val="auto"/>
        <w:rPr>
          <w:rFonts w:ascii="宋体" w:hAnsi="宋体"/>
          <w:b/>
          <w:color w:val="auto"/>
          <w:sz w:val="24"/>
          <w:highlight w:val="none"/>
        </w:rPr>
      </w:pPr>
      <w:r>
        <w:rPr>
          <w:rFonts w:hint="eastAsia" w:ascii="宋体" w:hAnsi="宋体" w:eastAsiaTheme="minorEastAsia"/>
          <w:b/>
          <w:color w:val="auto"/>
          <w:sz w:val="24"/>
          <w:highlight w:val="none"/>
        </w:rPr>
        <w:t>技术标</w:t>
      </w:r>
      <w:r>
        <w:rPr>
          <w:rFonts w:hint="eastAsia" w:ascii="宋体" w:hAnsi="宋体"/>
          <w:b/>
          <w:color w:val="auto"/>
          <w:sz w:val="24"/>
          <w:highlight w:val="none"/>
        </w:rPr>
        <w:t>组成</w:t>
      </w:r>
    </w:p>
    <w:p w14:paraId="3B9F7DAA">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right="0" w:firstLine="482" w:firstLineChars="200"/>
        <w:jc w:val="left"/>
        <w:textAlignment w:val="auto"/>
        <w:rPr>
          <w:rFonts w:ascii="宋体" w:hAnsi="宋体"/>
          <w:b/>
          <w:bCs w:val="0"/>
          <w:color w:val="auto"/>
          <w:sz w:val="24"/>
          <w:highlight w:val="none"/>
        </w:rPr>
      </w:pPr>
      <w:r>
        <w:rPr>
          <w:rFonts w:hint="eastAsia" w:ascii="宋体" w:hAnsi="宋体"/>
          <w:b/>
          <w:bCs w:val="0"/>
          <w:color w:val="auto"/>
          <w:sz w:val="24"/>
          <w:highlight w:val="none"/>
        </w:rPr>
        <w:t>▲需求响应表（附件6）；</w:t>
      </w:r>
    </w:p>
    <w:p w14:paraId="22F1E0A4">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right="0" w:firstLine="480" w:firstLineChars="200"/>
        <w:jc w:val="left"/>
        <w:textAlignment w:val="auto"/>
        <w:rPr>
          <w:rFonts w:ascii="宋体" w:hAnsi="宋体"/>
          <w:bCs/>
          <w:color w:val="auto"/>
          <w:sz w:val="24"/>
          <w:highlight w:val="none"/>
        </w:rPr>
      </w:pPr>
      <w:r>
        <w:rPr>
          <w:rFonts w:hint="eastAsia" w:ascii="宋体" w:hAnsi="宋体"/>
          <w:bCs/>
          <w:color w:val="auto"/>
          <w:sz w:val="24"/>
          <w:highlight w:val="none"/>
        </w:rPr>
        <w:t>其余内容根据评标办法自拟；</w:t>
      </w:r>
    </w:p>
    <w:p w14:paraId="695AAA12">
      <w:pPr>
        <w:pStyle w:val="6"/>
        <w:keepNext w:val="0"/>
        <w:keepLines w:val="0"/>
        <w:pageBreakBefore w:val="0"/>
        <w:widowControl/>
        <w:numPr>
          <w:ilvl w:val="255"/>
          <w:numId w:val="0"/>
        </w:numPr>
        <w:kinsoku/>
        <w:wordWrap/>
        <w:overflowPunct/>
        <w:topLinePunct w:val="0"/>
        <w:bidi w:val="0"/>
        <w:adjustRightInd/>
        <w:snapToGrid/>
        <w:spacing w:line="360" w:lineRule="auto"/>
        <w:ind w:left="0" w:leftChars="0" w:right="0" w:firstLine="480" w:firstLineChars="200"/>
        <w:jc w:val="left"/>
        <w:textAlignment w:val="auto"/>
        <w:rPr>
          <w:rFonts w:ascii="宋体" w:hAnsi="宋体"/>
          <w:bCs/>
          <w:color w:val="auto"/>
          <w:sz w:val="24"/>
          <w:highlight w:val="none"/>
        </w:rPr>
      </w:pPr>
      <w:r>
        <w:rPr>
          <w:rFonts w:hint="eastAsia" w:ascii="宋体" w:hAnsi="宋体"/>
          <w:bCs/>
          <w:color w:val="auto"/>
          <w:sz w:val="24"/>
          <w:highlight w:val="none"/>
        </w:rPr>
        <w:t>招标需求中要求提供的相关证明材料及根据评标办法提供的证明材料均需在投标文件中提供。</w:t>
      </w:r>
    </w:p>
    <w:p w14:paraId="2D143F94">
      <w:pPr>
        <w:keepNext w:val="0"/>
        <w:keepLines w:val="0"/>
        <w:pageBreakBefore w:val="0"/>
        <w:numPr>
          <w:ilvl w:val="0"/>
          <w:numId w:val="27"/>
        </w:numPr>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商务标组成</w:t>
      </w:r>
    </w:p>
    <w:p w14:paraId="402DDE6F">
      <w:pPr>
        <w:keepNext w:val="0"/>
        <w:keepLines w:val="0"/>
        <w:pageBreakBefore w:val="0"/>
        <w:widowControl w:val="0"/>
        <w:numPr>
          <w:ilvl w:val="0"/>
          <w:numId w:val="30"/>
        </w:numPr>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Theme="minorEastAsia" w:hAnsiTheme="minorEastAsia" w:eastAsiaTheme="minorEastAsia"/>
          <w:b/>
          <w:bCs/>
          <w:color w:val="auto"/>
          <w:kern w:val="0"/>
          <w:sz w:val="24"/>
          <w:highlight w:val="none"/>
        </w:rPr>
      </w:pPr>
      <w:r>
        <w:rPr>
          <w:rFonts w:hint="eastAsia" w:ascii="宋体" w:hAnsi="宋体" w:cs="宋体"/>
          <w:b/>
          <w:bCs/>
          <w:color w:val="auto"/>
          <w:sz w:val="24"/>
          <w:highlight w:val="none"/>
        </w:rPr>
        <w:t>▲</w:t>
      </w:r>
      <w:r>
        <w:rPr>
          <w:rFonts w:hint="eastAsia" w:asciiTheme="minorEastAsia" w:hAnsiTheme="minorEastAsia" w:eastAsiaTheme="minorEastAsia"/>
          <w:b/>
          <w:bCs/>
          <w:color w:val="auto"/>
          <w:kern w:val="0"/>
          <w:sz w:val="24"/>
          <w:highlight w:val="none"/>
        </w:rPr>
        <w:t>开标一览表（附件</w:t>
      </w:r>
      <w:r>
        <w:rPr>
          <w:rFonts w:hint="eastAsia" w:asciiTheme="minorEastAsia" w:hAnsiTheme="minorEastAsia" w:eastAsiaTheme="minorEastAsia"/>
          <w:b/>
          <w:bCs/>
          <w:color w:val="auto"/>
          <w:kern w:val="0"/>
          <w:sz w:val="24"/>
          <w:highlight w:val="none"/>
          <w:lang w:val="en-US" w:eastAsia="zh-CN"/>
        </w:rPr>
        <w:t>7</w:t>
      </w:r>
      <w:r>
        <w:rPr>
          <w:rFonts w:hint="eastAsia" w:asciiTheme="minorEastAsia" w:hAnsiTheme="minorEastAsia" w:eastAsiaTheme="minorEastAsia"/>
          <w:b/>
          <w:bCs/>
          <w:color w:val="auto"/>
          <w:kern w:val="0"/>
          <w:sz w:val="24"/>
          <w:highlight w:val="none"/>
        </w:rPr>
        <w:t>）；</w:t>
      </w:r>
    </w:p>
    <w:p w14:paraId="1DE42CF3">
      <w:pPr>
        <w:keepNext w:val="0"/>
        <w:keepLines w:val="0"/>
        <w:pageBreakBefore w:val="0"/>
        <w:widowControl w:val="0"/>
        <w:numPr>
          <w:ilvl w:val="0"/>
          <w:numId w:val="30"/>
        </w:numPr>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Theme="minorEastAsia" w:hAnsiTheme="minorEastAsia" w:eastAsiaTheme="minorEastAsia"/>
          <w:color w:val="auto"/>
          <w:kern w:val="0"/>
          <w:sz w:val="24"/>
          <w:highlight w:val="none"/>
        </w:rPr>
      </w:pPr>
      <w:r>
        <w:rPr>
          <w:rFonts w:hint="eastAsia" w:ascii="宋体" w:hAnsi="宋体" w:cs="宋体"/>
          <w:b/>
          <w:bCs/>
          <w:color w:val="auto"/>
          <w:sz w:val="24"/>
          <w:highlight w:val="none"/>
        </w:rPr>
        <w:t>▲</w:t>
      </w:r>
      <w:r>
        <w:rPr>
          <w:rFonts w:hint="eastAsia" w:asciiTheme="minorEastAsia" w:hAnsiTheme="minorEastAsia" w:eastAsiaTheme="minorEastAsia"/>
          <w:b/>
          <w:bCs/>
          <w:color w:val="auto"/>
          <w:kern w:val="0"/>
          <w:sz w:val="24"/>
          <w:highlight w:val="none"/>
        </w:rPr>
        <w:t>报价明细表</w:t>
      </w:r>
      <w:r>
        <w:rPr>
          <w:rFonts w:hint="eastAsia" w:asciiTheme="minorEastAsia" w:hAnsiTheme="minorEastAsia" w:eastAsiaTheme="minorEastAsia"/>
          <w:b/>
          <w:bCs/>
          <w:color w:val="auto"/>
          <w:kern w:val="0"/>
          <w:sz w:val="24"/>
          <w:highlight w:val="none"/>
          <w:lang w:eastAsia="zh-CN"/>
        </w:rPr>
        <w:t>（</w:t>
      </w:r>
      <w:r>
        <w:rPr>
          <w:rFonts w:hint="eastAsia" w:asciiTheme="minorEastAsia" w:hAnsiTheme="minorEastAsia" w:eastAsiaTheme="minorEastAsia"/>
          <w:b/>
          <w:bCs/>
          <w:color w:val="auto"/>
          <w:kern w:val="0"/>
          <w:sz w:val="24"/>
          <w:highlight w:val="none"/>
          <w:lang w:val="en-US" w:eastAsia="zh-CN"/>
        </w:rPr>
        <w:t>附件8</w:t>
      </w:r>
      <w:r>
        <w:rPr>
          <w:rFonts w:hint="eastAsia" w:asciiTheme="minorEastAsia" w:hAnsiTheme="minorEastAsia" w:eastAsiaTheme="minorEastAsia"/>
          <w:b/>
          <w:bCs/>
          <w:color w:val="auto"/>
          <w:kern w:val="0"/>
          <w:sz w:val="24"/>
          <w:highlight w:val="none"/>
          <w:lang w:eastAsia="zh-CN"/>
        </w:rPr>
        <w:t>）</w:t>
      </w:r>
      <w:r>
        <w:rPr>
          <w:rFonts w:hint="eastAsia" w:asciiTheme="minorEastAsia" w:hAnsiTheme="minorEastAsia" w:eastAsiaTheme="minorEastAsia"/>
          <w:color w:val="auto"/>
          <w:kern w:val="0"/>
          <w:sz w:val="24"/>
          <w:highlight w:val="none"/>
        </w:rPr>
        <w:t>。</w:t>
      </w:r>
    </w:p>
    <w:p w14:paraId="1213CED4">
      <w:pPr>
        <w:keepNext w:val="0"/>
        <w:keepLines w:val="0"/>
        <w:pageBreakBefore w:val="0"/>
        <w:numPr>
          <w:ilvl w:val="0"/>
          <w:numId w:val="26"/>
        </w:numPr>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Theme="majorEastAsia" w:hAnsiTheme="majorEastAsia" w:eastAsiaTheme="majorEastAsia" w:cstheme="majorEastAsia"/>
          <w:b/>
          <w:color w:val="auto"/>
          <w:kern w:val="0"/>
          <w:sz w:val="24"/>
          <w:highlight w:val="none"/>
        </w:rPr>
      </w:pPr>
      <w:r>
        <w:rPr>
          <w:rFonts w:hint="eastAsia" w:asciiTheme="majorEastAsia" w:hAnsiTheme="majorEastAsia" w:eastAsiaTheme="majorEastAsia" w:cstheme="majorEastAsia"/>
          <w:b/>
          <w:color w:val="auto"/>
          <w:kern w:val="0"/>
          <w:sz w:val="24"/>
          <w:highlight w:val="none"/>
        </w:rPr>
        <w:t>投标报价</w:t>
      </w:r>
    </w:p>
    <w:p w14:paraId="67DCF408">
      <w:pPr>
        <w:pStyle w:val="6"/>
        <w:keepNext w:val="0"/>
        <w:keepLines w:val="0"/>
        <w:pageBreakBefore w:val="0"/>
        <w:numPr>
          <w:ilvl w:val="0"/>
          <w:numId w:val="31"/>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投标人应按照招标需求内容、责任范围以及合同条款进行报价。并按“开标一览表”规定的格式报出总价。投标总价中不得包含招标文件要求以外的内容，否则，在评标时不予核减。</w:t>
      </w:r>
    </w:p>
    <w:p w14:paraId="10239A18">
      <w:pPr>
        <w:keepNext w:val="0"/>
        <w:keepLines w:val="0"/>
        <w:pageBreakBefore w:val="0"/>
        <w:numPr>
          <w:ilvl w:val="0"/>
          <w:numId w:val="31"/>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投标报价是履行合同的最终价格</w:t>
      </w:r>
      <w:r>
        <w:rPr>
          <w:rFonts w:hint="eastAsia" w:asciiTheme="minorEastAsia" w:hAnsiTheme="minorEastAsia" w:eastAsiaTheme="minorEastAsia"/>
          <w:bCs/>
          <w:color w:val="auto"/>
          <w:kern w:val="0"/>
          <w:sz w:val="24"/>
          <w:highlight w:val="none"/>
          <w:lang w:eastAsia="zh-CN"/>
        </w:rPr>
        <w:t>，</w:t>
      </w:r>
      <w:r>
        <w:rPr>
          <w:rFonts w:hint="eastAsia" w:asciiTheme="minorEastAsia" w:hAnsiTheme="minorEastAsia" w:eastAsiaTheme="minorEastAsia"/>
          <w:bCs/>
          <w:color w:val="auto"/>
          <w:kern w:val="0"/>
          <w:sz w:val="24"/>
          <w:highlight w:val="none"/>
        </w:rPr>
        <w:t>各投标人应根据本</w:t>
      </w:r>
      <w:r>
        <w:rPr>
          <w:rFonts w:hint="eastAsia" w:asciiTheme="minorEastAsia" w:hAnsiTheme="minorEastAsia" w:eastAsiaTheme="minorEastAsia"/>
          <w:bCs/>
          <w:color w:val="auto"/>
          <w:kern w:val="0"/>
          <w:sz w:val="24"/>
          <w:highlight w:val="none"/>
          <w:lang w:val="en-US" w:eastAsia="zh-CN"/>
        </w:rPr>
        <w:t>项目</w:t>
      </w:r>
      <w:r>
        <w:rPr>
          <w:rFonts w:hint="eastAsia" w:asciiTheme="minorEastAsia" w:hAnsiTheme="minorEastAsia" w:eastAsiaTheme="minorEastAsia"/>
          <w:bCs/>
          <w:color w:val="auto"/>
          <w:kern w:val="0"/>
          <w:sz w:val="24"/>
          <w:highlight w:val="none"/>
        </w:rPr>
        <w:t>实际情况和自身的综合实力，竞报投标报价。总报价以人民币元计。</w:t>
      </w:r>
    </w:p>
    <w:p w14:paraId="718E241A">
      <w:pPr>
        <w:pStyle w:val="6"/>
        <w:keepNext w:val="0"/>
        <w:keepLines w:val="0"/>
        <w:pageBreakBefore w:val="0"/>
        <w:numPr>
          <w:ilvl w:val="0"/>
          <w:numId w:val="31"/>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投标报价不得为选择性报价和附有条件的报价。</w:t>
      </w:r>
    </w:p>
    <w:p w14:paraId="20761DD2">
      <w:pPr>
        <w:pStyle w:val="6"/>
        <w:keepNext w:val="0"/>
        <w:keepLines w:val="0"/>
        <w:pageBreakBefore w:val="0"/>
        <w:numPr>
          <w:ilvl w:val="0"/>
          <w:numId w:val="26"/>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投标文件的有效期</w:t>
      </w:r>
    </w:p>
    <w:p w14:paraId="2C2F0180">
      <w:pPr>
        <w:pStyle w:val="6"/>
        <w:keepNext w:val="0"/>
        <w:keepLines w:val="0"/>
        <w:pageBreakBefore w:val="0"/>
        <w:numPr>
          <w:ilvl w:val="0"/>
          <w:numId w:val="32"/>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stheme="minorEastAsia"/>
          <w:color w:val="auto"/>
          <w:sz w:val="24"/>
          <w:highlight w:val="none"/>
          <w:lang w:val="en-GB"/>
        </w:rPr>
      </w:pPr>
      <w:r>
        <w:rPr>
          <w:rFonts w:hint="eastAsia" w:asciiTheme="minorEastAsia" w:hAnsiTheme="minorEastAsia" w:eastAsiaTheme="minorEastAsia" w:cstheme="minorEastAsia"/>
          <w:color w:val="auto"/>
          <w:sz w:val="24"/>
          <w:highlight w:val="none"/>
        </w:rPr>
        <w:t>投标文件有效期为</w:t>
      </w:r>
      <w:r>
        <w:rPr>
          <w:rFonts w:hint="eastAsia" w:asciiTheme="minorEastAsia" w:hAnsiTheme="minorEastAsia" w:eastAsiaTheme="minorEastAsia" w:cstheme="minorEastAsia"/>
          <w:color w:val="auto"/>
          <w:sz w:val="24"/>
          <w:highlight w:val="none"/>
          <w:lang w:val="en-GB"/>
        </w:rPr>
        <w:t>投标截止日起90天。</w:t>
      </w:r>
    </w:p>
    <w:p w14:paraId="4E6CB962">
      <w:pPr>
        <w:pStyle w:val="6"/>
        <w:keepNext w:val="0"/>
        <w:keepLines w:val="0"/>
        <w:pageBreakBefore w:val="0"/>
        <w:numPr>
          <w:ilvl w:val="0"/>
          <w:numId w:val="32"/>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stheme="minorEastAsia"/>
          <w:color w:val="auto"/>
          <w:sz w:val="24"/>
          <w:highlight w:val="none"/>
          <w:lang w:val="en-GB"/>
        </w:rPr>
      </w:pPr>
      <w:r>
        <w:rPr>
          <w:rFonts w:hint="eastAsia" w:asciiTheme="minorEastAsia" w:hAnsiTheme="minorEastAsia" w:eastAsiaTheme="minorEastAsia" w:cstheme="minorEastAsia"/>
          <w:color w:val="auto"/>
          <w:sz w:val="24"/>
          <w:highlight w:val="none"/>
          <w:lang w:val="en-GB"/>
        </w:rPr>
        <w:t>在特殊情况下，采购人可与投标人协商延长投标文件的有效期。</w:t>
      </w:r>
    </w:p>
    <w:p w14:paraId="20980F48">
      <w:pPr>
        <w:keepNext w:val="0"/>
        <w:keepLines w:val="0"/>
        <w:pageBreakBefore w:val="0"/>
        <w:numPr>
          <w:ilvl w:val="0"/>
          <w:numId w:val="32"/>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中标人的投标文件自开标之日起至合同履行完毕均应保持有效。</w:t>
      </w:r>
    </w:p>
    <w:p w14:paraId="2FFFE127">
      <w:pPr>
        <w:keepNext w:val="0"/>
        <w:keepLines w:val="0"/>
        <w:pageBreakBefore w:val="0"/>
        <w:numPr>
          <w:ilvl w:val="0"/>
          <w:numId w:val="26"/>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投标文件的签署</w:t>
      </w:r>
    </w:p>
    <w:p w14:paraId="1BA611E8">
      <w:pPr>
        <w:pStyle w:val="6"/>
        <w:keepNext w:val="0"/>
        <w:keepLines w:val="0"/>
        <w:pageBreakBefore w:val="0"/>
        <w:numPr>
          <w:ilvl w:val="0"/>
          <w:numId w:val="33"/>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投标文件需由法定代表人或经其正式授权的代表签字或盖章。授权代表须出具书面授权证明，其《法定代表人授权书》应附在投标文件中。</w:t>
      </w:r>
    </w:p>
    <w:p w14:paraId="37CAFDE9">
      <w:pPr>
        <w:pStyle w:val="6"/>
        <w:keepNext w:val="0"/>
        <w:keepLines w:val="0"/>
        <w:pageBreakBefore w:val="0"/>
        <w:numPr>
          <w:ilvl w:val="0"/>
          <w:numId w:val="33"/>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投标文件中所有的插字、涂改和增删，必须由法定代表人或经其正式授权的代表在旁边签字或盖章才有效。</w:t>
      </w:r>
    </w:p>
    <w:p w14:paraId="6953942E">
      <w:pPr>
        <w:pStyle w:val="6"/>
        <w:keepNext w:val="0"/>
        <w:keepLines w:val="0"/>
        <w:pageBreakBefore w:val="0"/>
        <w:numPr>
          <w:ilvl w:val="0"/>
          <w:numId w:val="33"/>
        </w:numPr>
        <w:kinsoku/>
        <w:wordWrap/>
        <w:overflowPunct/>
        <w:topLinePunct w:val="0"/>
        <w:bidi w:val="0"/>
        <w:adjustRightInd/>
        <w:snapToGrid/>
        <w:spacing w:line="360" w:lineRule="auto"/>
        <w:ind w:left="0" w:leftChars="0" w:right="0" w:firstLine="480" w:firstLineChars="200"/>
        <w:jc w:val="left"/>
        <w:textAlignment w:val="auto"/>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投标文件中要求加盖公章处，可使用有效安全的电子签章替代。</w:t>
      </w:r>
    </w:p>
    <w:p w14:paraId="11C8767E">
      <w:pPr>
        <w:keepNext w:val="0"/>
        <w:keepLines w:val="0"/>
        <w:pageBreakBefore w:val="0"/>
        <w:numPr>
          <w:ilvl w:val="0"/>
          <w:numId w:val="26"/>
        </w:numPr>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Theme="minorEastAsia" w:hAnsiTheme="minorEastAsia"/>
          <w:b/>
          <w:bCs/>
          <w:color w:val="auto"/>
          <w:sz w:val="24"/>
          <w:highlight w:val="none"/>
        </w:rPr>
      </w:pPr>
      <w:r>
        <w:rPr>
          <w:rFonts w:hint="eastAsia" w:asciiTheme="minorEastAsia" w:hAnsiTheme="minorEastAsia" w:eastAsiaTheme="minorEastAsia"/>
          <w:b/>
          <w:bCs/>
          <w:color w:val="auto"/>
          <w:sz w:val="24"/>
          <w:highlight w:val="none"/>
        </w:rPr>
        <w:t>投标文件</w:t>
      </w:r>
      <w:r>
        <w:rPr>
          <w:rFonts w:hint="eastAsia" w:asciiTheme="minorEastAsia" w:hAnsiTheme="minorEastAsia"/>
          <w:b/>
          <w:bCs/>
          <w:color w:val="auto"/>
          <w:sz w:val="24"/>
          <w:highlight w:val="none"/>
        </w:rPr>
        <w:t>的递交要求</w:t>
      </w:r>
    </w:p>
    <w:p w14:paraId="4E8838C4">
      <w:pPr>
        <w:keepNext w:val="0"/>
        <w:keepLines w:val="0"/>
        <w:pageBreakBefore w:val="0"/>
        <w:tabs>
          <w:tab w:val="left" w:pos="1418"/>
        </w:tabs>
        <w:kinsoku/>
        <w:wordWrap/>
        <w:overflowPunct/>
        <w:topLinePunct w:val="0"/>
        <w:autoSpaceDE w:val="0"/>
        <w:autoSpaceDN w:val="0"/>
        <w:bidi w:val="0"/>
        <w:adjustRightInd/>
        <w:snapToGrid/>
        <w:spacing w:line="360" w:lineRule="auto"/>
        <w:ind w:left="0" w:leftChars="0" w:right="0" w:firstLine="480" w:firstLineChars="200"/>
        <w:jc w:val="left"/>
        <w:textAlignment w:val="auto"/>
        <w:rPr>
          <w:rFonts w:asciiTheme="minorEastAsia" w:hAnsiTheme="minorEastAsia" w:eastAsiaTheme="minorEastAsia"/>
          <w:color w:val="auto"/>
          <w:kern w:val="0"/>
          <w:sz w:val="24"/>
          <w:highlight w:val="none"/>
        </w:rPr>
      </w:pPr>
      <w:r>
        <w:rPr>
          <w:rFonts w:hint="eastAsia" w:asciiTheme="majorEastAsia" w:hAnsiTheme="majorEastAsia" w:eastAsiaTheme="majorEastAsia" w:cstheme="majorEastAsia"/>
          <w:color w:val="auto"/>
          <w:sz w:val="24"/>
          <w:highlight w:val="none"/>
        </w:rPr>
        <w:t>按照前附表要求提交，</w:t>
      </w:r>
      <w:r>
        <w:rPr>
          <w:rFonts w:hint="eastAsia" w:asciiTheme="minorEastAsia" w:hAnsiTheme="minorEastAsia" w:eastAsiaTheme="minorEastAsia"/>
          <w:color w:val="auto"/>
          <w:kern w:val="0"/>
          <w:sz w:val="24"/>
          <w:highlight w:val="none"/>
        </w:rPr>
        <w:t>如采购组织机构延长截止时间和开标时间，采购组织机构和投标人的权利和义务将受到新的截止时间和开标时间的约束。</w:t>
      </w:r>
    </w:p>
    <w:p w14:paraId="2ABA5A18">
      <w:pPr>
        <w:keepNext w:val="0"/>
        <w:keepLines w:val="0"/>
        <w:pageBreakBefore w:val="0"/>
        <w:numPr>
          <w:ilvl w:val="0"/>
          <w:numId w:val="18"/>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开标</w:t>
      </w:r>
    </w:p>
    <w:p w14:paraId="707233E6">
      <w:pPr>
        <w:pStyle w:val="15"/>
        <w:keepNext w:val="0"/>
        <w:keepLines w:val="0"/>
        <w:pageBreakBefore w:val="0"/>
        <w:numPr>
          <w:ilvl w:val="0"/>
          <w:numId w:val="34"/>
        </w:numPr>
        <w:kinsoku/>
        <w:wordWrap/>
        <w:overflowPunct/>
        <w:topLinePunct w:val="0"/>
        <w:bidi w:val="0"/>
        <w:adjustRightInd/>
        <w:snapToGrid/>
        <w:spacing w:line="360" w:lineRule="auto"/>
        <w:ind w:left="0" w:leftChars="0" w:right="0" w:firstLine="482" w:firstLineChars="200"/>
        <w:jc w:val="left"/>
        <w:textAlignment w:val="auto"/>
        <w:rPr>
          <w:rFonts w:hAnsi="宋体"/>
          <w:b/>
          <w:bCs/>
          <w:color w:val="auto"/>
          <w:sz w:val="24"/>
          <w:szCs w:val="32"/>
          <w:highlight w:val="none"/>
        </w:rPr>
      </w:pPr>
      <w:r>
        <w:rPr>
          <w:rFonts w:hAnsi="宋体"/>
          <w:b/>
          <w:bCs/>
          <w:color w:val="auto"/>
          <w:sz w:val="24"/>
          <w:szCs w:val="32"/>
          <w:highlight w:val="none"/>
        </w:rPr>
        <w:t>开标</w:t>
      </w:r>
    </w:p>
    <w:p w14:paraId="5E3FAD05">
      <w:pPr>
        <w:pStyle w:val="23"/>
        <w:keepNext w:val="0"/>
        <w:keepLines w:val="0"/>
        <w:pageBreakBefore w:val="0"/>
        <w:widowControl w:val="0"/>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bCs/>
          <w:color w:val="auto"/>
          <w:highlight w:val="none"/>
        </w:rPr>
      </w:pPr>
      <w:r>
        <w:rPr>
          <w:color w:val="auto"/>
          <w:szCs w:val="21"/>
          <w:highlight w:val="none"/>
        </w:rPr>
        <w:t>投标人代表一律不参加现场开标，通过在线直播参与监督开标过程。直播网络地址：</w:t>
      </w:r>
      <w:r>
        <w:rPr>
          <w:color w:val="auto"/>
          <w:highlight w:val="none"/>
        </w:rPr>
        <w:fldChar w:fldCharType="begin"/>
      </w:r>
      <w:r>
        <w:rPr>
          <w:color w:val="auto"/>
          <w:highlight w:val="none"/>
        </w:rPr>
        <w:instrText xml:space="preserve"> HYPERLINK "http://www.tzwztb.com/live/" </w:instrText>
      </w:r>
      <w:r>
        <w:rPr>
          <w:color w:val="auto"/>
          <w:highlight w:val="none"/>
        </w:rPr>
        <w:fldChar w:fldCharType="separate"/>
      </w:r>
      <w:r>
        <w:rPr>
          <w:rStyle w:val="30"/>
          <w:color w:val="auto"/>
          <w:highlight w:val="none"/>
        </w:rPr>
        <w:t>http://www.tzwztb.com/live/</w:t>
      </w:r>
      <w:r>
        <w:rPr>
          <w:rStyle w:val="30"/>
          <w:color w:val="auto"/>
          <w:highlight w:val="none"/>
        </w:rPr>
        <w:fldChar w:fldCharType="end"/>
      </w:r>
      <w:r>
        <w:rPr>
          <w:rFonts w:hint="default"/>
          <w:color w:val="auto"/>
          <w:highlight w:val="none"/>
        </w:rPr>
        <w:t xml:space="preserve"> </w:t>
      </w:r>
      <w:r>
        <w:rPr>
          <w:color w:val="auto"/>
          <w:highlight w:val="none"/>
        </w:rPr>
        <w:t>。</w:t>
      </w:r>
    </w:p>
    <w:p w14:paraId="0F167491">
      <w:pPr>
        <w:pStyle w:val="15"/>
        <w:keepNext w:val="0"/>
        <w:keepLines w:val="0"/>
        <w:pageBreakBefore w:val="0"/>
        <w:numPr>
          <w:ilvl w:val="0"/>
          <w:numId w:val="34"/>
        </w:numPr>
        <w:kinsoku/>
        <w:wordWrap/>
        <w:overflowPunct/>
        <w:topLinePunct w:val="0"/>
        <w:bidi w:val="0"/>
        <w:adjustRightInd/>
        <w:snapToGrid/>
        <w:spacing w:line="360" w:lineRule="auto"/>
        <w:ind w:left="0" w:leftChars="0" w:right="0" w:firstLine="482" w:firstLineChars="200"/>
        <w:jc w:val="left"/>
        <w:textAlignment w:val="auto"/>
        <w:rPr>
          <w:rFonts w:hAnsi="宋体" w:cs="宋体"/>
          <w:b/>
          <w:bCs/>
          <w:color w:val="auto"/>
          <w:sz w:val="24"/>
          <w:highlight w:val="none"/>
        </w:rPr>
      </w:pPr>
      <w:r>
        <w:rPr>
          <w:rFonts w:hAnsi="宋体" w:cs="宋体"/>
          <w:b/>
          <w:bCs/>
          <w:color w:val="auto"/>
          <w:sz w:val="24"/>
          <w:highlight w:val="none"/>
        </w:rPr>
        <w:t>开标程序：</w:t>
      </w:r>
    </w:p>
    <w:p w14:paraId="6DA6D035">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开标由采购代理机构工作人员主持</w:t>
      </w:r>
      <w:r>
        <w:rPr>
          <w:rFonts w:hint="eastAsia" w:ascii="宋体" w:hAnsi="宋体" w:cs="宋体"/>
          <w:color w:val="auto"/>
          <w:sz w:val="24"/>
          <w:highlight w:val="none"/>
        </w:rPr>
        <w:t>。</w:t>
      </w:r>
    </w:p>
    <w:p w14:paraId="347840A4">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投标人</w:t>
      </w:r>
      <w:r>
        <w:rPr>
          <w:rFonts w:hint="eastAsia" w:ascii="宋体" w:hAnsi="宋体" w:cs="宋体"/>
          <w:color w:val="auto"/>
          <w:sz w:val="24"/>
          <w:highlight w:val="none"/>
        </w:rPr>
        <w:t>可</w:t>
      </w:r>
      <w:r>
        <w:rPr>
          <w:rFonts w:ascii="宋体" w:hAnsi="宋体" w:cs="宋体"/>
          <w:color w:val="auto"/>
          <w:sz w:val="24"/>
          <w:highlight w:val="none"/>
        </w:rPr>
        <w:t>进行在线</w:t>
      </w:r>
      <w:r>
        <w:rPr>
          <w:rFonts w:hint="eastAsia" w:ascii="宋体" w:hAnsi="宋体" w:cs="宋体"/>
          <w:color w:val="auto"/>
          <w:sz w:val="24"/>
          <w:highlight w:val="none"/>
        </w:rPr>
        <w:t>沟通</w:t>
      </w:r>
      <w:r>
        <w:rPr>
          <w:rFonts w:ascii="宋体" w:hAnsi="宋体" w:cs="宋体"/>
          <w:color w:val="auto"/>
          <w:sz w:val="24"/>
          <w:highlight w:val="none"/>
        </w:rPr>
        <w:t>。</w:t>
      </w:r>
    </w:p>
    <w:p w14:paraId="796B94C0">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采购人依法对资格文件进行审查，评标委员会对技术文件进行评审。</w:t>
      </w:r>
    </w:p>
    <w:p w14:paraId="68B6B151">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技术文件评审完成后，主持人宣告技术文件评审无效投标人名称及理由，公布经技术文件评审符合采购需求的投标人名单以及技术文件得分情况。</w:t>
      </w:r>
    </w:p>
    <w:p w14:paraId="3D34E6DA">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开启各投标人</w:t>
      </w:r>
      <w:r>
        <w:rPr>
          <w:rFonts w:hint="eastAsia" w:ascii="宋体" w:hAnsi="宋体" w:cs="宋体"/>
          <w:color w:val="auto"/>
          <w:sz w:val="24"/>
          <w:highlight w:val="none"/>
        </w:rPr>
        <w:t>商务</w:t>
      </w:r>
      <w:r>
        <w:rPr>
          <w:rFonts w:ascii="宋体" w:hAnsi="宋体" w:cs="宋体"/>
          <w:color w:val="auto"/>
          <w:sz w:val="24"/>
          <w:highlight w:val="none"/>
        </w:rPr>
        <w:t>文件。</w:t>
      </w:r>
    </w:p>
    <w:p w14:paraId="4855CFB1">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lang w:val="zh-CN"/>
        </w:rPr>
      </w:pPr>
      <w:r>
        <w:rPr>
          <w:rFonts w:ascii="宋体" w:hAnsi="宋体" w:cs="宋体"/>
          <w:color w:val="auto"/>
          <w:sz w:val="24"/>
          <w:highlight w:val="none"/>
        </w:rPr>
        <w:t>当场制作并打印开标记录表，由记录人、监督人当场签字确认。唱标结束后，由评标委员会对报价的合理性、准确性等进行审查核实。</w:t>
      </w:r>
    </w:p>
    <w:p w14:paraId="08FB9951">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评标结束后，主持人公布投标</w:t>
      </w:r>
      <w:r>
        <w:rPr>
          <w:rFonts w:hint="eastAsia" w:ascii="宋体" w:hAnsi="宋体" w:cs="宋体"/>
          <w:color w:val="auto"/>
          <w:sz w:val="24"/>
          <w:highlight w:val="none"/>
        </w:rPr>
        <w:t>商务</w:t>
      </w:r>
      <w:r>
        <w:rPr>
          <w:rFonts w:ascii="宋体" w:hAnsi="宋体" w:cs="宋体"/>
          <w:color w:val="auto"/>
          <w:sz w:val="24"/>
          <w:highlight w:val="none"/>
        </w:rPr>
        <w:t>得分、综合得分以及推荐中标候选人排序名单。</w:t>
      </w:r>
    </w:p>
    <w:p w14:paraId="3879C4DA">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开标会议结束。</w:t>
      </w:r>
    </w:p>
    <w:p w14:paraId="593AC17A">
      <w:pPr>
        <w:keepNext w:val="0"/>
        <w:keepLines w:val="0"/>
        <w:pageBreakBefore w:val="0"/>
        <w:numPr>
          <w:ilvl w:val="0"/>
          <w:numId w:val="35"/>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ascii="宋体" w:hAnsi="宋体" w:cs="宋体"/>
          <w:color w:val="auto"/>
          <w:sz w:val="24"/>
          <w:highlight w:val="none"/>
        </w:rPr>
        <w:t>其他注意事项：</w:t>
      </w:r>
    </w:p>
    <w:p w14:paraId="29C256A4">
      <w:pPr>
        <w:keepNext w:val="0"/>
        <w:keepLines w:val="0"/>
        <w:pageBreakBefore w:val="0"/>
        <w:numPr>
          <w:ilvl w:val="0"/>
          <w:numId w:val="36"/>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开标当日，投标人不必抵达开标现场，通过台州湾新区小额工程电子交易平台不见面开标大厅参加开标会议，并根据需要使用开标系统与现场</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 xml:space="preserve">进行互动交流、澄清、质疑等活动。未能在开标会议区内全程参与交互的，视为放弃交互和放弃对开评标全过程提疑的权利。 </w:t>
      </w:r>
    </w:p>
    <w:p w14:paraId="684B557A">
      <w:pPr>
        <w:keepNext w:val="0"/>
        <w:keepLines w:val="0"/>
        <w:pageBreakBefore w:val="0"/>
        <w:numPr>
          <w:ilvl w:val="0"/>
          <w:numId w:val="36"/>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因投标人网络与电源不稳定、未按操作手册要求配置软硬件等自身原因，导致投标文件未在规定时间内上传，视为投标人放弃投标；因</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原因或网上招投标平台发生故障等，导致无法按时完成投标文件解密或开、评标工作无法进行的，可根据实际情况相应延迟解密时间或调整开、评标时间。</w:t>
      </w:r>
    </w:p>
    <w:p w14:paraId="0F0C154C">
      <w:pPr>
        <w:keepNext w:val="0"/>
        <w:keepLines w:val="0"/>
        <w:pageBreakBefore w:val="0"/>
        <w:numPr>
          <w:ilvl w:val="0"/>
          <w:numId w:val="36"/>
        </w:numPr>
        <w:kinsoku/>
        <w:wordWrap/>
        <w:overflowPunct/>
        <w:topLinePunct w:val="0"/>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开评标全过程中，各投标人参与远程交互的授权委托人或法人代表应始终为同一个人，中途不得更换，在唱标、提疑、传送文件等特殊情况下需要交互时，投标人一端参与交互的人员将均被视为</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的授权委托人或法人代表，投标人不得以不承认交互人员的资格或身份等为借口抵赖推脱，投标人自行承担随意更换人员所导致的一切后果。</w:t>
      </w:r>
    </w:p>
    <w:p w14:paraId="48BDD56A">
      <w:pPr>
        <w:keepNext w:val="0"/>
        <w:keepLines w:val="0"/>
        <w:pageBreakBefore w:val="0"/>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ascii="宋体" w:hAnsi="宋体"/>
          <w:b/>
          <w:color w:val="auto"/>
          <w:sz w:val="24"/>
          <w:highlight w:val="none"/>
        </w:rPr>
      </w:pPr>
      <w:r>
        <w:rPr>
          <w:rFonts w:hint="eastAsia" w:ascii="宋体" w:hAnsi="宋体"/>
          <w:b/>
          <w:color w:val="auto"/>
          <w:sz w:val="24"/>
          <w:highlight w:val="none"/>
        </w:rPr>
        <w:t>重要事项说明：</w:t>
      </w:r>
    </w:p>
    <w:p w14:paraId="25D89F06">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开标项目的时间均以国家授时中心发布的时间为准。</w:t>
      </w:r>
    </w:p>
    <w:p w14:paraId="739507D0">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若投标人已申请多把CA锁，请注意使用差别。因ca锁使用错误引发的问题，由投标人自己负责。</w:t>
      </w:r>
    </w:p>
    <w:p w14:paraId="4474FC43">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right="0" w:firstLine="480" w:firstLineChars="200"/>
        <w:jc w:val="left"/>
        <w:textAlignment w:val="auto"/>
        <w:rPr>
          <w:rFonts w:hAnsi="宋体"/>
          <w:bCs/>
          <w:color w:val="auto"/>
          <w:highlight w:val="none"/>
        </w:rPr>
      </w:pPr>
      <w:r>
        <w:rPr>
          <w:rFonts w:hint="eastAsia" w:ascii="宋体" w:hAnsi="宋体" w:cs="宋体"/>
          <w:color w:val="auto"/>
          <w:sz w:val="24"/>
          <w:highlight w:val="none"/>
        </w:rPr>
        <w:t>如有疑问，请咨询平台技术服务电话：蔡先生，13454667697；王女士，13757680207。QQ “台州湾新区小额工程交易平台交流”（群号：435057190），进行业务咨询。此群也作为不见面开标的备用远程交互群。</w:t>
      </w:r>
    </w:p>
    <w:p w14:paraId="4D9A6F14">
      <w:pPr>
        <w:keepNext w:val="0"/>
        <w:keepLines w:val="0"/>
        <w:pageBreakBefore w:val="0"/>
        <w:numPr>
          <w:ilvl w:val="0"/>
          <w:numId w:val="34"/>
        </w:numPr>
        <w:kinsoku/>
        <w:wordWrap/>
        <w:overflowPunct/>
        <w:topLinePunct w:val="0"/>
        <w:bidi w:val="0"/>
        <w:adjustRightInd/>
        <w:snapToGrid/>
        <w:spacing w:line="360" w:lineRule="auto"/>
        <w:ind w:left="0" w:leftChars="0" w:right="0" w:firstLine="482" w:firstLineChars="200"/>
        <w:jc w:val="left"/>
        <w:textAlignment w:val="auto"/>
        <w:rPr>
          <w:rFonts w:ascii="宋体" w:hAnsi="宋体"/>
          <w:b/>
          <w:bCs/>
          <w:color w:val="auto"/>
          <w:kern w:val="0"/>
          <w:sz w:val="24"/>
          <w:highlight w:val="none"/>
        </w:rPr>
      </w:pPr>
      <w:r>
        <w:rPr>
          <w:rFonts w:hint="eastAsia" w:ascii="宋体" w:hAnsi="宋体"/>
          <w:b/>
          <w:bCs/>
          <w:color w:val="auto"/>
          <w:kern w:val="0"/>
          <w:sz w:val="24"/>
          <w:highlight w:val="none"/>
        </w:rPr>
        <w:t>异常情况处理：</w:t>
      </w:r>
    </w:p>
    <w:p w14:paraId="2DB57289">
      <w:pPr>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采购过程中出现以下情形，导致电子交易平台无法正常运行，或者无法保证电子交易的公平、公正和安全时，采购组织机构可中止电子交易活动：</w:t>
      </w:r>
    </w:p>
    <w:p w14:paraId="669F87D4">
      <w:pPr>
        <w:keepNext w:val="0"/>
        <w:keepLines w:val="0"/>
        <w:pageBreakBefore w:val="0"/>
        <w:numPr>
          <w:ilvl w:val="0"/>
          <w:numId w:val="38"/>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电子交易平台发生故障而无法登录访问的；</w:t>
      </w:r>
    </w:p>
    <w:p w14:paraId="6055F639">
      <w:pPr>
        <w:keepNext w:val="0"/>
        <w:keepLines w:val="0"/>
        <w:pageBreakBefore w:val="0"/>
        <w:numPr>
          <w:ilvl w:val="0"/>
          <w:numId w:val="38"/>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电子交易平台应用或数据库出现错误，不能进行正常操作的；</w:t>
      </w:r>
    </w:p>
    <w:p w14:paraId="2F84C78D">
      <w:pPr>
        <w:keepNext w:val="0"/>
        <w:keepLines w:val="0"/>
        <w:pageBreakBefore w:val="0"/>
        <w:numPr>
          <w:ilvl w:val="0"/>
          <w:numId w:val="38"/>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电子交易平台发现严重安全漏洞，有潜在泄密危险的；</w:t>
      </w:r>
    </w:p>
    <w:p w14:paraId="1A6F5CE9">
      <w:pPr>
        <w:keepNext w:val="0"/>
        <w:keepLines w:val="0"/>
        <w:pageBreakBefore w:val="0"/>
        <w:numPr>
          <w:ilvl w:val="0"/>
          <w:numId w:val="38"/>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病毒发作导致不能进行正常操作的；</w:t>
      </w:r>
    </w:p>
    <w:p w14:paraId="5BA04ECC">
      <w:pPr>
        <w:keepNext w:val="0"/>
        <w:keepLines w:val="0"/>
        <w:pageBreakBefore w:val="0"/>
        <w:numPr>
          <w:ilvl w:val="0"/>
          <w:numId w:val="38"/>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其他无法保证电子交易的公平、公正和安全的情况。</w:t>
      </w:r>
    </w:p>
    <w:p w14:paraId="62241D46">
      <w:pPr>
        <w:pStyle w:val="6"/>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出现前款规定情形，不影响采购公平、公正性的，采购组织机构可以待上述情形消除后继续组织电子交易活动。</w:t>
      </w:r>
    </w:p>
    <w:p w14:paraId="571F7118">
      <w:pPr>
        <w:pStyle w:val="6"/>
        <w:keepNext w:val="0"/>
        <w:keepLines w:val="0"/>
        <w:pageBreakBefore w:val="0"/>
        <w:numPr>
          <w:ilvl w:val="0"/>
          <w:numId w:val="34"/>
        </w:numPr>
        <w:kinsoku/>
        <w:wordWrap/>
        <w:overflowPunct/>
        <w:topLinePunct w:val="0"/>
        <w:bidi w:val="0"/>
        <w:adjustRightInd/>
        <w:snapToGrid/>
        <w:spacing w:line="360" w:lineRule="auto"/>
        <w:ind w:left="0" w:leftChars="0" w:right="0" w:firstLine="482" w:firstLineChars="200"/>
        <w:jc w:val="left"/>
        <w:textAlignment w:val="auto"/>
        <w:rPr>
          <w:b/>
          <w:bCs/>
          <w:color w:val="auto"/>
          <w:sz w:val="24"/>
          <w:szCs w:val="22"/>
          <w:highlight w:val="none"/>
        </w:rPr>
      </w:pPr>
      <w:r>
        <w:rPr>
          <w:rFonts w:hint="eastAsia"/>
          <w:b/>
          <w:bCs/>
          <w:color w:val="auto"/>
          <w:sz w:val="24"/>
          <w:szCs w:val="22"/>
          <w:highlight w:val="none"/>
        </w:rPr>
        <w:t>开标异议</w:t>
      </w:r>
    </w:p>
    <w:p w14:paraId="6CF69729">
      <w:pPr>
        <w:pStyle w:val="6"/>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color w:val="auto"/>
          <w:sz w:val="24"/>
          <w:szCs w:val="22"/>
          <w:highlight w:val="none"/>
        </w:rPr>
      </w:pPr>
      <w:r>
        <w:rPr>
          <w:rFonts w:hint="eastAsia"/>
          <w:color w:val="auto"/>
          <w:sz w:val="24"/>
          <w:szCs w:val="22"/>
          <w:highlight w:val="none"/>
        </w:rPr>
        <w:t>投标人代表对开标过程和开标记录有疑义，以及认为采购人、采购组织机构相关工作人员有需要回避的情形的，应当场提出询问或者回避申请，开标会议结束后不再接受相关询问、质疑或者回避申请。</w:t>
      </w:r>
    </w:p>
    <w:p w14:paraId="30EF4D04">
      <w:pPr>
        <w:pStyle w:val="6"/>
        <w:keepNext w:val="0"/>
        <w:keepLines w:val="0"/>
        <w:pageBreakBefore w:val="0"/>
        <w:numPr>
          <w:ilvl w:val="0"/>
          <w:numId w:val="34"/>
        </w:numPr>
        <w:kinsoku/>
        <w:wordWrap/>
        <w:overflowPunct/>
        <w:topLinePunct w:val="0"/>
        <w:bidi w:val="0"/>
        <w:adjustRightInd/>
        <w:snapToGrid/>
        <w:spacing w:line="360" w:lineRule="auto"/>
        <w:ind w:left="0" w:leftChars="0" w:right="0" w:firstLine="482" w:firstLineChars="200"/>
        <w:jc w:val="left"/>
        <w:textAlignment w:val="auto"/>
        <w:rPr>
          <w:b/>
          <w:bCs/>
          <w:color w:val="auto"/>
          <w:sz w:val="24"/>
          <w:szCs w:val="22"/>
          <w:highlight w:val="none"/>
        </w:rPr>
      </w:pPr>
      <w:r>
        <w:rPr>
          <w:rFonts w:hint="eastAsia"/>
          <w:b/>
          <w:bCs/>
          <w:color w:val="auto"/>
          <w:sz w:val="24"/>
          <w:szCs w:val="22"/>
          <w:highlight w:val="none"/>
        </w:rPr>
        <w:t>投标人不足三家，不得开标。</w:t>
      </w:r>
    </w:p>
    <w:p w14:paraId="5A9CCDC3">
      <w:pPr>
        <w:pStyle w:val="15"/>
        <w:keepNext w:val="0"/>
        <w:keepLines w:val="0"/>
        <w:pageBreakBefore w:val="0"/>
        <w:numPr>
          <w:ilvl w:val="0"/>
          <w:numId w:val="18"/>
        </w:numPr>
        <w:kinsoku/>
        <w:wordWrap/>
        <w:overflowPunct/>
        <w:topLinePunct w:val="0"/>
        <w:bidi w:val="0"/>
        <w:adjustRightInd/>
        <w:snapToGrid/>
        <w:spacing w:line="360" w:lineRule="auto"/>
        <w:ind w:left="0" w:leftChars="0" w:right="0" w:firstLine="482" w:firstLineChars="200"/>
        <w:jc w:val="left"/>
        <w:textAlignment w:val="auto"/>
        <w:rPr>
          <w:rFonts w:asciiTheme="minorEastAsia" w:hAnsiTheme="minorEastAsia"/>
          <w:b/>
          <w:color w:val="auto"/>
          <w:sz w:val="24"/>
          <w:highlight w:val="none"/>
        </w:rPr>
      </w:pPr>
      <w:r>
        <w:rPr>
          <w:rFonts w:hint="eastAsia" w:asciiTheme="minorEastAsia" w:hAnsiTheme="minorEastAsia" w:eastAsiaTheme="minorEastAsia"/>
          <w:b/>
          <w:color w:val="auto"/>
          <w:sz w:val="24"/>
          <w:highlight w:val="none"/>
        </w:rPr>
        <w:t>评标（详见第四章）</w:t>
      </w:r>
    </w:p>
    <w:p w14:paraId="6069B53D">
      <w:pPr>
        <w:pStyle w:val="23"/>
        <w:keepNext w:val="0"/>
        <w:keepLines w:val="0"/>
        <w:pageBreakBefore w:val="0"/>
        <w:numPr>
          <w:ilvl w:val="0"/>
          <w:numId w:val="18"/>
        </w:numPr>
        <w:kinsoku/>
        <w:wordWrap/>
        <w:overflowPunct/>
        <w:topLinePunct w:val="0"/>
        <w:bidi w:val="0"/>
        <w:adjustRightInd/>
        <w:snapToGrid/>
        <w:spacing w:before="0" w:beforeAutospacing="0" w:after="0" w:afterAutospacing="0" w:line="360" w:lineRule="auto"/>
        <w:ind w:left="0" w:leftChars="0" w:right="0" w:firstLine="482" w:firstLineChars="200"/>
        <w:jc w:val="left"/>
        <w:textAlignment w:val="auto"/>
        <w:rPr>
          <w:rFonts w:hint="default" w:asciiTheme="minorEastAsia" w:hAnsiTheme="minorEastAsia" w:eastAsiaTheme="minorEastAsia"/>
          <w:b/>
          <w:color w:val="auto"/>
          <w:highlight w:val="none"/>
        </w:rPr>
      </w:pPr>
      <w:r>
        <w:rPr>
          <w:rFonts w:asciiTheme="minorEastAsia" w:hAnsiTheme="minorEastAsia" w:eastAsiaTheme="minorEastAsia"/>
          <w:b/>
          <w:color w:val="auto"/>
          <w:highlight w:val="none"/>
        </w:rPr>
        <w:t>定标</w:t>
      </w:r>
    </w:p>
    <w:p w14:paraId="66A933C1">
      <w:pPr>
        <w:keepNext w:val="0"/>
        <w:keepLines w:val="0"/>
        <w:pageBreakBefore w:val="0"/>
        <w:numPr>
          <w:ilvl w:val="0"/>
          <w:numId w:val="39"/>
        </w:numPr>
        <w:kinsoku/>
        <w:wordWrap/>
        <w:overflowPunct/>
        <w:topLinePunct w:val="0"/>
        <w:bidi w:val="0"/>
        <w:adjustRightInd/>
        <w:snapToGrid/>
        <w:spacing w:line="360" w:lineRule="auto"/>
        <w:ind w:left="0" w:leftChars="0" w:right="0" w:firstLine="482" w:firstLineChars="200"/>
        <w:jc w:val="left"/>
        <w:textAlignment w:val="auto"/>
        <w:rPr>
          <w:rFonts w:ascii="宋体" w:hAnsi="宋体"/>
          <w:b/>
          <w:bCs/>
          <w:color w:val="auto"/>
          <w:kern w:val="0"/>
          <w:sz w:val="24"/>
          <w:highlight w:val="none"/>
        </w:rPr>
      </w:pPr>
      <w:r>
        <w:rPr>
          <w:rFonts w:hint="eastAsia" w:ascii="宋体" w:hAnsi="宋体"/>
          <w:b/>
          <w:bCs/>
          <w:color w:val="auto"/>
          <w:kern w:val="0"/>
          <w:sz w:val="24"/>
          <w:highlight w:val="none"/>
        </w:rPr>
        <w:t>发布</w:t>
      </w:r>
      <w:r>
        <w:rPr>
          <w:b/>
          <w:bCs/>
          <w:color w:val="auto"/>
          <w:sz w:val="24"/>
          <w:highlight w:val="none"/>
        </w:rPr>
        <w:t>中标</w:t>
      </w:r>
      <w:r>
        <w:rPr>
          <w:rFonts w:hint="eastAsia" w:ascii="宋体" w:hAnsi="宋体"/>
          <w:b/>
          <w:bCs/>
          <w:color w:val="auto"/>
          <w:kern w:val="0"/>
          <w:sz w:val="24"/>
          <w:highlight w:val="none"/>
        </w:rPr>
        <w:t>结果公示</w:t>
      </w:r>
    </w:p>
    <w:p w14:paraId="7987D68A">
      <w:pPr>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kern w:val="0"/>
          <w:sz w:val="24"/>
          <w:highlight w:val="none"/>
        </w:rPr>
      </w:pPr>
      <w:r>
        <w:rPr>
          <w:rFonts w:hint="eastAsia" w:ascii="宋体" w:hAnsi="宋体"/>
          <w:color w:val="auto"/>
          <w:kern w:val="0"/>
          <w:sz w:val="24"/>
          <w:highlight w:val="none"/>
        </w:rPr>
        <w:t>评标委员会推荐综合得分从高到低排名第一的为第一中标候选人，综合得分从高到低排名第二的为第二中标候选人，如综合得分相同的，则现场抽签确定名次。</w:t>
      </w:r>
    </w:p>
    <w:p w14:paraId="732CE730">
      <w:pPr>
        <w:pStyle w:val="23"/>
        <w:keepNext w:val="0"/>
        <w:keepLines w:val="0"/>
        <w:pageBreakBefore w:val="0"/>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color w:val="auto"/>
          <w:highlight w:val="none"/>
        </w:rPr>
      </w:pPr>
      <w:r>
        <w:rPr>
          <w:color w:val="auto"/>
          <w:highlight w:val="none"/>
        </w:rPr>
        <w:t>采购组织机构自中标候选人确定之日起3日内，在</w:t>
      </w:r>
      <w:r>
        <w:rPr>
          <w:rFonts w:hint="eastAsia"/>
          <w:color w:val="auto"/>
          <w:highlight w:val="none"/>
          <w:lang w:eastAsia="zh-CN"/>
        </w:rPr>
        <w:t>浙江政府采购网</w:t>
      </w:r>
      <w:r>
        <w:rPr>
          <w:color w:val="auto"/>
          <w:highlight w:val="none"/>
        </w:rPr>
        <w:t>和</w:t>
      </w:r>
      <w:r>
        <w:rPr>
          <w:rFonts w:cs="宋体"/>
          <w:color w:val="auto"/>
          <w:highlight w:val="none"/>
        </w:rPr>
        <w:t>台州湾新区小额工程电子交易平台</w:t>
      </w:r>
      <w:r>
        <w:rPr>
          <w:rFonts w:hint="eastAsia" w:cs="宋体"/>
          <w:color w:val="auto"/>
          <w:highlight w:val="none"/>
          <w:lang w:val="en-US" w:eastAsia="zh-CN"/>
        </w:rPr>
        <w:t>进行</w:t>
      </w:r>
      <w:r>
        <w:rPr>
          <w:color w:val="auto"/>
          <w:highlight w:val="none"/>
        </w:rPr>
        <w:t>中标</w:t>
      </w:r>
      <w:r>
        <w:rPr>
          <w:rFonts w:hint="eastAsia"/>
          <w:color w:val="auto"/>
          <w:highlight w:val="none"/>
          <w:lang w:val="en-US" w:eastAsia="zh-CN"/>
        </w:rPr>
        <w:t>候选人公示</w:t>
      </w:r>
      <w:r>
        <w:rPr>
          <w:color w:val="auto"/>
          <w:highlight w:val="none"/>
        </w:rPr>
        <w:t>，公示期</w:t>
      </w:r>
      <w:r>
        <w:rPr>
          <w:rFonts w:hint="eastAsia"/>
          <w:color w:val="auto"/>
          <w:highlight w:val="none"/>
          <w:lang w:val="en-US" w:eastAsia="zh-CN"/>
        </w:rPr>
        <w:t>不少于</w:t>
      </w:r>
      <w:r>
        <w:rPr>
          <w:color w:val="auto"/>
          <w:highlight w:val="none"/>
        </w:rPr>
        <w:t>3日。</w:t>
      </w:r>
    </w:p>
    <w:p w14:paraId="3CB53C35">
      <w:pPr>
        <w:pStyle w:val="23"/>
        <w:keepNext w:val="0"/>
        <w:keepLines w:val="0"/>
        <w:pageBreakBefore w:val="0"/>
        <w:numPr>
          <w:ilvl w:val="0"/>
          <w:numId w:val="39"/>
        </w:numPr>
        <w:kinsoku/>
        <w:wordWrap/>
        <w:overflowPunct/>
        <w:topLinePunct w:val="0"/>
        <w:bidi w:val="0"/>
        <w:adjustRightInd/>
        <w:snapToGrid/>
        <w:spacing w:before="0" w:beforeAutospacing="0" w:after="0" w:afterAutospacing="0" w:line="360" w:lineRule="auto"/>
        <w:ind w:left="0" w:leftChars="0" w:right="0" w:firstLine="482" w:firstLineChars="200"/>
        <w:jc w:val="left"/>
        <w:textAlignment w:val="auto"/>
        <w:rPr>
          <w:rFonts w:hint="default"/>
          <w:b/>
          <w:bCs/>
          <w:color w:val="auto"/>
          <w:highlight w:val="none"/>
        </w:rPr>
      </w:pPr>
      <w:r>
        <w:rPr>
          <w:b/>
          <w:bCs/>
          <w:color w:val="auto"/>
          <w:highlight w:val="none"/>
        </w:rPr>
        <w:t>确定中标人</w:t>
      </w:r>
    </w:p>
    <w:p w14:paraId="1DE0EA60">
      <w:pPr>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kern w:val="0"/>
          <w:sz w:val="24"/>
          <w:highlight w:val="none"/>
        </w:rPr>
      </w:pPr>
      <w:r>
        <w:rPr>
          <w:rFonts w:hint="eastAsia" w:ascii="宋体" w:hAnsi="宋体"/>
          <w:color w:val="auto"/>
          <w:kern w:val="0"/>
          <w:sz w:val="24"/>
          <w:highlight w:val="none"/>
        </w:rPr>
        <w:t>本项目确定一名中标人，公示期满后，采购人应确定本项目第一中标候选人为本项目中标人。</w:t>
      </w:r>
    </w:p>
    <w:p w14:paraId="4FC9443F">
      <w:pPr>
        <w:pStyle w:val="9"/>
        <w:keepNext w:val="0"/>
        <w:keepLines w:val="0"/>
        <w:pageBreakBefore w:val="0"/>
        <w:numPr>
          <w:ilvl w:val="0"/>
          <w:numId w:val="39"/>
        </w:numPr>
        <w:kinsoku/>
        <w:wordWrap/>
        <w:overflowPunct/>
        <w:topLinePunct w:val="0"/>
        <w:bidi w:val="0"/>
        <w:adjustRightInd/>
        <w:snapToGrid/>
        <w:spacing w:line="360" w:lineRule="auto"/>
        <w:ind w:left="0" w:leftChars="0" w:right="0" w:firstLine="482" w:firstLineChars="200"/>
        <w:jc w:val="left"/>
        <w:textAlignment w:val="auto"/>
        <w:rPr>
          <w:b/>
          <w:bCs/>
          <w:color w:val="auto"/>
          <w:sz w:val="24"/>
          <w:highlight w:val="none"/>
        </w:rPr>
      </w:pPr>
      <w:r>
        <w:rPr>
          <w:rFonts w:hint="eastAsia"/>
          <w:b/>
          <w:bCs/>
          <w:color w:val="auto"/>
          <w:sz w:val="24"/>
          <w:highlight w:val="none"/>
        </w:rPr>
        <w:t>发放中标通知书</w:t>
      </w:r>
    </w:p>
    <w:p w14:paraId="37390BAB">
      <w:pPr>
        <w:pStyle w:val="10"/>
        <w:keepNext w:val="0"/>
        <w:keepLines w:val="0"/>
        <w:pageBreakBefore w:val="0"/>
        <w:tabs>
          <w:tab w:val="left" w:pos="574"/>
        </w:tabs>
        <w:kinsoku/>
        <w:wordWrap/>
        <w:overflowPunct/>
        <w:topLinePunct w:val="0"/>
        <w:bidi w:val="0"/>
        <w:adjustRightInd/>
        <w:snapToGrid/>
        <w:spacing w:line="360" w:lineRule="auto"/>
        <w:ind w:left="0" w:leftChars="0" w:right="0" w:firstLine="480" w:firstLineChars="200"/>
        <w:jc w:val="left"/>
        <w:textAlignment w:val="auto"/>
        <w:rPr>
          <w:color w:val="auto"/>
          <w:highlight w:val="none"/>
        </w:rPr>
      </w:pPr>
      <w:r>
        <w:rPr>
          <w:rFonts w:hint="eastAsia"/>
          <w:color w:val="auto"/>
          <w:szCs w:val="32"/>
          <w:highlight w:val="none"/>
        </w:rPr>
        <w:t>采购人应当确定第一中标候选人为中标人。如涉及第二中标候选人和其他投标人资格无效的，评标结果不作调整。</w:t>
      </w:r>
    </w:p>
    <w:p w14:paraId="1D452BB4">
      <w:pPr>
        <w:pStyle w:val="10"/>
        <w:keepNext w:val="0"/>
        <w:keepLines w:val="0"/>
        <w:pageBreakBefore w:val="0"/>
        <w:tabs>
          <w:tab w:val="left" w:pos="574"/>
        </w:tabs>
        <w:kinsoku/>
        <w:wordWrap/>
        <w:overflowPunct/>
        <w:topLinePunct w:val="0"/>
        <w:bidi w:val="0"/>
        <w:adjustRightInd/>
        <w:snapToGrid/>
        <w:spacing w:line="360" w:lineRule="auto"/>
        <w:ind w:left="0" w:leftChars="0" w:right="0" w:firstLine="480" w:firstLineChars="200"/>
        <w:jc w:val="left"/>
        <w:textAlignment w:val="auto"/>
        <w:rPr>
          <w:color w:val="auto"/>
          <w:highlight w:val="none"/>
        </w:rPr>
      </w:pPr>
      <w:r>
        <w:rPr>
          <w:rFonts w:hint="eastAsia"/>
          <w:color w:val="auto"/>
          <w:szCs w:val="32"/>
          <w:highlight w:val="none"/>
        </w:rPr>
        <w:t>第一中标候选人放弃中标，或者因不可抗力提出不能履行合同，或者因违反规定造成其资格无效的，</w:t>
      </w:r>
      <w:r>
        <w:rPr>
          <w:rFonts w:hint="eastAsia"/>
          <w:color w:val="auto"/>
          <w:szCs w:val="32"/>
          <w:highlight w:val="none"/>
          <w:lang w:eastAsia="zh-CN"/>
        </w:rPr>
        <w:t>采购人</w:t>
      </w:r>
      <w:r>
        <w:rPr>
          <w:rFonts w:hint="eastAsia"/>
          <w:color w:val="auto"/>
          <w:szCs w:val="32"/>
          <w:highlight w:val="none"/>
        </w:rPr>
        <w:t>可以确定第二中标候选人为中标人。如涉及其他投标人资格无效的，评标结果不作调整。如第二中标候选人存在上述同样情形的，本次招标失败，重新组织招标。</w:t>
      </w:r>
    </w:p>
    <w:p w14:paraId="2B2D5980">
      <w:pPr>
        <w:pStyle w:val="10"/>
        <w:keepNext w:val="0"/>
        <w:keepLines w:val="0"/>
        <w:pageBreakBefore w:val="0"/>
        <w:tabs>
          <w:tab w:val="left" w:pos="574"/>
        </w:tabs>
        <w:kinsoku/>
        <w:wordWrap/>
        <w:overflowPunct/>
        <w:topLinePunct w:val="0"/>
        <w:bidi w:val="0"/>
        <w:adjustRightInd/>
        <w:snapToGrid/>
        <w:spacing w:line="360" w:lineRule="auto"/>
        <w:ind w:left="0" w:leftChars="0" w:right="0" w:firstLine="480" w:firstLineChars="200"/>
        <w:jc w:val="left"/>
        <w:textAlignment w:val="auto"/>
        <w:rPr>
          <w:color w:val="auto"/>
          <w:highlight w:val="none"/>
        </w:rPr>
      </w:pPr>
      <w:r>
        <w:rPr>
          <w:rFonts w:hint="eastAsia"/>
          <w:color w:val="auto"/>
          <w:szCs w:val="32"/>
          <w:highlight w:val="none"/>
        </w:rPr>
        <w:t>中标人确定后，采购人应当向中标人发出《中标通知书》。</w:t>
      </w:r>
    </w:p>
    <w:p w14:paraId="66698092">
      <w:pPr>
        <w:pStyle w:val="10"/>
        <w:keepNext w:val="0"/>
        <w:keepLines w:val="0"/>
        <w:pageBreakBefore w:val="0"/>
        <w:tabs>
          <w:tab w:val="left" w:pos="574"/>
        </w:tabs>
        <w:kinsoku/>
        <w:wordWrap/>
        <w:overflowPunct/>
        <w:topLinePunct w:val="0"/>
        <w:bidi w:val="0"/>
        <w:adjustRightInd/>
        <w:snapToGrid/>
        <w:spacing w:line="360" w:lineRule="auto"/>
        <w:ind w:left="0" w:leftChars="0" w:right="0" w:firstLine="480" w:firstLineChars="200"/>
        <w:jc w:val="left"/>
        <w:textAlignment w:val="auto"/>
        <w:rPr>
          <w:color w:val="auto"/>
          <w:szCs w:val="32"/>
          <w:highlight w:val="none"/>
        </w:rPr>
      </w:pPr>
      <w:r>
        <w:rPr>
          <w:rFonts w:hint="eastAsia"/>
          <w:color w:val="auto"/>
          <w:szCs w:val="32"/>
          <w:highlight w:val="none"/>
        </w:rPr>
        <w:t>《中标通知书》对采购人和中标人具有法律约束力。《中标通知书》发出后，如中标人因违反法律法规规定而中标无效的，应承担相应的法律责任，本次招标失败，应重新组织招标。</w:t>
      </w:r>
    </w:p>
    <w:p w14:paraId="60A89142">
      <w:pPr>
        <w:keepNext w:val="0"/>
        <w:keepLines w:val="0"/>
        <w:pageBreakBefore w:val="0"/>
        <w:numPr>
          <w:ilvl w:val="0"/>
          <w:numId w:val="18"/>
        </w:numPr>
        <w:kinsoku/>
        <w:wordWrap/>
        <w:overflowPunct/>
        <w:topLinePunct w:val="0"/>
        <w:bidi w:val="0"/>
        <w:adjustRightInd/>
        <w:snapToGrid/>
        <w:spacing w:line="360" w:lineRule="auto"/>
        <w:ind w:left="0" w:leftChars="0" w:right="0" w:firstLine="482" w:firstLineChars="200"/>
        <w:jc w:val="left"/>
        <w:textAlignment w:val="auto"/>
        <w:rPr>
          <w:rFonts w:ascii="宋体" w:hAnsi="宋体"/>
          <w:color w:val="auto"/>
          <w:kern w:val="0"/>
          <w:sz w:val="24"/>
          <w:highlight w:val="none"/>
        </w:rPr>
      </w:pPr>
      <w:r>
        <w:rPr>
          <w:rFonts w:hint="eastAsia" w:ascii="宋体" w:hAnsi="宋体"/>
          <w:b/>
          <w:color w:val="auto"/>
          <w:kern w:val="0"/>
          <w:sz w:val="24"/>
          <w:highlight w:val="none"/>
        </w:rPr>
        <w:t>合同签订</w:t>
      </w:r>
    </w:p>
    <w:p w14:paraId="1CF828DA">
      <w:pPr>
        <w:pStyle w:val="23"/>
        <w:keepNext w:val="0"/>
        <w:keepLines w:val="0"/>
        <w:pageBreakBefore w:val="0"/>
        <w:numPr>
          <w:ilvl w:val="0"/>
          <w:numId w:val="40"/>
        </w:numPr>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采购人应当自中标通知书发出之日起</w:t>
      </w: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lang w:eastAsia="zh-CN"/>
        </w:rPr>
        <w:t>0日内</w:t>
      </w:r>
      <w:r>
        <w:rPr>
          <w:rFonts w:asciiTheme="minorEastAsia" w:hAnsiTheme="minorEastAsia" w:eastAsiaTheme="minorEastAsia" w:cstheme="minorEastAsia"/>
          <w:color w:val="auto"/>
          <w:highlight w:val="none"/>
        </w:rPr>
        <w:t>，按照招标文件和中标人投标文件内容要求，与中标人签订合同。所签订的合同不得对招标文件确定的事项和中标人投标文件作实质性修改。</w:t>
      </w:r>
    </w:p>
    <w:p w14:paraId="0F2C2574">
      <w:pPr>
        <w:pStyle w:val="23"/>
        <w:keepNext w:val="0"/>
        <w:keepLines w:val="0"/>
        <w:pageBreakBefore w:val="0"/>
        <w:numPr>
          <w:ilvl w:val="0"/>
          <w:numId w:val="40"/>
        </w:numPr>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采购人不得向中标人提出任何不合理的要求作为签订合同的条件。</w:t>
      </w:r>
    </w:p>
    <w:p w14:paraId="302C85CC">
      <w:pPr>
        <w:pStyle w:val="23"/>
        <w:keepNext w:val="0"/>
        <w:keepLines w:val="0"/>
        <w:pageBreakBefore w:val="0"/>
        <w:numPr>
          <w:ilvl w:val="0"/>
          <w:numId w:val="40"/>
        </w:numPr>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中标人无故拖延、拒签合同的，将取消中标资格。</w:t>
      </w:r>
    </w:p>
    <w:p w14:paraId="0D77BBA8">
      <w:pPr>
        <w:pStyle w:val="23"/>
        <w:keepNext w:val="0"/>
        <w:keepLines w:val="0"/>
        <w:pageBreakBefore w:val="0"/>
        <w:numPr>
          <w:ilvl w:val="0"/>
          <w:numId w:val="40"/>
        </w:numPr>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14:paraId="519163AC">
      <w:pPr>
        <w:pStyle w:val="23"/>
        <w:keepNext w:val="0"/>
        <w:keepLines w:val="0"/>
        <w:pageBreakBefore w:val="0"/>
        <w:numPr>
          <w:ilvl w:val="0"/>
          <w:numId w:val="40"/>
        </w:numPr>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询问或者质疑事项可能影响中标结果的，采购人应当暂停签订合同，已经签订合同的，应当中止履行合同。</w:t>
      </w:r>
    </w:p>
    <w:p w14:paraId="7F90B1CB">
      <w:pPr>
        <w:pStyle w:val="9"/>
        <w:keepNext w:val="0"/>
        <w:keepLines w:val="0"/>
        <w:pageBreakBefore w:val="0"/>
        <w:numPr>
          <w:ilvl w:val="0"/>
          <w:numId w:val="18"/>
        </w:numPr>
        <w:kinsoku/>
        <w:wordWrap/>
        <w:overflowPunct/>
        <w:topLinePunct w:val="0"/>
        <w:bidi w:val="0"/>
        <w:adjustRightInd/>
        <w:snapToGrid/>
        <w:spacing w:line="360" w:lineRule="auto"/>
        <w:ind w:left="0" w:leftChars="0" w:right="0" w:firstLine="482" w:firstLineChars="200"/>
        <w:jc w:val="left"/>
        <w:textAlignment w:val="auto"/>
        <w:rPr>
          <w:rFonts w:ascii="宋体" w:hAnsi="宋体"/>
          <w:b/>
          <w:bCs/>
          <w:color w:val="auto"/>
          <w:sz w:val="24"/>
          <w:highlight w:val="none"/>
        </w:rPr>
      </w:pPr>
      <w:r>
        <w:rPr>
          <w:rFonts w:hint="eastAsia" w:ascii="宋体" w:hAnsi="宋体"/>
          <w:b/>
          <w:bCs/>
          <w:color w:val="auto"/>
          <w:sz w:val="24"/>
          <w:highlight w:val="none"/>
        </w:rPr>
        <w:t>询问、质疑与投诉</w:t>
      </w:r>
    </w:p>
    <w:p w14:paraId="6A2E1D44">
      <w:pPr>
        <w:pStyle w:val="9"/>
        <w:keepNext w:val="0"/>
        <w:keepLines w:val="0"/>
        <w:pageBreakBefore w:val="0"/>
        <w:numPr>
          <w:ilvl w:val="0"/>
          <w:numId w:val="41"/>
        </w:numPr>
        <w:kinsoku/>
        <w:wordWrap/>
        <w:overflowPunct/>
        <w:topLinePunct w:val="0"/>
        <w:bidi w:val="0"/>
        <w:adjustRightInd/>
        <w:snapToGrid/>
        <w:spacing w:line="360" w:lineRule="auto"/>
        <w:ind w:left="0" w:leftChars="0" w:right="0" w:firstLine="482" w:firstLineChars="200"/>
        <w:jc w:val="left"/>
        <w:textAlignment w:val="auto"/>
        <w:rPr>
          <w:rFonts w:ascii="宋体" w:hAnsi="宋体"/>
          <w:b/>
          <w:bCs/>
          <w:color w:val="auto"/>
          <w:sz w:val="24"/>
          <w:highlight w:val="none"/>
        </w:rPr>
      </w:pPr>
      <w:r>
        <w:rPr>
          <w:rFonts w:hint="eastAsia" w:ascii="宋体" w:hAnsi="宋体"/>
          <w:b/>
          <w:bCs/>
          <w:color w:val="auto"/>
          <w:sz w:val="24"/>
          <w:highlight w:val="none"/>
        </w:rPr>
        <w:t>询问</w:t>
      </w:r>
    </w:p>
    <w:p w14:paraId="532DE617">
      <w:pPr>
        <w:pStyle w:val="9"/>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第一章“投标邀请”中“采购人、采购组织机构的名称、地址和联系方式”。</w:t>
      </w:r>
    </w:p>
    <w:p w14:paraId="1D7A668C">
      <w:pPr>
        <w:pStyle w:val="9"/>
        <w:keepNext w:val="0"/>
        <w:keepLines w:val="0"/>
        <w:pageBreakBefore w:val="0"/>
        <w:numPr>
          <w:ilvl w:val="0"/>
          <w:numId w:val="41"/>
        </w:numPr>
        <w:kinsoku/>
        <w:wordWrap/>
        <w:overflowPunct/>
        <w:topLinePunct w:val="0"/>
        <w:bidi w:val="0"/>
        <w:adjustRightInd/>
        <w:snapToGrid/>
        <w:spacing w:line="360" w:lineRule="auto"/>
        <w:ind w:left="0" w:leftChars="0" w:right="0" w:firstLine="482" w:firstLineChars="200"/>
        <w:jc w:val="left"/>
        <w:textAlignment w:val="auto"/>
        <w:rPr>
          <w:rFonts w:ascii="宋体" w:hAnsi="宋体"/>
          <w:b/>
          <w:bCs/>
          <w:color w:val="auto"/>
          <w:sz w:val="24"/>
          <w:highlight w:val="none"/>
        </w:rPr>
      </w:pPr>
      <w:r>
        <w:rPr>
          <w:rFonts w:hint="eastAsia" w:ascii="宋体" w:hAnsi="宋体"/>
          <w:b/>
          <w:bCs/>
          <w:color w:val="auto"/>
          <w:sz w:val="24"/>
          <w:highlight w:val="none"/>
        </w:rPr>
        <w:t>质疑</w:t>
      </w:r>
    </w:p>
    <w:p w14:paraId="23BFE48E">
      <w:pPr>
        <w:pStyle w:val="9"/>
        <w:keepNext w:val="0"/>
        <w:keepLines w:val="0"/>
        <w:pageBreakBefore w:val="0"/>
        <w:numPr>
          <w:ilvl w:val="0"/>
          <w:numId w:val="42"/>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报名本项目的投标人认为招标文件、采购过程和中标结果使自己的权益受到损害的，通过书面形式一次性向采购人或采购组织机构提出质疑：</w:t>
      </w:r>
    </w:p>
    <w:p w14:paraId="6DC5DEF6">
      <w:pPr>
        <w:pStyle w:val="9"/>
        <w:keepNext w:val="0"/>
        <w:keepLines w:val="0"/>
        <w:pageBreakBefore w:val="0"/>
        <w:numPr>
          <w:ilvl w:val="0"/>
          <w:numId w:val="43"/>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投标人认为招标文件的内容损害其权益的，应当</w:t>
      </w:r>
      <w:r>
        <w:rPr>
          <w:rFonts w:hint="eastAsia" w:ascii="宋体" w:hAnsi="宋体"/>
          <w:color w:val="auto"/>
          <w:sz w:val="24"/>
          <w:highlight w:val="none"/>
          <w:lang w:val="en-US" w:eastAsia="zh-CN"/>
        </w:rPr>
        <w:t>在投标截止时间前</w:t>
      </w:r>
      <w:r>
        <w:rPr>
          <w:rFonts w:hint="eastAsia" w:ascii="宋体" w:hAnsi="宋体"/>
          <w:color w:val="auto"/>
          <w:sz w:val="24"/>
          <w:highlight w:val="none"/>
        </w:rPr>
        <w:t>提出质疑；</w:t>
      </w:r>
    </w:p>
    <w:p w14:paraId="1BBB9DEC">
      <w:pPr>
        <w:pStyle w:val="9"/>
        <w:keepNext w:val="0"/>
        <w:keepLines w:val="0"/>
        <w:pageBreakBefore w:val="0"/>
        <w:numPr>
          <w:ilvl w:val="0"/>
          <w:numId w:val="43"/>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投标人对中标结果提出质疑的，应当在</w:t>
      </w:r>
      <w:r>
        <w:rPr>
          <w:rFonts w:hint="eastAsia" w:ascii="宋体" w:hAnsi="宋体"/>
          <w:color w:val="auto"/>
          <w:sz w:val="24"/>
          <w:highlight w:val="none"/>
          <w:lang w:val="en-US" w:eastAsia="zh-CN"/>
        </w:rPr>
        <w:t>公示期满前</w:t>
      </w:r>
      <w:r>
        <w:rPr>
          <w:rFonts w:hint="eastAsia" w:ascii="宋体" w:hAnsi="宋体"/>
          <w:color w:val="auto"/>
          <w:sz w:val="24"/>
          <w:highlight w:val="none"/>
        </w:rPr>
        <w:t>提出质疑。</w:t>
      </w:r>
    </w:p>
    <w:p w14:paraId="292FD6E8">
      <w:pPr>
        <w:pStyle w:val="9"/>
        <w:keepNext w:val="0"/>
        <w:keepLines w:val="0"/>
        <w:pageBreakBefore w:val="0"/>
        <w:numPr>
          <w:ilvl w:val="0"/>
          <w:numId w:val="42"/>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采购人或采购组织机构在收到投标人的书面质疑后7个工作日内作出答复，并以书面形式回复质疑投标人和其他有关投标人，但答复内容不涉及商业秘密。</w:t>
      </w:r>
    </w:p>
    <w:p w14:paraId="6E23BC6F">
      <w:pPr>
        <w:pStyle w:val="9"/>
        <w:keepNext w:val="0"/>
        <w:keepLines w:val="0"/>
        <w:pageBreakBefore w:val="0"/>
        <w:numPr>
          <w:ilvl w:val="0"/>
          <w:numId w:val="42"/>
        </w:numPr>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1470074D">
      <w:pPr>
        <w:pStyle w:val="9"/>
        <w:keepNext w:val="0"/>
        <w:keepLines w:val="0"/>
        <w:pageBreakBefore w:val="0"/>
        <w:numPr>
          <w:ilvl w:val="0"/>
          <w:numId w:val="41"/>
        </w:numPr>
        <w:kinsoku/>
        <w:wordWrap/>
        <w:overflowPunct/>
        <w:topLinePunct w:val="0"/>
        <w:bidi w:val="0"/>
        <w:adjustRightInd/>
        <w:snapToGrid/>
        <w:spacing w:line="360" w:lineRule="auto"/>
        <w:ind w:left="0" w:leftChars="0" w:right="0" w:firstLine="482" w:firstLineChars="200"/>
        <w:jc w:val="left"/>
        <w:textAlignment w:val="auto"/>
        <w:rPr>
          <w:rFonts w:ascii="宋体" w:hAnsi="宋体"/>
          <w:b/>
          <w:bCs/>
          <w:color w:val="auto"/>
          <w:sz w:val="24"/>
          <w:highlight w:val="none"/>
        </w:rPr>
      </w:pPr>
      <w:r>
        <w:rPr>
          <w:rFonts w:hint="eastAsia" w:ascii="宋体" w:hAnsi="宋体"/>
          <w:b/>
          <w:bCs/>
          <w:color w:val="auto"/>
          <w:sz w:val="24"/>
          <w:highlight w:val="none"/>
        </w:rPr>
        <w:t>投诉</w:t>
      </w:r>
    </w:p>
    <w:p w14:paraId="72DBDD1F">
      <w:pPr>
        <w:pStyle w:val="9"/>
        <w:keepNext w:val="0"/>
        <w:keepLines w:val="0"/>
        <w:pageBreakBefore w:val="0"/>
        <w:kinsoku/>
        <w:wordWrap/>
        <w:overflowPunct/>
        <w:topLinePunct w:val="0"/>
        <w:bidi w:val="0"/>
        <w:adjustRightInd/>
        <w:snapToGrid/>
        <w:spacing w:line="360" w:lineRule="auto"/>
        <w:ind w:left="0" w:leftChars="0" w:right="0" w:firstLine="480" w:firstLineChars="200"/>
        <w:jc w:val="left"/>
        <w:textAlignment w:val="auto"/>
        <w:rPr>
          <w:rFonts w:ascii="宋体" w:hAnsi="宋体"/>
          <w:color w:val="auto"/>
          <w:sz w:val="24"/>
          <w:highlight w:val="none"/>
        </w:rPr>
      </w:pPr>
      <w:r>
        <w:rPr>
          <w:rFonts w:hint="eastAsia" w:ascii="宋体" w:hAnsi="宋体"/>
          <w:color w:val="auto"/>
          <w:sz w:val="24"/>
          <w:highlight w:val="none"/>
        </w:rPr>
        <w:t>投标人对采购人或采购组织机构的质疑答复不满意或在规定时间内未得到答复的，可以在答复期满后15个工作日内，向同级政府采购监督管理机构投诉。</w:t>
      </w:r>
    </w:p>
    <w:p w14:paraId="2BD5ACBF">
      <w:pPr>
        <w:pStyle w:val="9"/>
        <w:spacing w:line="360" w:lineRule="auto"/>
        <w:ind w:firstLine="480" w:firstLineChars="200"/>
        <w:jc w:val="both"/>
        <w:rPr>
          <w:rFonts w:asciiTheme="minorEastAsia" w:hAnsiTheme="minorEastAsia" w:eastAsiaTheme="minorEastAsia"/>
          <w:b/>
          <w:color w:val="auto"/>
          <w:sz w:val="36"/>
          <w:szCs w:val="36"/>
          <w:highlight w:val="none"/>
        </w:rPr>
      </w:pPr>
      <w:r>
        <w:rPr>
          <w:rFonts w:hint="eastAsia" w:ascii="宋体" w:hAnsi="宋体"/>
          <w:color w:val="auto"/>
          <w:sz w:val="24"/>
          <w:highlight w:val="none"/>
        </w:rPr>
        <w:br w:type="page"/>
      </w:r>
    </w:p>
    <w:p w14:paraId="4E7D7080">
      <w:pPr>
        <w:numPr>
          <w:ilvl w:val="0"/>
          <w:numId w:val="17"/>
        </w:numPr>
        <w:spacing w:line="360" w:lineRule="auto"/>
        <w:jc w:val="center"/>
        <w:outlineLvl w:val="0"/>
        <w:rPr>
          <w:rFonts w:asciiTheme="minorEastAsia" w:hAnsiTheme="minorEastAsia" w:eastAsiaTheme="minorEastAsia"/>
          <w:b/>
          <w:color w:val="auto"/>
          <w:sz w:val="36"/>
          <w:szCs w:val="36"/>
          <w:highlight w:val="none"/>
        </w:rPr>
      </w:pPr>
      <w:bookmarkStart w:id="33" w:name="_Toc27108"/>
      <w:r>
        <w:rPr>
          <w:rFonts w:hint="eastAsia" w:asciiTheme="minorEastAsia" w:hAnsiTheme="minorEastAsia" w:eastAsiaTheme="minorEastAsia"/>
          <w:b/>
          <w:color w:val="auto"/>
          <w:sz w:val="36"/>
          <w:szCs w:val="36"/>
          <w:highlight w:val="none"/>
        </w:rPr>
        <w:t>招标需求</w:t>
      </w:r>
      <w:bookmarkEnd w:id="33"/>
    </w:p>
    <w:p w14:paraId="15E3DE0B">
      <w:pPr>
        <w:numPr>
          <w:ilvl w:val="0"/>
          <w:numId w:val="44"/>
        </w:numPr>
        <w:tabs>
          <w:tab w:val="left" w:pos="8280"/>
        </w:tabs>
        <w:autoSpaceDE w:val="0"/>
        <w:autoSpaceDN w:val="0"/>
        <w:adjustRightInd w:val="0"/>
        <w:spacing w:line="360" w:lineRule="auto"/>
        <w:ind w:left="0" w:leftChars="0" w:right="25" w:firstLine="420" w:firstLineChars="0"/>
        <w:outlineLvl w:val="1"/>
        <w:rPr>
          <w:rFonts w:hint="eastAsia" w:ascii="宋体" w:hAnsi="宋体" w:eastAsia="宋体" w:cs="宋体"/>
          <w:color w:val="auto"/>
          <w:sz w:val="24"/>
          <w:szCs w:val="24"/>
          <w:highlight w:val="none"/>
        </w:rPr>
      </w:pPr>
      <w:bookmarkStart w:id="34" w:name="_Toc23116"/>
      <w:r>
        <w:rPr>
          <w:rFonts w:hint="eastAsia" w:ascii="宋体" w:hAnsi="宋体" w:eastAsia="宋体" w:cs="宋体"/>
          <w:b/>
          <w:color w:val="auto"/>
          <w:sz w:val="24"/>
          <w:szCs w:val="24"/>
          <w:highlight w:val="none"/>
        </w:rPr>
        <w:t>招标项目一览表</w:t>
      </w:r>
      <w:bookmarkEnd w:id="34"/>
    </w:p>
    <w:p w14:paraId="12490D8A">
      <w:pPr>
        <w:tabs>
          <w:tab w:val="left" w:pos="8280"/>
        </w:tabs>
        <w:autoSpaceDE w:val="0"/>
        <w:autoSpaceDN w:val="0"/>
        <w:adjustRightInd w:val="0"/>
        <w:spacing w:line="360" w:lineRule="auto"/>
        <w:ind w:right="25" w:firstLine="2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本次招标共</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个标段，具体内容如下表：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2042"/>
        <w:gridCol w:w="956"/>
        <w:gridCol w:w="889"/>
        <w:gridCol w:w="906"/>
        <w:gridCol w:w="2683"/>
      </w:tblGrid>
      <w:tr w14:paraId="7E97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46" w:type="dxa"/>
            <w:vAlign w:val="center"/>
          </w:tcPr>
          <w:p w14:paraId="264E8965">
            <w:pPr>
              <w:tabs>
                <w:tab w:val="left" w:pos="8280"/>
              </w:tabs>
              <w:autoSpaceDE w:val="0"/>
              <w:autoSpaceDN w:val="0"/>
              <w:adjustRightInd w:val="0"/>
              <w:spacing w:line="360" w:lineRule="auto"/>
              <w:ind w:right="25"/>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标段号</w:t>
            </w:r>
          </w:p>
        </w:tc>
        <w:tc>
          <w:tcPr>
            <w:tcW w:w="2042" w:type="dxa"/>
            <w:vAlign w:val="center"/>
          </w:tcPr>
          <w:p w14:paraId="4C9920EF">
            <w:pPr>
              <w:tabs>
                <w:tab w:val="left" w:pos="8280"/>
              </w:tabs>
              <w:autoSpaceDE w:val="0"/>
              <w:autoSpaceDN w:val="0"/>
              <w:adjustRightInd w:val="0"/>
              <w:spacing w:line="360" w:lineRule="auto"/>
              <w:ind w:right="25" w:firstLine="120" w:firstLineChars="5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项目名称</w:t>
            </w:r>
          </w:p>
        </w:tc>
        <w:tc>
          <w:tcPr>
            <w:tcW w:w="956" w:type="dxa"/>
            <w:vAlign w:val="center"/>
          </w:tcPr>
          <w:p w14:paraId="0B0C511A">
            <w:pPr>
              <w:tabs>
                <w:tab w:val="left" w:pos="8280"/>
              </w:tabs>
              <w:autoSpaceDE w:val="0"/>
              <w:autoSpaceDN w:val="0"/>
              <w:adjustRightInd w:val="0"/>
              <w:spacing w:line="360" w:lineRule="auto"/>
              <w:ind w:right="25"/>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规格型号</w:t>
            </w:r>
          </w:p>
        </w:tc>
        <w:tc>
          <w:tcPr>
            <w:tcW w:w="889" w:type="dxa"/>
            <w:vAlign w:val="center"/>
          </w:tcPr>
          <w:p w14:paraId="4BC6960B">
            <w:pPr>
              <w:tabs>
                <w:tab w:val="left" w:pos="8280"/>
              </w:tabs>
              <w:autoSpaceDE w:val="0"/>
              <w:autoSpaceDN w:val="0"/>
              <w:adjustRightInd w:val="0"/>
              <w:spacing w:line="360" w:lineRule="auto"/>
              <w:ind w:right="25"/>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906" w:type="dxa"/>
            <w:vAlign w:val="center"/>
          </w:tcPr>
          <w:p w14:paraId="380D2D8A">
            <w:pPr>
              <w:tabs>
                <w:tab w:val="left" w:pos="8280"/>
              </w:tabs>
              <w:autoSpaceDE w:val="0"/>
              <w:autoSpaceDN w:val="0"/>
              <w:adjustRightInd w:val="0"/>
              <w:spacing w:line="360" w:lineRule="auto"/>
              <w:ind w:right="25"/>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w:t>
            </w:r>
          </w:p>
        </w:tc>
        <w:tc>
          <w:tcPr>
            <w:tcW w:w="2683" w:type="dxa"/>
            <w:vAlign w:val="center"/>
          </w:tcPr>
          <w:p w14:paraId="0D8D5C7B">
            <w:pPr>
              <w:tabs>
                <w:tab w:val="left" w:pos="8280"/>
              </w:tabs>
              <w:autoSpaceDE w:val="0"/>
              <w:autoSpaceDN w:val="0"/>
              <w:adjustRightInd w:val="0"/>
              <w:spacing w:line="360" w:lineRule="auto"/>
              <w:ind w:right="25"/>
              <w:jc w:val="center"/>
              <w:rPr>
                <w:rFonts w:hint="default"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预算价（元）</w:t>
            </w:r>
          </w:p>
        </w:tc>
      </w:tr>
      <w:tr w14:paraId="5D60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46" w:type="dxa"/>
            <w:vAlign w:val="center"/>
          </w:tcPr>
          <w:p w14:paraId="6C71720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2042" w:type="dxa"/>
            <w:vAlign w:val="center"/>
          </w:tcPr>
          <w:p w14:paraId="2BB23E3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海虹街道中心幼儿园（翡翠云邸）幼儿家具采购项目</w:t>
            </w:r>
          </w:p>
        </w:tc>
        <w:tc>
          <w:tcPr>
            <w:tcW w:w="956" w:type="dxa"/>
            <w:vAlign w:val="center"/>
          </w:tcPr>
          <w:p w14:paraId="230B9EBE">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详见“技术需求”</w:t>
            </w:r>
          </w:p>
        </w:tc>
        <w:tc>
          <w:tcPr>
            <w:tcW w:w="889" w:type="dxa"/>
            <w:vAlign w:val="center"/>
          </w:tcPr>
          <w:p w14:paraId="2FD0B6AA">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w:t>
            </w:r>
          </w:p>
        </w:tc>
        <w:tc>
          <w:tcPr>
            <w:tcW w:w="906" w:type="dxa"/>
            <w:vAlign w:val="center"/>
          </w:tcPr>
          <w:p w14:paraId="4577136A">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项</w:t>
            </w:r>
          </w:p>
        </w:tc>
        <w:tc>
          <w:tcPr>
            <w:tcW w:w="2683" w:type="dxa"/>
            <w:vAlign w:val="center"/>
          </w:tcPr>
          <w:p w14:paraId="73D0C45A">
            <w:pPr>
              <w:keepNext w:val="0"/>
              <w:keepLines w:val="0"/>
              <w:widowControl/>
              <w:suppressLineNumbers w:val="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330000</w:t>
            </w:r>
          </w:p>
        </w:tc>
      </w:tr>
    </w:tbl>
    <w:p w14:paraId="3F7F99BA">
      <w:pPr>
        <w:numPr>
          <w:ilvl w:val="0"/>
          <w:numId w:val="44"/>
        </w:numPr>
        <w:tabs>
          <w:tab w:val="left" w:pos="8280"/>
        </w:tabs>
        <w:autoSpaceDE w:val="0"/>
        <w:autoSpaceDN w:val="0"/>
        <w:adjustRightInd w:val="0"/>
        <w:spacing w:line="360" w:lineRule="auto"/>
        <w:ind w:left="0" w:leftChars="0" w:right="25" w:firstLine="420" w:firstLineChars="0"/>
        <w:outlineLvl w:val="1"/>
        <w:rPr>
          <w:rFonts w:hint="eastAsia" w:ascii="宋体" w:hAnsi="宋体" w:eastAsia="宋体" w:cs="宋体"/>
          <w:b/>
          <w:color w:val="auto"/>
          <w:sz w:val="24"/>
          <w:szCs w:val="24"/>
          <w:highlight w:val="none"/>
        </w:rPr>
      </w:pPr>
      <w:bookmarkStart w:id="35" w:name="_Toc25444"/>
      <w:bookmarkStart w:id="36" w:name="_Toc19090"/>
      <w:r>
        <w:rPr>
          <w:rFonts w:hint="eastAsia" w:ascii="宋体" w:hAnsi="宋体" w:eastAsia="宋体" w:cs="宋体"/>
          <w:b/>
          <w:color w:val="auto"/>
          <w:sz w:val="24"/>
          <w:szCs w:val="24"/>
          <w:highlight w:val="none"/>
        </w:rPr>
        <w:t>技术需求</w:t>
      </w:r>
      <w:bookmarkEnd w:id="35"/>
      <w:bookmarkEnd w:id="36"/>
    </w:p>
    <w:p w14:paraId="12BFE868">
      <w:pPr>
        <w:numPr>
          <w:ilvl w:val="0"/>
          <w:numId w:val="45"/>
        </w:numPr>
        <w:spacing w:line="360" w:lineRule="auto"/>
        <w:ind w:left="0" w:leftChars="0" w:firstLine="420" w:firstLineChars="0"/>
        <w:rPr>
          <w:rFonts w:hint="eastAsia"/>
          <w:b/>
          <w:bCs/>
          <w:color w:val="auto"/>
          <w:highlight w:val="none"/>
          <w:lang w:val="en-US" w:eastAsia="zh-CN"/>
        </w:rPr>
      </w:pPr>
      <w:r>
        <w:rPr>
          <w:rFonts w:hint="eastAsia"/>
          <w:b/>
          <w:bCs/>
          <w:color w:val="auto"/>
          <w:highlight w:val="none"/>
          <w:lang w:val="en-US" w:eastAsia="zh-CN"/>
        </w:rPr>
        <w:t>采购清单一览表</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11"/>
        <w:gridCol w:w="2668"/>
        <w:gridCol w:w="2216"/>
        <w:gridCol w:w="1212"/>
        <w:gridCol w:w="1212"/>
      </w:tblGrid>
      <w:tr w14:paraId="4ED00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9CE57B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0"/>
                <w:szCs w:val="20"/>
                <w:highlight w:val="none"/>
                <w:u w:val="none"/>
              </w:rPr>
            </w:pPr>
            <w: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t>序号</w:t>
            </w:r>
          </w:p>
        </w:tc>
        <w:tc>
          <w:tcPr>
            <w:tcW w:w="2668" w:type="dxa"/>
            <w:tcBorders>
              <w:tl2br w:val="nil"/>
              <w:tr2bl w:val="nil"/>
            </w:tcBorders>
            <w:shd w:val="clear" w:color="auto" w:fill="auto"/>
            <w:vAlign w:val="center"/>
          </w:tcPr>
          <w:p w14:paraId="07EB98A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0"/>
                <w:szCs w:val="20"/>
                <w:highlight w:val="none"/>
                <w:u w:val="none"/>
              </w:rPr>
            </w:pPr>
            <w: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t>名称</w:t>
            </w:r>
          </w:p>
        </w:tc>
        <w:tc>
          <w:tcPr>
            <w:tcW w:w="2216" w:type="dxa"/>
            <w:tcBorders>
              <w:tl2br w:val="nil"/>
              <w:tr2bl w:val="nil"/>
            </w:tcBorders>
            <w:shd w:val="clear" w:color="auto" w:fill="auto"/>
            <w:vAlign w:val="center"/>
          </w:tcPr>
          <w:p w14:paraId="24CC0DE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0"/>
                <w:szCs w:val="20"/>
                <w:highlight w:val="none"/>
                <w:u w:val="none"/>
                <w:lang w:val="en-US" w:eastAsia="zh-CN"/>
              </w:rPr>
            </w:pPr>
            <w:r>
              <w:rPr>
                <w:rFonts w:hint="eastAsia" w:asciiTheme="minorEastAsia" w:hAnsiTheme="minorEastAsia" w:eastAsiaTheme="minorEastAsia" w:cstheme="minorEastAsia"/>
                <w:b/>
                <w:bCs/>
                <w:i w:val="0"/>
                <w:iCs w:val="0"/>
                <w:color w:val="auto"/>
                <w:sz w:val="20"/>
                <w:szCs w:val="20"/>
                <w:highlight w:val="none"/>
                <w:u w:val="none"/>
                <w:lang w:val="en-US" w:eastAsia="zh-CN"/>
              </w:rPr>
              <w:t>规格</w:t>
            </w:r>
          </w:p>
        </w:tc>
        <w:tc>
          <w:tcPr>
            <w:tcW w:w="1212" w:type="dxa"/>
            <w:tcBorders>
              <w:tl2br w:val="nil"/>
              <w:tr2bl w:val="nil"/>
            </w:tcBorders>
            <w:shd w:val="clear" w:color="auto" w:fill="auto"/>
            <w:vAlign w:val="center"/>
          </w:tcPr>
          <w:p w14:paraId="6DAF2A8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0"/>
                <w:szCs w:val="20"/>
                <w:highlight w:val="none"/>
                <w:u w:val="none"/>
                <w:lang w:val="en-US" w:eastAsia="zh-CN"/>
              </w:rPr>
            </w:pPr>
            <w:r>
              <w:rPr>
                <w:rFonts w:hint="eastAsia" w:asciiTheme="minorEastAsia" w:hAnsiTheme="minorEastAsia" w:eastAsiaTheme="minorEastAsia" w:cstheme="minorEastAsia"/>
                <w:b/>
                <w:bCs/>
                <w:i w:val="0"/>
                <w:iCs w:val="0"/>
                <w:color w:val="auto"/>
                <w:sz w:val="20"/>
                <w:szCs w:val="20"/>
                <w:highlight w:val="none"/>
                <w:u w:val="none"/>
                <w:lang w:val="en-US" w:eastAsia="zh-CN"/>
              </w:rPr>
              <w:t>数量</w:t>
            </w:r>
          </w:p>
        </w:tc>
        <w:tc>
          <w:tcPr>
            <w:tcW w:w="1212" w:type="dxa"/>
            <w:tcBorders>
              <w:tl2br w:val="nil"/>
              <w:tr2bl w:val="nil"/>
            </w:tcBorders>
            <w:shd w:val="clear" w:color="auto" w:fill="auto"/>
            <w:vAlign w:val="center"/>
          </w:tcPr>
          <w:p w14:paraId="57CB2B6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0"/>
                <w:szCs w:val="20"/>
                <w:highlight w:val="none"/>
                <w:u w:val="none"/>
                <w:lang w:val="en-US" w:eastAsia="zh-CN"/>
              </w:rPr>
            </w:pPr>
            <w:r>
              <w:rPr>
                <w:rFonts w:hint="eastAsia" w:asciiTheme="minorEastAsia" w:hAnsiTheme="minorEastAsia" w:eastAsiaTheme="minorEastAsia" w:cstheme="minorEastAsia"/>
                <w:b/>
                <w:bCs/>
                <w:i w:val="0"/>
                <w:iCs w:val="0"/>
                <w:color w:val="auto"/>
                <w:sz w:val="20"/>
                <w:szCs w:val="20"/>
                <w:highlight w:val="none"/>
                <w:u w:val="none"/>
                <w:lang w:val="en-US" w:eastAsia="zh-CN"/>
              </w:rPr>
              <w:t>单位</w:t>
            </w:r>
          </w:p>
        </w:tc>
      </w:tr>
      <w:tr w14:paraId="13D7D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8519" w:type="dxa"/>
            <w:gridSpan w:val="5"/>
            <w:tcBorders>
              <w:tl2br w:val="nil"/>
              <w:tr2bl w:val="nil"/>
            </w:tcBorders>
            <w:shd w:val="clear" w:color="auto" w:fill="auto"/>
            <w:vAlign w:val="center"/>
          </w:tcPr>
          <w:p w14:paraId="3FF9387E">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t>托班</w:t>
            </w:r>
          </w:p>
        </w:tc>
      </w:tr>
      <w:tr w14:paraId="29B07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5D14E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 </w:t>
            </w:r>
          </w:p>
        </w:tc>
        <w:tc>
          <w:tcPr>
            <w:tcW w:w="2668" w:type="dxa"/>
            <w:tcBorders>
              <w:tl2br w:val="nil"/>
              <w:tr2bl w:val="nil"/>
            </w:tcBorders>
            <w:shd w:val="clear" w:color="auto" w:fill="auto"/>
            <w:vAlign w:val="center"/>
          </w:tcPr>
          <w:p w14:paraId="5488EC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6人桌.可调节</w:t>
            </w:r>
          </w:p>
        </w:tc>
        <w:tc>
          <w:tcPr>
            <w:tcW w:w="2216" w:type="dxa"/>
            <w:tcBorders>
              <w:tl2br w:val="nil"/>
              <w:tr2bl w:val="nil"/>
            </w:tcBorders>
            <w:shd w:val="clear" w:color="auto" w:fill="auto"/>
            <w:vAlign w:val="center"/>
          </w:tcPr>
          <w:p w14:paraId="6ACEA4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L120xW60xH34-46cm可调节高度</w:t>
            </w:r>
          </w:p>
        </w:tc>
        <w:tc>
          <w:tcPr>
            <w:tcW w:w="1212" w:type="dxa"/>
            <w:tcBorders>
              <w:tl2br w:val="nil"/>
              <w:tr2bl w:val="nil"/>
            </w:tcBorders>
            <w:shd w:val="clear" w:color="auto" w:fill="auto"/>
            <w:vAlign w:val="center"/>
          </w:tcPr>
          <w:p w14:paraId="534763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w:t>
            </w:r>
          </w:p>
        </w:tc>
        <w:tc>
          <w:tcPr>
            <w:tcW w:w="1212" w:type="dxa"/>
            <w:tcBorders>
              <w:tl2br w:val="nil"/>
              <w:tr2bl w:val="nil"/>
            </w:tcBorders>
            <w:shd w:val="clear" w:color="auto" w:fill="auto"/>
            <w:vAlign w:val="center"/>
          </w:tcPr>
          <w:p w14:paraId="6CB569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0E5CC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10836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 </w:t>
            </w:r>
          </w:p>
        </w:tc>
        <w:tc>
          <w:tcPr>
            <w:tcW w:w="2668" w:type="dxa"/>
            <w:tcBorders>
              <w:tl2br w:val="nil"/>
              <w:tr2bl w:val="nil"/>
            </w:tcBorders>
            <w:shd w:val="clear" w:color="auto" w:fill="auto"/>
            <w:vAlign w:val="center"/>
          </w:tcPr>
          <w:p w14:paraId="6E519B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月亮桌.可调节</w:t>
            </w:r>
          </w:p>
        </w:tc>
        <w:tc>
          <w:tcPr>
            <w:tcW w:w="2216" w:type="dxa"/>
            <w:tcBorders>
              <w:tl2br w:val="nil"/>
              <w:tr2bl w:val="nil"/>
            </w:tcBorders>
            <w:shd w:val="clear" w:color="auto" w:fill="auto"/>
            <w:vAlign w:val="center"/>
          </w:tcPr>
          <w:p w14:paraId="745DD4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L120xW60xH34-46cm可调节高度</w:t>
            </w:r>
          </w:p>
        </w:tc>
        <w:tc>
          <w:tcPr>
            <w:tcW w:w="1212" w:type="dxa"/>
            <w:tcBorders>
              <w:tl2br w:val="nil"/>
              <w:tr2bl w:val="nil"/>
            </w:tcBorders>
            <w:shd w:val="clear" w:color="auto" w:fill="auto"/>
            <w:vAlign w:val="center"/>
          </w:tcPr>
          <w:p w14:paraId="190056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BA6DD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3B14C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22507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 </w:t>
            </w:r>
          </w:p>
        </w:tc>
        <w:tc>
          <w:tcPr>
            <w:tcW w:w="2668" w:type="dxa"/>
            <w:tcBorders>
              <w:tl2br w:val="nil"/>
              <w:tr2bl w:val="nil"/>
            </w:tcBorders>
            <w:shd w:val="clear" w:color="auto" w:fill="auto"/>
            <w:vAlign w:val="center"/>
          </w:tcPr>
          <w:p w14:paraId="7FFA25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圆桌.可调节</w:t>
            </w:r>
          </w:p>
        </w:tc>
        <w:tc>
          <w:tcPr>
            <w:tcW w:w="2216" w:type="dxa"/>
            <w:tcBorders>
              <w:tl2br w:val="nil"/>
              <w:tr2bl w:val="nil"/>
            </w:tcBorders>
            <w:shd w:val="clear" w:color="auto" w:fill="auto"/>
            <w:vAlign w:val="center"/>
          </w:tcPr>
          <w:p w14:paraId="02B54A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Φ80xH34-46cm可调节高度</w:t>
            </w:r>
          </w:p>
        </w:tc>
        <w:tc>
          <w:tcPr>
            <w:tcW w:w="1212" w:type="dxa"/>
            <w:tcBorders>
              <w:tl2br w:val="nil"/>
              <w:tr2bl w:val="nil"/>
            </w:tcBorders>
            <w:shd w:val="clear" w:color="auto" w:fill="auto"/>
            <w:vAlign w:val="center"/>
          </w:tcPr>
          <w:p w14:paraId="24F32A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7F7EFA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6B92D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A8240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4 </w:t>
            </w:r>
          </w:p>
        </w:tc>
        <w:tc>
          <w:tcPr>
            <w:tcW w:w="2668" w:type="dxa"/>
            <w:tcBorders>
              <w:tl2br w:val="nil"/>
              <w:tr2bl w:val="nil"/>
            </w:tcBorders>
            <w:shd w:val="clear" w:color="auto" w:fill="auto"/>
            <w:vAlign w:val="center"/>
          </w:tcPr>
          <w:p w14:paraId="69B92E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4人桌.可调节</w:t>
            </w:r>
          </w:p>
        </w:tc>
        <w:tc>
          <w:tcPr>
            <w:tcW w:w="2216" w:type="dxa"/>
            <w:tcBorders>
              <w:tl2br w:val="nil"/>
              <w:tr2bl w:val="nil"/>
            </w:tcBorders>
            <w:shd w:val="clear" w:color="auto" w:fill="auto"/>
            <w:vAlign w:val="center"/>
          </w:tcPr>
          <w:p w14:paraId="14D69C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L60xW60xH34-46cm可调节高度</w:t>
            </w:r>
          </w:p>
        </w:tc>
        <w:tc>
          <w:tcPr>
            <w:tcW w:w="1212" w:type="dxa"/>
            <w:tcBorders>
              <w:tl2br w:val="nil"/>
              <w:tr2bl w:val="nil"/>
            </w:tcBorders>
            <w:shd w:val="clear" w:color="auto" w:fill="auto"/>
            <w:vAlign w:val="center"/>
          </w:tcPr>
          <w:p w14:paraId="0A6EB5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c>
          <w:tcPr>
            <w:tcW w:w="1212" w:type="dxa"/>
            <w:tcBorders>
              <w:tl2br w:val="nil"/>
              <w:tr2bl w:val="nil"/>
            </w:tcBorders>
            <w:shd w:val="clear" w:color="auto" w:fill="auto"/>
            <w:vAlign w:val="center"/>
          </w:tcPr>
          <w:p w14:paraId="37BE13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r>
      <w:tr w14:paraId="78747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BDD4C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5 </w:t>
            </w:r>
          </w:p>
        </w:tc>
        <w:tc>
          <w:tcPr>
            <w:tcW w:w="2668" w:type="dxa"/>
            <w:tcBorders>
              <w:tl2br w:val="nil"/>
              <w:tr2bl w:val="nil"/>
            </w:tcBorders>
            <w:shd w:val="clear" w:color="auto" w:fill="auto"/>
            <w:vAlign w:val="center"/>
          </w:tcPr>
          <w:p w14:paraId="36C07C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椅.23cm.可叠</w:t>
            </w:r>
          </w:p>
        </w:tc>
        <w:tc>
          <w:tcPr>
            <w:tcW w:w="2216" w:type="dxa"/>
            <w:tcBorders>
              <w:tl2br w:val="nil"/>
              <w:tr2bl w:val="nil"/>
            </w:tcBorders>
            <w:shd w:val="clear" w:color="auto" w:fill="auto"/>
            <w:vAlign w:val="center"/>
          </w:tcPr>
          <w:p w14:paraId="05F91C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L36xW30xH42cm（座高23cm）</w:t>
            </w:r>
          </w:p>
        </w:tc>
        <w:tc>
          <w:tcPr>
            <w:tcW w:w="1212" w:type="dxa"/>
            <w:tcBorders>
              <w:tl2br w:val="nil"/>
              <w:tr2bl w:val="nil"/>
            </w:tcBorders>
            <w:shd w:val="clear" w:color="auto" w:fill="auto"/>
            <w:vAlign w:val="center"/>
          </w:tcPr>
          <w:p w14:paraId="50778E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20</w:t>
            </w:r>
          </w:p>
        </w:tc>
        <w:tc>
          <w:tcPr>
            <w:tcW w:w="1212" w:type="dxa"/>
            <w:tcBorders>
              <w:tl2br w:val="nil"/>
              <w:tr2bl w:val="nil"/>
            </w:tcBorders>
            <w:shd w:val="clear" w:color="auto" w:fill="auto"/>
            <w:vAlign w:val="center"/>
          </w:tcPr>
          <w:p w14:paraId="417A42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2EADF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2E6EE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6 </w:t>
            </w:r>
          </w:p>
        </w:tc>
        <w:tc>
          <w:tcPr>
            <w:tcW w:w="2668" w:type="dxa"/>
            <w:tcBorders>
              <w:tl2br w:val="nil"/>
              <w:tr2bl w:val="nil"/>
            </w:tcBorders>
            <w:shd w:val="clear" w:color="auto" w:fill="auto"/>
            <w:vAlign w:val="center"/>
          </w:tcPr>
          <w:p w14:paraId="5BDF90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蒙泰基一体成型椅.41cm.可叠</w:t>
            </w:r>
          </w:p>
        </w:tc>
        <w:tc>
          <w:tcPr>
            <w:tcW w:w="2216" w:type="dxa"/>
            <w:tcBorders>
              <w:tl2br w:val="nil"/>
              <w:tr2bl w:val="nil"/>
            </w:tcBorders>
            <w:shd w:val="clear" w:color="auto" w:fill="auto"/>
            <w:vAlign w:val="center"/>
          </w:tcPr>
          <w:p w14:paraId="458CC7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L47xW46.5xH73cm（座高41cm）</w:t>
            </w:r>
          </w:p>
        </w:tc>
        <w:tc>
          <w:tcPr>
            <w:tcW w:w="1212" w:type="dxa"/>
            <w:tcBorders>
              <w:tl2br w:val="nil"/>
              <w:tr2bl w:val="nil"/>
            </w:tcBorders>
            <w:shd w:val="clear" w:color="auto" w:fill="auto"/>
            <w:vAlign w:val="center"/>
          </w:tcPr>
          <w:p w14:paraId="48F9AB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CE46B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7D674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2FB589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7 </w:t>
            </w:r>
          </w:p>
        </w:tc>
        <w:tc>
          <w:tcPr>
            <w:tcW w:w="2668" w:type="dxa"/>
            <w:tcBorders>
              <w:tl2br w:val="nil"/>
              <w:tr2bl w:val="nil"/>
            </w:tcBorders>
            <w:shd w:val="clear" w:color="auto" w:fill="auto"/>
            <w:vAlign w:val="center"/>
          </w:tcPr>
          <w:p w14:paraId="14E361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数字圆形皮质软垫（1-40）</w:t>
            </w:r>
          </w:p>
        </w:tc>
        <w:tc>
          <w:tcPr>
            <w:tcW w:w="2216" w:type="dxa"/>
            <w:tcBorders>
              <w:tl2br w:val="nil"/>
              <w:tr2bl w:val="nil"/>
            </w:tcBorders>
            <w:shd w:val="clear" w:color="auto" w:fill="auto"/>
            <w:vAlign w:val="center"/>
          </w:tcPr>
          <w:p w14:paraId="593687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Ф30xH2cm（单个圆垫）</w:t>
            </w:r>
          </w:p>
        </w:tc>
        <w:tc>
          <w:tcPr>
            <w:tcW w:w="1212" w:type="dxa"/>
            <w:tcBorders>
              <w:tl2br w:val="nil"/>
              <w:tr2bl w:val="nil"/>
            </w:tcBorders>
            <w:shd w:val="clear" w:color="auto" w:fill="auto"/>
            <w:vAlign w:val="center"/>
          </w:tcPr>
          <w:p w14:paraId="169595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7E093D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3CA26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E58B64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8 </w:t>
            </w:r>
          </w:p>
        </w:tc>
        <w:tc>
          <w:tcPr>
            <w:tcW w:w="2668" w:type="dxa"/>
            <w:tcBorders>
              <w:tl2br w:val="nil"/>
              <w:tr2bl w:val="nil"/>
            </w:tcBorders>
            <w:shd w:val="clear" w:color="auto" w:fill="auto"/>
            <w:vAlign w:val="center"/>
          </w:tcPr>
          <w:p w14:paraId="5C7FA1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树枝圆形地毯</w:t>
            </w:r>
          </w:p>
        </w:tc>
        <w:tc>
          <w:tcPr>
            <w:tcW w:w="2216" w:type="dxa"/>
            <w:tcBorders>
              <w:tl2br w:val="nil"/>
              <w:tr2bl w:val="nil"/>
            </w:tcBorders>
            <w:shd w:val="clear" w:color="auto" w:fill="auto"/>
            <w:vAlign w:val="center"/>
          </w:tcPr>
          <w:p w14:paraId="01FB61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φ200cm</w:t>
            </w:r>
          </w:p>
        </w:tc>
        <w:tc>
          <w:tcPr>
            <w:tcW w:w="1212" w:type="dxa"/>
            <w:tcBorders>
              <w:tl2br w:val="nil"/>
              <w:tr2bl w:val="nil"/>
            </w:tcBorders>
            <w:shd w:val="clear" w:color="auto" w:fill="auto"/>
            <w:vAlign w:val="center"/>
          </w:tcPr>
          <w:p w14:paraId="09C32F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624A3B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4D808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C2C68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9 </w:t>
            </w:r>
          </w:p>
        </w:tc>
        <w:tc>
          <w:tcPr>
            <w:tcW w:w="2668" w:type="dxa"/>
            <w:tcBorders>
              <w:tl2br w:val="nil"/>
              <w:tr2bl w:val="nil"/>
            </w:tcBorders>
            <w:shd w:val="clear" w:color="auto" w:fill="auto"/>
            <w:vAlign w:val="center"/>
          </w:tcPr>
          <w:p w14:paraId="2D2890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19#丽莎教具篮.卡其色</w:t>
            </w:r>
          </w:p>
        </w:tc>
        <w:tc>
          <w:tcPr>
            <w:tcW w:w="2216" w:type="dxa"/>
            <w:tcBorders>
              <w:tl2br w:val="nil"/>
              <w:tr2bl w:val="nil"/>
            </w:tcBorders>
            <w:shd w:val="clear" w:color="auto" w:fill="auto"/>
            <w:vAlign w:val="center"/>
          </w:tcPr>
          <w:p w14:paraId="0620C3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L26xW28xH19cm</w:t>
            </w:r>
          </w:p>
        </w:tc>
        <w:tc>
          <w:tcPr>
            <w:tcW w:w="1212" w:type="dxa"/>
            <w:tcBorders>
              <w:tl2br w:val="nil"/>
              <w:tr2bl w:val="nil"/>
            </w:tcBorders>
            <w:shd w:val="clear" w:color="auto" w:fill="auto"/>
            <w:vAlign w:val="center"/>
          </w:tcPr>
          <w:p w14:paraId="76741A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20</w:t>
            </w:r>
          </w:p>
        </w:tc>
        <w:tc>
          <w:tcPr>
            <w:tcW w:w="1212" w:type="dxa"/>
            <w:tcBorders>
              <w:tl2br w:val="nil"/>
              <w:tr2bl w:val="nil"/>
            </w:tcBorders>
            <w:shd w:val="clear" w:color="auto" w:fill="auto"/>
            <w:vAlign w:val="center"/>
          </w:tcPr>
          <w:p w14:paraId="73349F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F2F5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74E09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10 </w:t>
            </w:r>
          </w:p>
        </w:tc>
        <w:tc>
          <w:tcPr>
            <w:tcW w:w="2668" w:type="dxa"/>
            <w:tcBorders>
              <w:tl2br w:val="nil"/>
              <w:tr2bl w:val="nil"/>
            </w:tcBorders>
            <w:shd w:val="clear" w:color="auto" w:fill="auto"/>
            <w:vAlign w:val="center"/>
          </w:tcPr>
          <w:p w14:paraId="4E26DB8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10#丽莎教具篮.卡其色</w:t>
            </w:r>
          </w:p>
        </w:tc>
        <w:tc>
          <w:tcPr>
            <w:tcW w:w="2216" w:type="dxa"/>
            <w:tcBorders>
              <w:tl2br w:val="nil"/>
              <w:tr2bl w:val="nil"/>
            </w:tcBorders>
            <w:shd w:val="clear" w:color="auto" w:fill="auto"/>
            <w:vAlign w:val="center"/>
          </w:tcPr>
          <w:p w14:paraId="75DF17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L26xW28xH10cm</w:t>
            </w:r>
          </w:p>
        </w:tc>
        <w:tc>
          <w:tcPr>
            <w:tcW w:w="1212" w:type="dxa"/>
            <w:tcBorders>
              <w:tl2br w:val="nil"/>
              <w:tr2bl w:val="nil"/>
            </w:tcBorders>
            <w:shd w:val="clear" w:color="auto" w:fill="auto"/>
            <w:vAlign w:val="center"/>
          </w:tcPr>
          <w:p w14:paraId="1DD609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w:t>
            </w:r>
          </w:p>
        </w:tc>
        <w:tc>
          <w:tcPr>
            <w:tcW w:w="1212" w:type="dxa"/>
            <w:tcBorders>
              <w:tl2br w:val="nil"/>
              <w:tr2bl w:val="nil"/>
            </w:tcBorders>
            <w:shd w:val="clear" w:color="auto" w:fill="auto"/>
            <w:vAlign w:val="center"/>
          </w:tcPr>
          <w:p w14:paraId="2C2D54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69D5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B5FB5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11 </w:t>
            </w:r>
          </w:p>
        </w:tc>
        <w:tc>
          <w:tcPr>
            <w:tcW w:w="2668" w:type="dxa"/>
            <w:tcBorders>
              <w:tl2br w:val="nil"/>
              <w:tr2bl w:val="nil"/>
            </w:tcBorders>
            <w:shd w:val="clear" w:color="auto" w:fill="auto"/>
            <w:vAlign w:val="center"/>
          </w:tcPr>
          <w:p w14:paraId="3A1BE2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林中屋综合互动小厨房</w:t>
            </w:r>
          </w:p>
        </w:tc>
        <w:tc>
          <w:tcPr>
            <w:tcW w:w="2216" w:type="dxa"/>
            <w:tcBorders>
              <w:tl2br w:val="nil"/>
              <w:tr2bl w:val="nil"/>
            </w:tcBorders>
            <w:shd w:val="clear" w:color="auto" w:fill="auto"/>
            <w:vAlign w:val="center"/>
          </w:tcPr>
          <w:p w14:paraId="00B878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L90xW32xH102cm</w:t>
            </w:r>
          </w:p>
        </w:tc>
        <w:tc>
          <w:tcPr>
            <w:tcW w:w="1212" w:type="dxa"/>
            <w:tcBorders>
              <w:tl2br w:val="nil"/>
              <w:tr2bl w:val="nil"/>
            </w:tcBorders>
            <w:shd w:val="clear" w:color="auto" w:fill="auto"/>
            <w:vAlign w:val="center"/>
          </w:tcPr>
          <w:p w14:paraId="679556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2296EF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12E41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B6807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12 </w:t>
            </w:r>
          </w:p>
        </w:tc>
        <w:tc>
          <w:tcPr>
            <w:tcW w:w="2668" w:type="dxa"/>
            <w:tcBorders>
              <w:tl2br w:val="nil"/>
              <w:tr2bl w:val="nil"/>
            </w:tcBorders>
            <w:shd w:val="clear" w:color="auto" w:fill="auto"/>
            <w:vAlign w:val="center"/>
          </w:tcPr>
          <w:p w14:paraId="290014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2层45°弧形柜</w:t>
            </w:r>
          </w:p>
        </w:tc>
        <w:tc>
          <w:tcPr>
            <w:tcW w:w="2216" w:type="dxa"/>
            <w:tcBorders>
              <w:tl2br w:val="nil"/>
              <w:tr2bl w:val="nil"/>
            </w:tcBorders>
            <w:shd w:val="clear" w:color="auto" w:fill="auto"/>
            <w:vAlign w:val="center"/>
          </w:tcPr>
          <w:p w14:paraId="77E81A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L60xW33xH51cm</w:t>
            </w:r>
          </w:p>
        </w:tc>
        <w:tc>
          <w:tcPr>
            <w:tcW w:w="1212" w:type="dxa"/>
            <w:tcBorders>
              <w:tl2br w:val="nil"/>
              <w:tr2bl w:val="nil"/>
            </w:tcBorders>
            <w:shd w:val="clear" w:color="auto" w:fill="auto"/>
            <w:vAlign w:val="center"/>
          </w:tcPr>
          <w:p w14:paraId="03E03C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24ACF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6F9C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55A92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13 </w:t>
            </w:r>
          </w:p>
        </w:tc>
        <w:tc>
          <w:tcPr>
            <w:tcW w:w="2668" w:type="dxa"/>
            <w:tcBorders>
              <w:tl2br w:val="nil"/>
              <w:tr2bl w:val="nil"/>
            </w:tcBorders>
            <w:shd w:val="clear" w:color="auto" w:fill="auto"/>
            <w:vAlign w:val="center"/>
          </w:tcPr>
          <w:p w14:paraId="6A92D3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2层90°转角柜</w:t>
            </w:r>
          </w:p>
        </w:tc>
        <w:tc>
          <w:tcPr>
            <w:tcW w:w="2216" w:type="dxa"/>
            <w:tcBorders>
              <w:tl2br w:val="nil"/>
              <w:tr2bl w:val="nil"/>
            </w:tcBorders>
            <w:shd w:val="clear" w:color="auto" w:fill="auto"/>
            <w:vAlign w:val="center"/>
          </w:tcPr>
          <w:p w14:paraId="3D26F6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L30xW30xH51cm</w:t>
            </w:r>
          </w:p>
        </w:tc>
        <w:tc>
          <w:tcPr>
            <w:tcW w:w="1212" w:type="dxa"/>
            <w:tcBorders>
              <w:tl2br w:val="nil"/>
              <w:tr2bl w:val="nil"/>
            </w:tcBorders>
            <w:shd w:val="clear" w:color="auto" w:fill="auto"/>
            <w:vAlign w:val="center"/>
          </w:tcPr>
          <w:p w14:paraId="1F849B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1EE349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7568F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42FC7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14 </w:t>
            </w:r>
          </w:p>
        </w:tc>
        <w:tc>
          <w:tcPr>
            <w:tcW w:w="2668" w:type="dxa"/>
            <w:tcBorders>
              <w:tl2br w:val="nil"/>
              <w:tr2bl w:val="nil"/>
            </w:tcBorders>
            <w:shd w:val="clear" w:color="auto" w:fill="auto"/>
            <w:vAlign w:val="center"/>
          </w:tcPr>
          <w:p w14:paraId="7343EF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托育巴士售卖台</w:t>
            </w:r>
          </w:p>
        </w:tc>
        <w:tc>
          <w:tcPr>
            <w:tcW w:w="2216" w:type="dxa"/>
            <w:tcBorders>
              <w:tl2br w:val="nil"/>
              <w:tr2bl w:val="nil"/>
            </w:tcBorders>
            <w:shd w:val="clear" w:color="auto" w:fill="auto"/>
            <w:vAlign w:val="center"/>
          </w:tcPr>
          <w:p w14:paraId="4F5AF2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L92xW30xH120cm（含盒）</w:t>
            </w:r>
          </w:p>
        </w:tc>
        <w:tc>
          <w:tcPr>
            <w:tcW w:w="1212" w:type="dxa"/>
            <w:tcBorders>
              <w:tl2br w:val="nil"/>
              <w:tr2bl w:val="nil"/>
            </w:tcBorders>
            <w:shd w:val="clear" w:color="auto" w:fill="auto"/>
            <w:vAlign w:val="center"/>
          </w:tcPr>
          <w:p w14:paraId="508BA8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64602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AF6A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C3775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15 </w:t>
            </w:r>
          </w:p>
        </w:tc>
        <w:tc>
          <w:tcPr>
            <w:tcW w:w="2668" w:type="dxa"/>
            <w:tcBorders>
              <w:tl2br w:val="nil"/>
              <w:tr2bl w:val="nil"/>
            </w:tcBorders>
            <w:shd w:val="clear" w:color="auto" w:fill="auto"/>
            <w:vAlign w:val="center"/>
          </w:tcPr>
          <w:p w14:paraId="00E643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托育弧形波纹挡板</w:t>
            </w:r>
          </w:p>
        </w:tc>
        <w:tc>
          <w:tcPr>
            <w:tcW w:w="2216" w:type="dxa"/>
            <w:tcBorders>
              <w:tl2br w:val="nil"/>
              <w:tr2bl w:val="nil"/>
            </w:tcBorders>
            <w:shd w:val="clear" w:color="auto" w:fill="auto"/>
            <w:vAlign w:val="center"/>
          </w:tcPr>
          <w:p w14:paraId="469E48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L87xW22.5xH51cm</w:t>
            </w:r>
          </w:p>
        </w:tc>
        <w:tc>
          <w:tcPr>
            <w:tcW w:w="1212" w:type="dxa"/>
            <w:tcBorders>
              <w:tl2br w:val="nil"/>
              <w:tr2bl w:val="nil"/>
            </w:tcBorders>
            <w:shd w:val="clear" w:color="auto" w:fill="auto"/>
            <w:vAlign w:val="center"/>
          </w:tcPr>
          <w:p w14:paraId="083BE7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13DF43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008D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89441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16 </w:t>
            </w:r>
          </w:p>
        </w:tc>
        <w:tc>
          <w:tcPr>
            <w:tcW w:w="2668" w:type="dxa"/>
            <w:tcBorders>
              <w:tl2br w:val="nil"/>
              <w:tr2bl w:val="nil"/>
            </w:tcBorders>
            <w:shd w:val="clear" w:color="auto" w:fill="auto"/>
            <w:vAlign w:val="center"/>
          </w:tcPr>
          <w:p w14:paraId="78F132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H51cm挡板连接件</w:t>
            </w:r>
          </w:p>
        </w:tc>
        <w:tc>
          <w:tcPr>
            <w:tcW w:w="2216" w:type="dxa"/>
            <w:tcBorders>
              <w:tl2br w:val="nil"/>
              <w:tr2bl w:val="nil"/>
            </w:tcBorders>
            <w:shd w:val="clear" w:color="auto" w:fill="auto"/>
            <w:vAlign w:val="center"/>
          </w:tcPr>
          <w:p w14:paraId="00DC0F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φ5.5xH51cm</w:t>
            </w:r>
          </w:p>
        </w:tc>
        <w:tc>
          <w:tcPr>
            <w:tcW w:w="1212" w:type="dxa"/>
            <w:tcBorders>
              <w:tl2br w:val="nil"/>
              <w:tr2bl w:val="nil"/>
            </w:tcBorders>
            <w:shd w:val="clear" w:color="auto" w:fill="auto"/>
            <w:vAlign w:val="center"/>
          </w:tcPr>
          <w:p w14:paraId="5C6CCE1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7AC665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6EAA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B9B80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17 </w:t>
            </w:r>
          </w:p>
        </w:tc>
        <w:tc>
          <w:tcPr>
            <w:tcW w:w="2668" w:type="dxa"/>
            <w:tcBorders>
              <w:tl2br w:val="nil"/>
              <w:tr2bl w:val="nil"/>
            </w:tcBorders>
            <w:shd w:val="clear" w:color="auto" w:fill="auto"/>
            <w:vAlign w:val="center"/>
          </w:tcPr>
          <w:p w14:paraId="0F2046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5格柜.无背板</w:t>
            </w:r>
          </w:p>
        </w:tc>
        <w:tc>
          <w:tcPr>
            <w:tcW w:w="2216" w:type="dxa"/>
            <w:tcBorders>
              <w:tl2br w:val="nil"/>
              <w:tr2bl w:val="nil"/>
            </w:tcBorders>
            <w:shd w:val="clear" w:color="auto" w:fill="auto"/>
            <w:vAlign w:val="center"/>
          </w:tcPr>
          <w:p w14:paraId="5F5015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L92xW30xH51cm</w:t>
            </w:r>
          </w:p>
        </w:tc>
        <w:tc>
          <w:tcPr>
            <w:tcW w:w="1212" w:type="dxa"/>
            <w:tcBorders>
              <w:tl2br w:val="nil"/>
              <w:tr2bl w:val="nil"/>
            </w:tcBorders>
            <w:shd w:val="clear" w:color="auto" w:fill="auto"/>
            <w:vAlign w:val="center"/>
          </w:tcPr>
          <w:p w14:paraId="3FF07D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071DFA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2CF5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DA644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18 </w:t>
            </w:r>
          </w:p>
        </w:tc>
        <w:tc>
          <w:tcPr>
            <w:tcW w:w="2668" w:type="dxa"/>
            <w:tcBorders>
              <w:tl2br w:val="nil"/>
              <w:tr2bl w:val="nil"/>
            </w:tcBorders>
            <w:shd w:val="clear" w:color="auto" w:fill="auto"/>
            <w:vAlign w:val="center"/>
          </w:tcPr>
          <w:p w14:paraId="0A3DDA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2层柜.无背板</w:t>
            </w:r>
          </w:p>
        </w:tc>
        <w:tc>
          <w:tcPr>
            <w:tcW w:w="2216" w:type="dxa"/>
            <w:tcBorders>
              <w:tl2br w:val="nil"/>
              <w:tr2bl w:val="nil"/>
            </w:tcBorders>
            <w:shd w:val="clear" w:color="auto" w:fill="auto"/>
            <w:vAlign w:val="center"/>
          </w:tcPr>
          <w:p w14:paraId="2B810A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L92xW30xH51cm</w:t>
            </w:r>
          </w:p>
        </w:tc>
        <w:tc>
          <w:tcPr>
            <w:tcW w:w="1212" w:type="dxa"/>
            <w:tcBorders>
              <w:tl2br w:val="nil"/>
              <w:tr2bl w:val="nil"/>
            </w:tcBorders>
            <w:shd w:val="clear" w:color="auto" w:fill="auto"/>
            <w:vAlign w:val="center"/>
          </w:tcPr>
          <w:p w14:paraId="48B849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c>
          <w:tcPr>
            <w:tcW w:w="1212" w:type="dxa"/>
            <w:tcBorders>
              <w:tl2br w:val="nil"/>
              <w:tr2bl w:val="nil"/>
            </w:tcBorders>
            <w:shd w:val="clear" w:color="auto" w:fill="auto"/>
            <w:vAlign w:val="center"/>
          </w:tcPr>
          <w:p w14:paraId="7B6836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DD28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92E05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19 </w:t>
            </w:r>
          </w:p>
        </w:tc>
        <w:tc>
          <w:tcPr>
            <w:tcW w:w="2668" w:type="dxa"/>
            <w:tcBorders>
              <w:tl2br w:val="nil"/>
              <w:tr2bl w:val="nil"/>
            </w:tcBorders>
            <w:shd w:val="clear" w:color="auto" w:fill="auto"/>
            <w:vAlign w:val="center"/>
          </w:tcPr>
          <w:p w14:paraId="38FE58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感官桌</w:t>
            </w:r>
          </w:p>
        </w:tc>
        <w:tc>
          <w:tcPr>
            <w:tcW w:w="2216" w:type="dxa"/>
            <w:tcBorders>
              <w:tl2br w:val="nil"/>
              <w:tr2bl w:val="nil"/>
            </w:tcBorders>
            <w:shd w:val="clear" w:color="auto" w:fill="auto"/>
            <w:vAlign w:val="center"/>
          </w:tcPr>
          <w:p w14:paraId="2BD6CF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60x60x40、43、46、49、52cm</w:t>
            </w:r>
          </w:p>
        </w:tc>
        <w:tc>
          <w:tcPr>
            <w:tcW w:w="1212" w:type="dxa"/>
            <w:tcBorders>
              <w:tl2br w:val="nil"/>
              <w:tr2bl w:val="nil"/>
            </w:tcBorders>
            <w:shd w:val="clear" w:color="auto" w:fill="auto"/>
            <w:vAlign w:val="center"/>
          </w:tcPr>
          <w:p w14:paraId="443368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38DB96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16B93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DBAD0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20 </w:t>
            </w:r>
          </w:p>
        </w:tc>
        <w:tc>
          <w:tcPr>
            <w:tcW w:w="2668" w:type="dxa"/>
            <w:tcBorders>
              <w:tl2br w:val="nil"/>
              <w:tr2bl w:val="nil"/>
            </w:tcBorders>
            <w:shd w:val="clear" w:color="auto" w:fill="auto"/>
            <w:vAlign w:val="center"/>
          </w:tcPr>
          <w:p w14:paraId="586D70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2层90°弧形柜</w:t>
            </w:r>
          </w:p>
        </w:tc>
        <w:tc>
          <w:tcPr>
            <w:tcW w:w="2216" w:type="dxa"/>
            <w:tcBorders>
              <w:tl2br w:val="nil"/>
              <w:tr2bl w:val="nil"/>
            </w:tcBorders>
            <w:shd w:val="clear" w:color="auto" w:fill="auto"/>
            <w:vAlign w:val="center"/>
          </w:tcPr>
          <w:p w14:paraId="265B1A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L84xW39.5xH51cm</w:t>
            </w:r>
          </w:p>
        </w:tc>
        <w:tc>
          <w:tcPr>
            <w:tcW w:w="1212" w:type="dxa"/>
            <w:tcBorders>
              <w:tl2br w:val="nil"/>
              <w:tr2bl w:val="nil"/>
            </w:tcBorders>
            <w:shd w:val="clear" w:color="auto" w:fill="auto"/>
            <w:vAlign w:val="center"/>
          </w:tcPr>
          <w:p w14:paraId="578912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792E6F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169C3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87788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21 </w:t>
            </w:r>
          </w:p>
        </w:tc>
        <w:tc>
          <w:tcPr>
            <w:tcW w:w="2668" w:type="dxa"/>
            <w:tcBorders>
              <w:tl2br w:val="nil"/>
              <w:tr2bl w:val="nil"/>
            </w:tcBorders>
            <w:shd w:val="clear" w:color="auto" w:fill="auto"/>
            <w:vAlign w:val="center"/>
          </w:tcPr>
          <w:p w14:paraId="1F7C56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托育仙人掌美术画板柜</w:t>
            </w:r>
          </w:p>
        </w:tc>
        <w:tc>
          <w:tcPr>
            <w:tcW w:w="2216" w:type="dxa"/>
            <w:tcBorders>
              <w:tl2br w:val="nil"/>
              <w:tr2bl w:val="nil"/>
            </w:tcBorders>
            <w:shd w:val="clear" w:color="auto" w:fill="auto"/>
            <w:vAlign w:val="center"/>
          </w:tcPr>
          <w:p w14:paraId="4C59D6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L91.5xW30xH108cm</w:t>
            </w:r>
          </w:p>
        </w:tc>
        <w:tc>
          <w:tcPr>
            <w:tcW w:w="1212" w:type="dxa"/>
            <w:tcBorders>
              <w:tl2br w:val="nil"/>
              <w:tr2bl w:val="nil"/>
            </w:tcBorders>
            <w:shd w:val="clear" w:color="auto" w:fill="auto"/>
            <w:vAlign w:val="center"/>
          </w:tcPr>
          <w:p w14:paraId="240DBE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0E8E94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5DDC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5D3B2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22 </w:t>
            </w:r>
          </w:p>
        </w:tc>
        <w:tc>
          <w:tcPr>
            <w:tcW w:w="2668" w:type="dxa"/>
            <w:tcBorders>
              <w:tl2br w:val="nil"/>
              <w:tr2bl w:val="nil"/>
            </w:tcBorders>
            <w:shd w:val="clear" w:color="auto" w:fill="auto"/>
            <w:vAlign w:val="center"/>
          </w:tcPr>
          <w:p w14:paraId="28F13A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3格柜.无背板</w:t>
            </w:r>
          </w:p>
        </w:tc>
        <w:tc>
          <w:tcPr>
            <w:tcW w:w="2216" w:type="dxa"/>
            <w:tcBorders>
              <w:tl2br w:val="nil"/>
              <w:tr2bl w:val="nil"/>
            </w:tcBorders>
            <w:shd w:val="clear" w:color="auto" w:fill="auto"/>
            <w:vAlign w:val="center"/>
          </w:tcPr>
          <w:p w14:paraId="2A9768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L92xW30xH36cm</w:t>
            </w:r>
          </w:p>
        </w:tc>
        <w:tc>
          <w:tcPr>
            <w:tcW w:w="1212" w:type="dxa"/>
            <w:tcBorders>
              <w:tl2br w:val="nil"/>
              <w:tr2bl w:val="nil"/>
            </w:tcBorders>
            <w:shd w:val="clear" w:color="auto" w:fill="auto"/>
            <w:vAlign w:val="center"/>
          </w:tcPr>
          <w:p w14:paraId="2170D70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45F0EB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5EEE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EA814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23 </w:t>
            </w:r>
          </w:p>
        </w:tc>
        <w:tc>
          <w:tcPr>
            <w:tcW w:w="2668" w:type="dxa"/>
            <w:tcBorders>
              <w:tl2br w:val="nil"/>
              <w:tr2bl w:val="nil"/>
            </w:tcBorders>
            <w:shd w:val="clear" w:color="auto" w:fill="auto"/>
            <w:vAlign w:val="center"/>
          </w:tcPr>
          <w:p w14:paraId="3D0A13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托育童趣双人沙发</w:t>
            </w:r>
          </w:p>
        </w:tc>
        <w:tc>
          <w:tcPr>
            <w:tcW w:w="2216" w:type="dxa"/>
            <w:tcBorders>
              <w:tl2br w:val="nil"/>
              <w:tr2bl w:val="nil"/>
            </w:tcBorders>
            <w:shd w:val="clear" w:color="auto" w:fill="auto"/>
            <w:vAlign w:val="center"/>
          </w:tcPr>
          <w:p w14:paraId="63C4EC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L103xW43xH44cm</w:t>
            </w:r>
          </w:p>
        </w:tc>
        <w:tc>
          <w:tcPr>
            <w:tcW w:w="1212" w:type="dxa"/>
            <w:tcBorders>
              <w:tl2br w:val="nil"/>
              <w:tr2bl w:val="nil"/>
            </w:tcBorders>
            <w:shd w:val="clear" w:color="auto" w:fill="auto"/>
            <w:vAlign w:val="center"/>
          </w:tcPr>
          <w:p w14:paraId="1CA57C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261639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10CFC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10975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24 </w:t>
            </w:r>
          </w:p>
        </w:tc>
        <w:tc>
          <w:tcPr>
            <w:tcW w:w="2668" w:type="dxa"/>
            <w:tcBorders>
              <w:tl2br w:val="nil"/>
              <w:tr2bl w:val="nil"/>
            </w:tcBorders>
            <w:shd w:val="clear" w:color="auto" w:fill="auto"/>
            <w:vAlign w:val="center"/>
          </w:tcPr>
          <w:p w14:paraId="2C6FDF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托育童趣单人沙发</w:t>
            </w:r>
          </w:p>
        </w:tc>
        <w:tc>
          <w:tcPr>
            <w:tcW w:w="2216" w:type="dxa"/>
            <w:tcBorders>
              <w:tl2br w:val="nil"/>
              <w:tr2bl w:val="nil"/>
            </w:tcBorders>
            <w:shd w:val="clear" w:color="auto" w:fill="auto"/>
            <w:vAlign w:val="center"/>
          </w:tcPr>
          <w:p w14:paraId="541FF0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L71xW43xH44cm</w:t>
            </w:r>
          </w:p>
        </w:tc>
        <w:tc>
          <w:tcPr>
            <w:tcW w:w="1212" w:type="dxa"/>
            <w:tcBorders>
              <w:tl2br w:val="nil"/>
              <w:tr2bl w:val="nil"/>
            </w:tcBorders>
            <w:shd w:val="clear" w:color="auto" w:fill="auto"/>
            <w:vAlign w:val="center"/>
          </w:tcPr>
          <w:p w14:paraId="0F1153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684607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4FCCA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A3AB6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25 </w:t>
            </w:r>
          </w:p>
        </w:tc>
        <w:tc>
          <w:tcPr>
            <w:tcW w:w="2668" w:type="dxa"/>
            <w:tcBorders>
              <w:tl2br w:val="nil"/>
              <w:tr2bl w:val="nil"/>
            </w:tcBorders>
            <w:shd w:val="clear" w:color="auto" w:fill="auto"/>
            <w:vAlign w:val="center"/>
          </w:tcPr>
          <w:p w14:paraId="44B300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托育袋鼠造型书架</w:t>
            </w:r>
          </w:p>
        </w:tc>
        <w:tc>
          <w:tcPr>
            <w:tcW w:w="2216" w:type="dxa"/>
            <w:tcBorders>
              <w:tl2br w:val="nil"/>
              <w:tr2bl w:val="nil"/>
            </w:tcBorders>
            <w:shd w:val="clear" w:color="auto" w:fill="auto"/>
            <w:vAlign w:val="center"/>
          </w:tcPr>
          <w:p w14:paraId="125CD4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L70xW46xH67cm</w:t>
            </w:r>
          </w:p>
        </w:tc>
        <w:tc>
          <w:tcPr>
            <w:tcW w:w="1212" w:type="dxa"/>
            <w:tcBorders>
              <w:tl2br w:val="nil"/>
              <w:tr2bl w:val="nil"/>
            </w:tcBorders>
            <w:shd w:val="clear" w:color="auto" w:fill="auto"/>
            <w:vAlign w:val="center"/>
          </w:tcPr>
          <w:p w14:paraId="464121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7D80C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2374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2EDB10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26 </w:t>
            </w:r>
          </w:p>
        </w:tc>
        <w:tc>
          <w:tcPr>
            <w:tcW w:w="2668" w:type="dxa"/>
            <w:tcBorders>
              <w:tl2br w:val="nil"/>
              <w:tr2bl w:val="nil"/>
            </w:tcBorders>
            <w:shd w:val="clear" w:color="auto" w:fill="auto"/>
            <w:vAlign w:val="center"/>
          </w:tcPr>
          <w:p w14:paraId="7B0414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托育亲亲自然造型柜</w:t>
            </w:r>
          </w:p>
        </w:tc>
        <w:tc>
          <w:tcPr>
            <w:tcW w:w="2216" w:type="dxa"/>
            <w:tcBorders>
              <w:tl2br w:val="nil"/>
              <w:tr2bl w:val="nil"/>
            </w:tcBorders>
            <w:shd w:val="clear" w:color="auto" w:fill="auto"/>
            <w:vAlign w:val="center"/>
          </w:tcPr>
          <w:p w14:paraId="53690A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L60xW31xH99cm</w:t>
            </w:r>
          </w:p>
        </w:tc>
        <w:tc>
          <w:tcPr>
            <w:tcW w:w="1212" w:type="dxa"/>
            <w:tcBorders>
              <w:tl2br w:val="nil"/>
              <w:tr2bl w:val="nil"/>
            </w:tcBorders>
            <w:shd w:val="clear" w:color="auto" w:fill="auto"/>
            <w:vAlign w:val="center"/>
          </w:tcPr>
          <w:p w14:paraId="4D1F41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73EDC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E3E9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E60D6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27 </w:t>
            </w:r>
          </w:p>
        </w:tc>
        <w:tc>
          <w:tcPr>
            <w:tcW w:w="2668" w:type="dxa"/>
            <w:tcBorders>
              <w:tl2br w:val="nil"/>
              <w:tr2bl w:val="nil"/>
            </w:tcBorders>
            <w:shd w:val="clear" w:color="auto" w:fill="auto"/>
            <w:vAlign w:val="center"/>
          </w:tcPr>
          <w:p w14:paraId="25916D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私密小窝</w:t>
            </w:r>
          </w:p>
        </w:tc>
        <w:tc>
          <w:tcPr>
            <w:tcW w:w="2216" w:type="dxa"/>
            <w:tcBorders>
              <w:tl2br w:val="nil"/>
              <w:tr2bl w:val="nil"/>
            </w:tcBorders>
            <w:shd w:val="clear" w:color="auto" w:fill="auto"/>
            <w:vAlign w:val="center"/>
          </w:tcPr>
          <w:p w14:paraId="225010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L115xW70xH88cm</w:t>
            </w:r>
          </w:p>
        </w:tc>
        <w:tc>
          <w:tcPr>
            <w:tcW w:w="1212" w:type="dxa"/>
            <w:tcBorders>
              <w:tl2br w:val="nil"/>
              <w:tr2bl w:val="nil"/>
            </w:tcBorders>
            <w:shd w:val="clear" w:color="auto" w:fill="auto"/>
            <w:vAlign w:val="center"/>
          </w:tcPr>
          <w:p w14:paraId="1DE330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6EAEE1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7BC8A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721DF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28 </w:t>
            </w:r>
          </w:p>
        </w:tc>
        <w:tc>
          <w:tcPr>
            <w:tcW w:w="2668" w:type="dxa"/>
            <w:tcBorders>
              <w:tl2br w:val="nil"/>
              <w:tr2bl w:val="nil"/>
            </w:tcBorders>
            <w:shd w:val="clear" w:color="auto" w:fill="auto"/>
            <w:vAlign w:val="center"/>
          </w:tcPr>
          <w:p w14:paraId="1E9E7E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点线面蓝色地毯</w:t>
            </w:r>
          </w:p>
        </w:tc>
        <w:tc>
          <w:tcPr>
            <w:tcW w:w="2216" w:type="dxa"/>
            <w:tcBorders>
              <w:tl2br w:val="nil"/>
              <w:tr2bl w:val="nil"/>
            </w:tcBorders>
            <w:shd w:val="clear" w:color="auto" w:fill="auto"/>
            <w:vAlign w:val="center"/>
          </w:tcPr>
          <w:p w14:paraId="2A0B68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L240xW180cm</w:t>
            </w:r>
          </w:p>
        </w:tc>
        <w:tc>
          <w:tcPr>
            <w:tcW w:w="1212" w:type="dxa"/>
            <w:tcBorders>
              <w:tl2br w:val="nil"/>
              <w:tr2bl w:val="nil"/>
            </w:tcBorders>
            <w:shd w:val="clear" w:color="auto" w:fill="auto"/>
            <w:vAlign w:val="center"/>
          </w:tcPr>
          <w:p w14:paraId="6BD87C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15E2F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792C1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4D599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29 </w:t>
            </w:r>
          </w:p>
        </w:tc>
        <w:tc>
          <w:tcPr>
            <w:tcW w:w="2668" w:type="dxa"/>
            <w:tcBorders>
              <w:tl2br w:val="nil"/>
              <w:tr2bl w:val="nil"/>
            </w:tcBorders>
            <w:shd w:val="clear" w:color="auto" w:fill="auto"/>
            <w:vAlign w:val="center"/>
          </w:tcPr>
          <w:p w14:paraId="21B9B8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感统钻洞</w:t>
            </w:r>
          </w:p>
        </w:tc>
        <w:tc>
          <w:tcPr>
            <w:tcW w:w="2216" w:type="dxa"/>
            <w:tcBorders>
              <w:tl2br w:val="nil"/>
              <w:tr2bl w:val="nil"/>
            </w:tcBorders>
            <w:shd w:val="clear" w:color="auto" w:fill="auto"/>
            <w:vAlign w:val="center"/>
          </w:tcPr>
          <w:p w14:paraId="7277BA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L60xW60xH60cm</w:t>
            </w:r>
          </w:p>
        </w:tc>
        <w:tc>
          <w:tcPr>
            <w:tcW w:w="1212" w:type="dxa"/>
            <w:tcBorders>
              <w:tl2br w:val="nil"/>
              <w:tr2bl w:val="nil"/>
            </w:tcBorders>
            <w:shd w:val="clear" w:color="auto" w:fill="auto"/>
            <w:vAlign w:val="center"/>
          </w:tcPr>
          <w:p w14:paraId="40D4CE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0E88C9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1C028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AB418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30 </w:t>
            </w:r>
          </w:p>
        </w:tc>
        <w:tc>
          <w:tcPr>
            <w:tcW w:w="2668" w:type="dxa"/>
            <w:tcBorders>
              <w:tl2br w:val="nil"/>
              <w:tr2bl w:val="nil"/>
            </w:tcBorders>
            <w:shd w:val="clear" w:color="auto" w:fill="auto"/>
            <w:vAlign w:val="center"/>
          </w:tcPr>
          <w:p w14:paraId="6C7D9F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感统波浪阶梯</w:t>
            </w:r>
          </w:p>
        </w:tc>
        <w:tc>
          <w:tcPr>
            <w:tcW w:w="2216" w:type="dxa"/>
            <w:tcBorders>
              <w:tl2br w:val="nil"/>
              <w:tr2bl w:val="nil"/>
            </w:tcBorders>
            <w:shd w:val="clear" w:color="auto" w:fill="auto"/>
            <w:vAlign w:val="center"/>
          </w:tcPr>
          <w:p w14:paraId="63DA39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L60xW60xH36cm</w:t>
            </w:r>
          </w:p>
        </w:tc>
        <w:tc>
          <w:tcPr>
            <w:tcW w:w="1212" w:type="dxa"/>
            <w:tcBorders>
              <w:tl2br w:val="nil"/>
              <w:tr2bl w:val="nil"/>
            </w:tcBorders>
            <w:shd w:val="clear" w:color="auto" w:fill="auto"/>
            <w:vAlign w:val="center"/>
          </w:tcPr>
          <w:p w14:paraId="0F0658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147EC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1978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B1B1A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31 </w:t>
            </w:r>
          </w:p>
        </w:tc>
        <w:tc>
          <w:tcPr>
            <w:tcW w:w="2668" w:type="dxa"/>
            <w:tcBorders>
              <w:tl2br w:val="nil"/>
              <w:tr2bl w:val="nil"/>
            </w:tcBorders>
            <w:shd w:val="clear" w:color="auto" w:fill="auto"/>
            <w:vAlign w:val="center"/>
          </w:tcPr>
          <w:p w14:paraId="427A9C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不规则方块软包.烟灰绿</w:t>
            </w:r>
          </w:p>
        </w:tc>
        <w:tc>
          <w:tcPr>
            <w:tcW w:w="2216" w:type="dxa"/>
            <w:tcBorders>
              <w:tl2br w:val="nil"/>
              <w:tr2bl w:val="nil"/>
            </w:tcBorders>
            <w:shd w:val="clear" w:color="auto" w:fill="auto"/>
            <w:vAlign w:val="center"/>
          </w:tcPr>
          <w:p w14:paraId="42E647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L120xW120xH18cm（R60cm）</w:t>
            </w:r>
          </w:p>
        </w:tc>
        <w:tc>
          <w:tcPr>
            <w:tcW w:w="1212" w:type="dxa"/>
            <w:tcBorders>
              <w:tl2br w:val="nil"/>
              <w:tr2bl w:val="nil"/>
            </w:tcBorders>
            <w:shd w:val="clear" w:color="auto" w:fill="auto"/>
            <w:vAlign w:val="center"/>
          </w:tcPr>
          <w:p w14:paraId="2485DF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E12ED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77F31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9C988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32 </w:t>
            </w:r>
          </w:p>
        </w:tc>
        <w:tc>
          <w:tcPr>
            <w:tcW w:w="2668" w:type="dxa"/>
            <w:tcBorders>
              <w:tl2br w:val="nil"/>
              <w:tr2bl w:val="nil"/>
            </w:tcBorders>
            <w:shd w:val="clear" w:color="auto" w:fill="auto"/>
            <w:vAlign w:val="center"/>
          </w:tcPr>
          <w:p w14:paraId="460C4F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1/4椭圆软包.烟灰绿</w:t>
            </w:r>
          </w:p>
        </w:tc>
        <w:tc>
          <w:tcPr>
            <w:tcW w:w="2216" w:type="dxa"/>
            <w:tcBorders>
              <w:tl2br w:val="nil"/>
              <w:tr2bl w:val="nil"/>
            </w:tcBorders>
            <w:shd w:val="clear" w:color="auto" w:fill="auto"/>
            <w:vAlign w:val="center"/>
          </w:tcPr>
          <w:p w14:paraId="4FC561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L120xW60xH9cm</w:t>
            </w:r>
          </w:p>
        </w:tc>
        <w:tc>
          <w:tcPr>
            <w:tcW w:w="1212" w:type="dxa"/>
            <w:tcBorders>
              <w:tl2br w:val="nil"/>
              <w:tr2bl w:val="nil"/>
            </w:tcBorders>
            <w:shd w:val="clear" w:color="auto" w:fill="auto"/>
            <w:vAlign w:val="center"/>
          </w:tcPr>
          <w:p w14:paraId="26D1C8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3F279F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7793A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CE37D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33 </w:t>
            </w:r>
          </w:p>
        </w:tc>
        <w:tc>
          <w:tcPr>
            <w:tcW w:w="2668" w:type="dxa"/>
            <w:tcBorders>
              <w:tl2br w:val="nil"/>
              <w:tr2bl w:val="nil"/>
            </w:tcBorders>
            <w:shd w:val="clear" w:color="auto" w:fill="auto"/>
            <w:vAlign w:val="center"/>
          </w:tcPr>
          <w:p w14:paraId="65D8F8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弧形软包(小).橙色</w:t>
            </w:r>
          </w:p>
        </w:tc>
        <w:tc>
          <w:tcPr>
            <w:tcW w:w="2216" w:type="dxa"/>
            <w:tcBorders>
              <w:tl2br w:val="nil"/>
              <w:tr2bl w:val="nil"/>
            </w:tcBorders>
            <w:shd w:val="clear" w:color="auto" w:fill="auto"/>
            <w:vAlign w:val="center"/>
          </w:tcPr>
          <w:p w14:paraId="11DCEA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外：R40cm；内：R20cm；高：18cm</w:t>
            </w:r>
          </w:p>
        </w:tc>
        <w:tc>
          <w:tcPr>
            <w:tcW w:w="1212" w:type="dxa"/>
            <w:tcBorders>
              <w:tl2br w:val="nil"/>
              <w:tr2bl w:val="nil"/>
            </w:tcBorders>
            <w:shd w:val="clear" w:color="auto" w:fill="auto"/>
            <w:vAlign w:val="center"/>
          </w:tcPr>
          <w:p w14:paraId="532AF9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3B9FED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3081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3F3BE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34 </w:t>
            </w:r>
          </w:p>
        </w:tc>
        <w:tc>
          <w:tcPr>
            <w:tcW w:w="2668" w:type="dxa"/>
            <w:tcBorders>
              <w:tl2br w:val="nil"/>
              <w:tr2bl w:val="nil"/>
            </w:tcBorders>
            <w:shd w:val="clear" w:color="auto" w:fill="auto"/>
            <w:vAlign w:val="center"/>
          </w:tcPr>
          <w:p w14:paraId="1F2752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树叶软包(小)</w:t>
            </w:r>
          </w:p>
        </w:tc>
        <w:tc>
          <w:tcPr>
            <w:tcW w:w="2216" w:type="dxa"/>
            <w:tcBorders>
              <w:tl2br w:val="nil"/>
              <w:tr2bl w:val="nil"/>
            </w:tcBorders>
            <w:shd w:val="clear" w:color="auto" w:fill="auto"/>
            <w:vAlign w:val="center"/>
          </w:tcPr>
          <w:p w14:paraId="79CFF64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L33xW20xH56cm</w:t>
            </w:r>
          </w:p>
        </w:tc>
        <w:tc>
          <w:tcPr>
            <w:tcW w:w="1212" w:type="dxa"/>
            <w:tcBorders>
              <w:tl2br w:val="nil"/>
              <w:tr2bl w:val="nil"/>
            </w:tcBorders>
            <w:shd w:val="clear" w:color="auto" w:fill="auto"/>
            <w:vAlign w:val="center"/>
          </w:tcPr>
          <w:p w14:paraId="132A0F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656FC3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9795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ADE4D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35 </w:t>
            </w:r>
          </w:p>
        </w:tc>
        <w:tc>
          <w:tcPr>
            <w:tcW w:w="2668" w:type="dxa"/>
            <w:tcBorders>
              <w:tl2br w:val="nil"/>
              <w:tr2bl w:val="nil"/>
            </w:tcBorders>
            <w:shd w:val="clear" w:color="auto" w:fill="auto"/>
            <w:vAlign w:val="center"/>
          </w:tcPr>
          <w:p w14:paraId="555F6E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树叶软包(大)</w:t>
            </w:r>
          </w:p>
        </w:tc>
        <w:tc>
          <w:tcPr>
            <w:tcW w:w="2216" w:type="dxa"/>
            <w:tcBorders>
              <w:tl2br w:val="nil"/>
              <w:tr2bl w:val="nil"/>
            </w:tcBorders>
            <w:shd w:val="clear" w:color="auto" w:fill="auto"/>
            <w:vAlign w:val="center"/>
          </w:tcPr>
          <w:p w14:paraId="01A6B5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L46xW23xH80cm</w:t>
            </w:r>
          </w:p>
        </w:tc>
        <w:tc>
          <w:tcPr>
            <w:tcW w:w="1212" w:type="dxa"/>
            <w:tcBorders>
              <w:tl2br w:val="nil"/>
              <w:tr2bl w:val="nil"/>
            </w:tcBorders>
            <w:shd w:val="clear" w:color="auto" w:fill="auto"/>
            <w:vAlign w:val="center"/>
          </w:tcPr>
          <w:p w14:paraId="622BDA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18F3334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6C6F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CB926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36 </w:t>
            </w:r>
          </w:p>
        </w:tc>
        <w:tc>
          <w:tcPr>
            <w:tcW w:w="2668" w:type="dxa"/>
            <w:tcBorders>
              <w:tl2br w:val="nil"/>
              <w:tr2bl w:val="nil"/>
            </w:tcBorders>
            <w:shd w:val="clear" w:color="auto" w:fill="auto"/>
            <w:vAlign w:val="center"/>
          </w:tcPr>
          <w:p w14:paraId="5A0945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萝卜墩软包</w:t>
            </w:r>
          </w:p>
        </w:tc>
        <w:tc>
          <w:tcPr>
            <w:tcW w:w="2216" w:type="dxa"/>
            <w:tcBorders>
              <w:tl2br w:val="nil"/>
              <w:tr2bl w:val="nil"/>
            </w:tcBorders>
            <w:shd w:val="clear" w:color="auto" w:fill="auto"/>
            <w:vAlign w:val="center"/>
          </w:tcPr>
          <w:p w14:paraId="693D96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φ30xH25cm（底部φ22cm）</w:t>
            </w:r>
          </w:p>
        </w:tc>
        <w:tc>
          <w:tcPr>
            <w:tcW w:w="1212" w:type="dxa"/>
            <w:tcBorders>
              <w:tl2br w:val="nil"/>
              <w:tr2bl w:val="nil"/>
            </w:tcBorders>
            <w:shd w:val="clear" w:color="auto" w:fill="auto"/>
            <w:vAlign w:val="center"/>
          </w:tcPr>
          <w:p w14:paraId="3F3FA4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2FA283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5B09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E041E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37 </w:t>
            </w:r>
          </w:p>
        </w:tc>
        <w:tc>
          <w:tcPr>
            <w:tcW w:w="2668" w:type="dxa"/>
            <w:tcBorders>
              <w:tl2br w:val="nil"/>
              <w:tr2bl w:val="nil"/>
            </w:tcBorders>
            <w:shd w:val="clear" w:color="auto" w:fill="auto"/>
            <w:vAlign w:val="center"/>
          </w:tcPr>
          <w:p w14:paraId="5D19BF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圆洞障碍软包</w:t>
            </w:r>
          </w:p>
        </w:tc>
        <w:tc>
          <w:tcPr>
            <w:tcW w:w="2216" w:type="dxa"/>
            <w:tcBorders>
              <w:tl2br w:val="nil"/>
              <w:tr2bl w:val="nil"/>
            </w:tcBorders>
            <w:shd w:val="clear" w:color="auto" w:fill="auto"/>
            <w:vAlign w:val="center"/>
          </w:tcPr>
          <w:p w14:paraId="6255EE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L120xW60xH18cm</w:t>
            </w:r>
          </w:p>
        </w:tc>
        <w:tc>
          <w:tcPr>
            <w:tcW w:w="1212" w:type="dxa"/>
            <w:tcBorders>
              <w:tl2br w:val="nil"/>
              <w:tr2bl w:val="nil"/>
            </w:tcBorders>
            <w:shd w:val="clear" w:color="auto" w:fill="auto"/>
            <w:vAlign w:val="center"/>
          </w:tcPr>
          <w:p w14:paraId="0EA035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5D6156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F7A5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AC49B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38 </w:t>
            </w:r>
          </w:p>
        </w:tc>
        <w:tc>
          <w:tcPr>
            <w:tcW w:w="2668" w:type="dxa"/>
            <w:tcBorders>
              <w:tl2br w:val="nil"/>
              <w:tr2bl w:val="nil"/>
            </w:tcBorders>
            <w:shd w:val="clear" w:color="auto" w:fill="auto"/>
            <w:vAlign w:val="center"/>
          </w:tcPr>
          <w:p w14:paraId="1E5213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42格茶杯架.落地款</w:t>
            </w:r>
          </w:p>
        </w:tc>
        <w:tc>
          <w:tcPr>
            <w:tcW w:w="2216" w:type="dxa"/>
            <w:tcBorders>
              <w:tl2br w:val="nil"/>
              <w:tr2bl w:val="nil"/>
            </w:tcBorders>
            <w:shd w:val="clear" w:color="auto" w:fill="auto"/>
            <w:vAlign w:val="center"/>
          </w:tcPr>
          <w:p w14:paraId="7027CB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L73xW30xH102cm</w:t>
            </w:r>
          </w:p>
        </w:tc>
        <w:tc>
          <w:tcPr>
            <w:tcW w:w="1212" w:type="dxa"/>
            <w:tcBorders>
              <w:tl2br w:val="nil"/>
              <w:tr2bl w:val="nil"/>
            </w:tcBorders>
            <w:shd w:val="clear" w:color="auto" w:fill="auto"/>
            <w:vAlign w:val="center"/>
          </w:tcPr>
          <w:p w14:paraId="1874D3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21C9EE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58AA1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AC415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39 </w:t>
            </w:r>
          </w:p>
        </w:tc>
        <w:tc>
          <w:tcPr>
            <w:tcW w:w="2668" w:type="dxa"/>
            <w:tcBorders>
              <w:tl2br w:val="nil"/>
              <w:tr2bl w:val="nil"/>
            </w:tcBorders>
            <w:shd w:val="clear" w:color="auto" w:fill="auto"/>
            <w:vAlign w:val="center"/>
          </w:tcPr>
          <w:p w14:paraId="615D14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托育婴幼儿活动床1.24m</w:t>
            </w:r>
          </w:p>
        </w:tc>
        <w:tc>
          <w:tcPr>
            <w:tcW w:w="2216" w:type="dxa"/>
            <w:tcBorders>
              <w:tl2br w:val="nil"/>
              <w:tr2bl w:val="nil"/>
            </w:tcBorders>
            <w:shd w:val="clear" w:color="auto" w:fill="auto"/>
            <w:vAlign w:val="center"/>
          </w:tcPr>
          <w:p w14:paraId="7A7E62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L124xW58xH22.5cm(不含轮)</w:t>
            </w:r>
          </w:p>
        </w:tc>
        <w:tc>
          <w:tcPr>
            <w:tcW w:w="1212" w:type="dxa"/>
            <w:tcBorders>
              <w:tl2br w:val="nil"/>
              <w:tr2bl w:val="nil"/>
            </w:tcBorders>
            <w:shd w:val="clear" w:color="auto" w:fill="auto"/>
            <w:vAlign w:val="center"/>
          </w:tcPr>
          <w:p w14:paraId="5E15E5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22</w:t>
            </w:r>
          </w:p>
        </w:tc>
        <w:tc>
          <w:tcPr>
            <w:tcW w:w="1212" w:type="dxa"/>
            <w:tcBorders>
              <w:tl2br w:val="nil"/>
              <w:tr2bl w:val="nil"/>
            </w:tcBorders>
            <w:shd w:val="clear" w:color="auto" w:fill="auto"/>
            <w:vAlign w:val="center"/>
          </w:tcPr>
          <w:p w14:paraId="3802A9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5D12C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25315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 xml:space="preserve">40 </w:t>
            </w:r>
          </w:p>
        </w:tc>
        <w:tc>
          <w:tcPr>
            <w:tcW w:w="2668" w:type="dxa"/>
            <w:tcBorders>
              <w:tl2br w:val="nil"/>
              <w:tr2bl w:val="nil"/>
            </w:tcBorders>
            <w:shd w:val="clear" w:color="auto" w:fill="auto"/>
            <w:vAlign w:val="center"/>
          </w:tcPr>
          <w:p w14:paraId="32CDD2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丝杆万向脚轮(适配叠床)</w:t>
            </w:r>
          </w:p>
        </w:tc>
        <w:tc>
          <w:tcPr>
            <w:tcW w:w="2216" w:type="dxa"/>
            <w:tcBorders>
              <w:tl2br w:val="nil"/>
              <w:tr2bl w:val="nil"/>
            </w:tcBorders>
            <w:shd w:val="clear" w:color="auto" w:fill="auto"/>
            <w:vAlign w:val="center"/>
          </w:tcPr>
          <w:p w14:paraId="39D543B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φ6xH8cm</w:t>
            </w:r>
          </w:p>
        </w:tc>
        <w:tc>
          <w:tcPr>
            <w:tcW w:w="1212" w:type="dxa"/>
            <w:tcBorders>
              <w:tl2br w:val="nil"/>
              <w:tr2bl w:val="nil"/>
            </w:tcBorders>
            <w:shd w:val="clear" w:color="auto" w:fill="auto"/>
            <w:vAlign w:val="center"/>
          </w:tcPr>
          <w:p w14:paraId="5D19D6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w:t>
            </w:r>
          </w:p>
        </w:tc>
        <w:tc>
          <w:tcPr>
            <w:tcW w:w="1212" w:type="dxa"/>
            <w:tcBorders>
              <w:tl2br w:val="nil"/>
              <w:tr2bl w:val="nil"/>
            </w:tcBorders>
            <w:shd w:val="clear" w:color="auto" w:fill="auto"/>
            <w:vAlign w:val="center"/>
          </w:tcPr>
          <w:p w14:paraId="21314D4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none"/>
                <w:u w:val="none"/>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618AA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8519" w:type="dxa"/>
            <w:gridSpan w:val="5"/>
            <w:tcBorders>
              <w:tl2br w:val="nil"/>
              <w:tr2bl w:val="nil"/>
            </w:tcBorders>
            <w:shd w:val="clear" w:color="auto" w:fill="auto"/>
            <w:vAlign w:val="center"/>
          </w:tcPr>
          <w:p w14:paraId="2F431E5E">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t>小班</w:t>
            </w:r>
          </w:p>
        </w:tc>
      </w:tr>
      <w:tr w14:paraId="0F149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46444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41</w:t>
            </w:r>
          </w:p>
        </w:tc>
        <w:tc>
          <w:tcPr>
            <w:tcW w:w="2668" w:type="dxa"/>
            <w:tcBorders>
              <w:tl2br w:val="nil"/>
              <w:tr2bl w:val="nil"/>
            </w:tcBorders>
            <w:shd w:val="clear" w:color="auto" w:fill="auto"/>
            <w:vAlign w:val="center"/>
          </w:tcPr>
          <w:p w14:paraId="4CAA25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原木6人桌.49cm</w:t>
            </w:r>
          </w:p>
        </w:tc>
        <w:tc>
          <w:tcPr>
            <w:tcW w:w="2216" w:type="dxa"/>
            <w:tcBorders>
              <w:tl2br w:val="nil"/>
              <w:tr2bl w:val="nil"/>
            </w:tcBorders>
            <w:shd w:val="clear" w:color="auto" w:fill="auto"/>
            <w:vAlign w:val="center"/>
          </w:tcPr>
          <w:p w14:paraId="7C9D28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L120xW60xH49cm</w:t>
            </w:r>
          </w:p>
        </w:tc>
        <w:tc>
          <w:tcPr>
            <w:tcW w:w="1212" w:type="dxa"/>
            <w:tcBorders>
              <w:tl2br w:val="nil"/>
              <w:tr2bl w:val="nil"/>
            </w:tcBorders>
            <w:shd w:val="clear" w:color="auto" w:fill="auto"/>
            <w:vAlign w:val="center"/>
          </w:tcPr>
          <w:p w14:paraId="063B0179">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w:t>
            </w:r>
          </w:p>
        </w:tc>
        <w:tc>
          <w:tcPr>
            <w:tcW w:w="1212" w:type="dxa"/>
            <w:tcBorders>
              <w:tl2br w:val="nil"/>
              <w:tr2bl w:val="nil"/>
            </w:tcBorders>
            <w:shd w:val="clear" w:color="auto" w:fill="auto"/>
            <w:vAlign w:val="center"/>
          </w:tcPr>
          <w:p w14:paraId="57EAFA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0F615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D17865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42</w:t>
            </w:r>
          </w:p>
        </w:tc>
        <w:tc>
          <w:tcPr>
            <w:tcW w:w="2668" w:type="dxa"/>
            <w:tcBorders>
              <w:tl2br w:val="nil"/>
              <w:tr2bl w:val="nil"/>
            </w:tcBorders>
            <w:shd w:val="clear" w:color="auto" w:fill="auto"/>
            <w:vAlign w:val="center"/>
          </w:tcPr>
          <w:p w14:paraId="4B0030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原木4人桌.49cm</w:t>
            </w:r>
          </w:p>
        </w:tc>
        <w:tc>
          <w:tcPr>
            <w:tcW w:w="2216" w:type="dxa"/>
            <w:tcBorders>
              <w:tl2br w:val="nil"/>
              <w:tr2bl w:val="nil"/>
            </w:tcBorders>
            <w:shd w:val="clear" w:color="auto" w:fill="auto"/>
            <w:vAlign w:val="center"/>
          </w:tcPr>
          <w:p w14:paraId="6D97C2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L60xW60xH49cm</w:t>
            </w:r>
          </w:p>
        </w:tc>
        <w:tc>
          <w:tcPr>
            <w:tcW w:w="1212" w:type="dxa"/>
            <w:tcBorders>
              <w:tl2br w:val="nil"/>
              <w:tr2bl w:val="nil"/>
            </w:tcBorders>
            <w:shd w:val="clear" w:color="auto" w:fill="auto"/>
            <w:vAlign w:val="center"/>
          </w:tcPr>
          <w:p w14:paraId="1544C5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w:t>
            </w:r>
          </w:p>
        </w:tc>
        <w:tc>
          <w:tcPr>
            <w:tcW w:w="1212" w:type="dxa"/>
            <w:tcBorders>
              <w:tl2br w:val="nil"/>
              <w:tr2bl w:val="nil"/>
            </w:tcBorders>
            <w:shd w:val="clear" w:color="auto" w:fill="auto"/>
            <w:vAlign w:val="center"/>
          </w:tcPr>
          <w:p w14:paraId="233047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36C26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F0E5E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43</w:t>
            </w:r>
          </w:p>
        </w:tc>
        <w:tc>
          <w:tcPr>
            <w:tcW w:w="2668" w:type="dxa"/>
            <w:tcBorders>
              <w:tl2br w:val="nil"/>
              <w:tr2bl w:val="nil"/>
            </w:tcBorders>
            <w:shd w:val="clear" w:color="auto" w:fill="auto"/>
            <w:vAlign w:val="center"/>
          </w:tcPr>
          <w:p w14:paraId="416CEE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原木椅.25cm</w:t>
            </w:r>
          </w:p>
        </w:tc>
        <w:tc>
          <w:tcPr>
            <w:tcW w:w="2216" w:type="dxa"/>
            <w:tcBorders>
              <w:tl2br w:val="nil"/>
              <w:tr2bl w:val="nil"/>
            </w:tcBorders>
            <w:shd w:val="clear" w:color="auto" w:fill="auto"/>
            <w:vAlign w:val="center"/>
          </w:tcPr>
          <w:p w14:paraId="227F87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L30xW30xH47cm（座高25cm）</w:t>
            </w:r>
          </w:p>
        </w:tc>
        <w:tc>
          <w:tcPr>
            <w:tcW w:w="1212" w:type="dxa"/>
            <w:tcBorders>
              <w:tl2br w:val="nil"/>
              <w:tr2bl w:val="nil"/>
            </w:tcBorders>
            <w:shd w:val="clear" w:color="auto" w:fill="auto"/>
            <w:vAlign w:val="center"/>
          </w:tcPr>
          <w:p w14:paraId="4E7893CF">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56</w:t>
            </w:r>
          </w:p>
        </w:tc>
        <w:tc>
          <w:tcPr>
            <w:tcW w:w="1212" w:type="dxa"/>
            <w:tcBorders>
              <w:tl2br w:val="nil"/>
              <w:tr2bl w:val="nil"/>
            </w:tcBorders>
            <w:shd w:val="clear" w:color="auto" w:fill="auto"/>
            <w:vAlign w:val="center"/>
          </w:tcPr>
          <w:p w14:paraId="713925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338A4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2DF5E0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44</w:t>
            </w:r>
          </w:p>
        </w:tc>
        <w:tc>
          <w:tcPr>
            <w:tcW w:w="2668" w:type="dxa"/>
            <w:tcBorders>
              <w:tl2br w:val="nil"/>
              <w:tr2bl w:val="nil"/>
            </w:tcBorders>
            <w:shd w:val="clear" w:color="auto" w:fill="auto"/>
            <w:vAlign w:val="center"/>
          </w:tcPr>
          <w:p w14:paraId="34A299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蒙泰基一体成型椅.41cm.可叠</w:t>
            </w:r>
          </w:p>
        </w:tc>
        <w:tc>
          <w:tcPr>
            <w:tcW w:w="2216" w:type="dxa"/>
            <w:tcBorders>
              <w:tl2br w:val="nil"/>
              <w:tr2bl w:val="nil"/>
            </w:tcBorders>
            <w:shd w:val="clear" w:color="auto" w:fill="auto"/>
            <w:vAlign w:val="center"/>
          </w:tcPr>
          <w:p w14:paraId="4C7AC7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L47xW46.5xH73cm（座高41cm）</w:t>
            </w:r>
          </w:p>
        </w:tc>
        <w:tc>
          <w:tcPr>
            <w:tcW w:w="1212" w:type="dxa"/>
            <w:tcBorders>
              <w:tl2br w:val="nil"/>
              <w:tr2bl w:val="nil"/>
            </w:tcBorders>
            <w:shd w:val="clear" w:color="auto" w:fill="auto"/>
            <w:vAlign w:val="center"/>
          </w:tcPr>
          <w:p w14:paraId="19807D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c>
          <w:tcPr>
            <w:tcW w:w="1212" w:type="dxa"/>
            <w:tcBorders>
              <w:tl2br w:val="nil"/>
              <w:tr2bl w:val="nil"/>
            </w:tcBorders>
            <w:shd w:val="clear" w:color="auto" w:fill="auto"/>
            <w:vAlign w:val="center"/>
          </w:tcPr>
          <w:p w14:paraId="3ED81A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7E043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42D79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45</w:t>
            </w:r>
          </w:p>
        </w:tc>
        <w:tc>
          <w:tcPr>
            <w:tcW w:w="2668" w:type="dxa"/>
            <w:tcBorders>
              <w:tl2br w:val="nil"/>
              <w:tr2bl w:val="nil"/>
            </w:tcBorders>
            <w:shd w:val="clear" w:color="auto" w:fill="auto"/>
            <w:vAlign w:val="center"/>
          </w:tcPr>
          <w:p w14:paraId="23FC334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美术储物双面画架</w:t>
            </w:r>
          </w:p>
        </w:tc>
        <w:tc>
          <w:tcPr>
            <w:tcW w:w="2216" w:type="dxa"/>
            <w:tcBorders>
              <w:tl2br w:val="nil"/>
              <w:tr2bl w:val="nil"/>
            </w:tcBorders>
            <w:shd w:val="clear" w:color="auto" w:fill="auto"/>
            <w:vAlign w:val="center"/>
          </w:tcPr>
          <w:p w14:paraId="63614E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L62xW45xH124cm（含轮 ）</w:t>
            </w:r>
          </w:p>
        </w:tc>
        <w:tc>
          <w:tcPr>
            <w:tcW w:w="1212" w:type="dxa"/>
            <w:tcBorders>
              <w:tl2br w:val="nil"/>
              <w:tr2bl w:val="nil"/>
            </w:tcBorders>
            <w:shd w:val="clear" w:color="auto" w:fill="auto"/>
            <w:vAlign w:val="center"/>
          </w:tcPr>
          <w:p w14:paraId="1F9E47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78F2C1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368E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87F5E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46</w:t>
            </w:r>
          </w:p>
        </w:tc>
        <w:tc>
          <w:tcPr>
            <w:tcW w:w="2668" w:type="dxa"/>
            <w:tcBorders>
              <w:tl2br w:val="nil"/>
              <w:tr2bl w:val="nil"/>
            </w:tcBorders>
            <w:shd w:val="clear" w:color="auto" w:fill="auto"/>
            <w:vAlign w:val="center"/>
          </w:tcPr>
          <w:p w14:paraId="4C2BC2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美术作品晾干柜</w:t>
            </w:r>
          </w:p>
        </w:tc>
        <w:tc>
          <w:tcPr>
            <w:tcW w:w="2216" w:type="dxa"/>
            <w:tcBorders>
              <w:tl2br w:val="nil"/>
              <w:tr2bl w:val="nil"/>
            </w:tcBorders>
            <w:shd w:val="clear" w:color="auto" w:fill="auto"/>
            <w:vAlign w:val="center"/>
          </w:tcPr>
          <w:p w14:paraId="54DEE0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L50xW40xH76cm</w:t>
            </w:r>
          </w:p>
        </w:tc>
        <w:tc>
          <w:tcPr>
            <w:tcW w:w="1212" w:type="dxa"/>
            <w:tcBorders>
              <w:tl2br w:val="nil"/>
              <w:tr2bl w:val="nil"/>
            </w:tcBorders>
            <w:shd w:val="clear" w:color="auto" w:fill="auto"/>
            <w:vAlign w:val="center"/>
          </w:tcPr>
          <w:p w14:paraId="7830F1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2F328E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70105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AABD20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47</w:t>
            </w:r>
          </w:p>
        </w:tc>
        <w:tc>
          <w:tcPr>
            <w:tcW w:w="2668" w:type="dxa"/>
            <w:tcBorders>
              <w:tl2br w:val="nil"/>
              <w:tr2bl w:val="nil"/>
            </w:tcBorders>
            <w:shd w:val="clear" w:color="auto" w:fill="auto"/>
            <w:vAlign w:val="center"/>
          </w:tcPr>
          <w:p w14:paraId="268E27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美术用品收纳柜</w:t>
            </w:r>
          </w:p>
        </w:tc>
        <w:tc>
          <w:tcPr>
            <w:tcW w:w="2216" w:type="dxa"/>
            <w:tcBorders>
              <w:tl2br w:val="nil"/>
              <w:tr2bl w:val="nil"/>
            </w:tcBorders>
            <w:shd w:val="clear" w:color="auto" w:fill="auto"/>
            <w:vAlign w:val="center"/>
          </w:tcPr>
          <w:p w14:paraId="45D1A1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L100xW40xH61.5cm</w:t>
            </w:r>
          </w:p>
        </w:tc>
        <w:tc>
          <w:tcPr>
            <w:tcW w:w="1212" w:type="dxa"/>
            <w:tcBorders>
              <w:tl2br w:val="nil"/>
              <w:tr2bl w:val="nil"/>
            </w:tcBorders>
            <w:shd w:val="clear" w:color="auto" w:fill="auto"/>
            <w:vAlign w:val="center"/>
          </w:tcPr>
          <w:p w14:paraId="5FAF36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56BE09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74955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67F99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48</w:t>
            </w:r>
          </w:p>
        </w:tc>
        <w:tc>
          <w:tcPr>
            <w:tcW w:w="2668" w:type="dxa"/>
            <w:tcBorders>
              <w:tl2br w:val="nil"/>
              <w:tr2bl w:val="nil"/>
            </w:tcBorders>
            <w:shd w:val="clear" w:color="auto" w:fill="auto"/>
            <w:vAlign w:val="center"/>
          </w:tcPr>
          <w:p w14:paraId="434256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三层教具篮收纳柜</w:t>
            </w:r>
          </w:p>
        </w:tc>
        <w:tc>
          <w:tcPr>
            <w:tcW w:w="2216" w:type="dxa"/>
            <w:tcBorders>
              <w:tl2br w:val="nil"/>
              <w:tr2bl w:val="nil"/>
            </w:tcBorders>
            <w:shd w:val="clear" w:color="auto" w:fill="auto"/>
            <w:vAlign w:val="center"/>
          </w:tcPr>
          <w:p w14:paraId="716B4A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L91xW30xH59cm</w:t>
            </w:r>
          </w:p>
        </w:tc>
        <w:tc>
          <w:tcPr>
            <w:tcW w:w="1212" w:type="dxa"/>
            <w:tcBorders>
              <w:tl2br w:val="nil"/>
              <w:tr2bl w:val="nil"/>
            </w:tcBorders>
            <w:shd w:val="clear" w:color="auto" w:fill="auto"/>
            <w:vAlign w:val="center"/>
          </w:tcPr>
          <w:p w14:paraId="07BE5D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0B34DF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37956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2C252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49</w:t>
            </w:r>
          </w:p>
        </w:tc>
        <w:tc>
          <w:tcPr>
            <w:tcW w:w="2668" w:type="dxa"/>
            <w:tcBorders>
              <w:tl2br w:val="nil"/>
              <w:tr2bl w:val="nil"/>
            </w:tcBorders>
            <w:shd w:val="clear" w:color="auto" w:fill="auto"/>
            <w:vAlign w:val="center"/>
          </w:tcPr>
          <w:p w14:paraId="154E87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互动展示柜</w:t>
            </w:r>
          </w:p>
        </w:tc>
        <w:tc>
          <w:tcPr>
            <w:tcW w:w="2216" w:type="dxa"/>
            <w:tcBorders>
              <w:tl2br w:val="nil"/>
              <w:tr2bl w:val="nil"/>
            </w:tcBorders>
            <w:shd w:val="clear" w:color="auto" w:fill="auto"/>
            <w:vAlign w:val="center"/>
          </w:tcPr>
          <w:p w14:paraId="71B315B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L91.5xW30xH114cm</w:t>
            </w:r>
          </w:p>
        </w:tc>
        <w:tc>
          <w:tcPr>
            <w:tcW w:w="1212" w:type="dxa"/>
            <w:tcBorders>
              <w:tl2br w:val="nil"/>
              <w:tr2bl w:val="nil"/>
            </w:tcBorders>
            <w:shd w:val="clear" w:color="auto" w:fill="auto"/>
            <w:vAlign w:val="center"/>
          </w:tcPr>
          <w:p w14:paraId="1D7E09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071B05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51244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DC089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50</w:t>
            </w:r>
          </w:p>
        </w:tc>
        <w:tc>
          <w:tcPr>
            <w:tcW w:w="2668" w:type="dxa"/>
            <w:tcBorders>
              <w:tl2br w:val="nil"/>
              <w:tr2bl w:val="nil"/>
            </w:tcBorders>
            <w:shd w:val="clear" w:color="auto" w:fill="auto"/>
            <w:vAlign w:val="center"/>
          </w:tcPr>
          <w:p w14:paraId="3E9FBC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原木3层高柜.全背板</w:t>
            </w:r>
          </w:p>
        </w:tc>
        <w:tc>
          <w:tcPr>
            <w:tcW w:w="2216" w:type="dxa"/>
            <w:tcBorders>
              <w:tl2br w:val="nil"/>
              <w:tr2bl w:val="nil"/>
            </w:tcBorders>
            <w:shd w:val="clear" w:color="auto" w:fill="auto"/>
            <w:vAlign w:val="center"/>
          </w:tcPr>
          <w:p w14:paraId="37D2F0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L91.5xW30xH80cm</w:t>
            </w:r>
          </w:p>
        </w:tc>
        <w:tc>
          <w:tcPr>
            <w:tcW w:w="1212" w:type="dxa"/>
            <w:tcBorders>
              <w:tl2br w:val="nil"/>
              <w:tr2bl w:val="nil"/>
            </w:tcBorders>
            <w:shd w:val="clear" w:color="auto" w:fill="auto"/>
            <w:vAlign w:val="center"/>
          </w:tcPr>
          <w:p w14:paraId="008EB6AC">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24</w:t>
            </w:r>
          </w:p>
        </w:tc>
        <w:tc>
          <w:tcPr>
            <w:tcW w:w="1212" w:type="dxa"/>
            <w:tcBorders>
              <w:tl2br w:val="nil"/>
              <w:tr2bl w:val="nil"/>
            </w:tcBorders>
            <w:shd w:val="clear" w:color="auto" w:fill="auto"/>
            <w:vAlign w:val="center"/>
          </w:tcPr>
          <w:p w14:paraId="7509BA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43D2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C8954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51</w:t>
            </w:r>
          </w:p>
        </w:tc>
        <w:tc>
          <w:tcPr>
            <w:tcW w:w="2668" w:type="dxa"/>
            <w:tcBorders>
              <w:tl2br w:val="nil"/>
              <w:tr2bl w:val="nil"/>
            </w:tcBorders>
            <w:shd w:val="clear" w:color="auto" w:fill="auto"/>
            <w:vAlign w:val="center"/>
          </w:tcPr>
          <w:p w14:paraId="4AF0DF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原木2层90°弧形矮柜</w:t>
            </w:r>
          </w:p>
        </w:tc>
        <w:tc>
          <w:tcPr>
            <w:tcW w:w="2216" w:type="dxa"/>
            <w:tcBorders>
              <w:tl2br w:val="nil"/>
              <w:tr2bl w:val="nil"/>
            </w:tcBorders>
            <w:shd w:val="clear" w:color="auto" w:fill="auto"/>
            <w:vAlign w:val="center"/>
          </w:tcPr>
          <w:p w14:paraId="6058A3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L84xW38.5xH59cm</w:t>
            </w:r>
          </w:p>
        </w:tc>
        <w:tc>
          <w:tcPr>
            <w:tcW w:w="1212" w:type="dxa"/>
            <w:tcBorders>
              <w:tl2br w:val="nil"/>
              <w:tr2bl w:val="nil"/>
            </w:tcBorders>
            <w:shd w:val="clear" w:color="auto" w:fill="auto"/>
            <w:vAlign w:val="center"/>
          </w:tcPr>
          <w:p w14:paraId="7FB5E0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c>
          <w:tcPr>
            <w:tcW w:w="1212" w:type="dxa"/>
            <w:tcBorders>
              <w:tl2br w:val="nil"/>
              <w:tr2bl w:val="nil"/>
            </w:tcBorders>
            <w:shd w:val="clear" w:color="auto" w:fill="auto"/>
            <w:vAlign w:val="center"/>
          </w:tcPr>
          <w:p w14:paraId="4D7B9C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23EC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C6527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52</w:t>
            </w:r>
          </w:p>
        </w:tc>
        <w:tc>
          <w:tcPr>
            <w:tcW w:w="2668" w:type="dxa"/>
            <w:tcBorders>
              <w:tl2br w:val="nil"/>
              <w:tr2bl w:val="nil"/>
            </w:tcBorders>
            <w:shd w:val="clear" w:color="auto" w:fill="auto"/>
            <w:vAlign w:val="center"/>
          </w:tcPr>
          <w:p w14:paraId="16A32D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山峰小屋收纳柜</w:t>
            </w:r>
          </w:p>
        </w:tc>
        <w:tc>
          <w:tcPr>
            <w:tcW w:w="2216" w:type="dxa"/>
            <w:tcBorders>
              <w:tl2br w:val="nil"/>
              <w:tr2bl w:val="nil"/>
            </w:tcBorders>
            <w:shd w:val="clear" w:color="auto" w:fill="auto"/>
            <w:vAlign w:val="center"/>
          </w:tcPr>
          <w:p w14:paraId="7D8AD0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L50xW30xH110.5cm</w:t>
            </w:r>
          </w:p>
        </w:tc>
        <w:tc>
          <w:tcPr>
            <w:tcW w:w="1212" w:type="dxa"/>
            <w:tcBorders>
              <w:tl2br w:val="nil"/>
              <w:tr2bl w:val="nil"/>
            </w:tcBorders>
            <w:shd w:val="clear" w:color="auto" w:fill="auto"/>
            <w:vAlign w:val="center"/>
          </w:tcPr>
          <w:p w14:paraId="260D11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785FDE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13FE1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314DF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53</w:t>
            </w:r>
          </w:p>
        </w:tc>
        <w:tc>
          <w:tcPr>
            <w:tcW w:w="2668" w:type="dxa"/>
            <w:tcBorders>
              <w:tl2br w:val="nil"/>
              <w:tr2bl w:val="nil"/>
            </w:tcBorders>
            <w:shd w:val="clear" w:color="auto" w:fill="auto"/>
            <w:vAlign w:val="center"/>
          </w:tcPr>
          <w:p w14:paraId="1AF887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简约书架</w:t>
            </w:r>
          </w:p>
        </w:tc>
        <w:tc>
          <w:tcPr>
            <w:tcW w:w="2216" w:type="dxa"/>
            <w:tcBorders>
              <w:tl2br w:val="nil"/>
              <w:tr2bl w:val="nil"/>
            </w:tcBorders>
            <w:shd w:val="clear" w:color="auto" w:fill="auto"/>
            <w:vAlign w:val="center"/>
          </w:tcPr>
          <w:p w14:paraId="0C97D6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L93xW30xH81cm</w:t>
            </w:r>
          </w:p>
        </w:tc>
        <w:tc>
          <w:tcPr>
            <w:tcW w:w="1212" w:type="dxa"/>
            <w:tcBorders>
              <w:tl2br w:val="nil"/>
              <w:tr2bl w:val="nil"/>
            </w:tcBorders>
            <w:shd w:val="clear" w:color="auto" w:fill="auto"/>
            <w:vAlign w:val="center"/>
          </w:tcPr>
          <w:p w14:paraId="68E850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6265BBE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2F6B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6867D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54</w:t>
            </w:r>
          </w:p>
        </w:tc>
        <w:tc>
          <w:tcPr>
            <w:tcW w:w="2668" w:type="dxa"/>
            <w:tcBorders>
              <w:tl2br w:val="nil"/>
              <w:tr2bl w:val="nil"/>
            </w:tcBorders>
            <w:shd w:val="clear" w:color="auto" w:fill="auto"/>
            <w:vAlign w:val="center"/>
          </w:tcPr>
          <w:p w14:paraId="02346B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原木3层短柜高柜.半背板</w:t>
            </w:r>
          </w:p>
        </w:tc>
        <w:tc>
          <w:tcPr>
            <w:tcW w:w="2216" w:type="dxa"/>
            <w:tcBorders>
              <w:tl2br w:val="nil"/>
              <w:tr2bl w:val="nil"/>
            </w:tcBorders>
            <w:shd w:val="clear" w:color="auto" w:fill="auto"/>
            <w:vAlign w:val="center"/>
          </w:tcPr>
          <w:p w14:paraId="699D6D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L61.5xW30xH80cm</w:t>
            </w:r>
          </w:p>
        </w:tc>
        <w:tc>
          <w:tcPr>
            <w:tcW w:w="1212" w:type="dxa"/>
            <w:tcBorders>
              <w:tl2br w:val="nil"/>
              <w:tr2bl w:val="nil"/>
            </w:tcBorders>
            <w:shd w:val="clear" w:color="auto" w:fill="auto"/>
            <w:vAlign w:val="center"/>
          </w:tcPr>
          <w:p w14:paraId="6C0563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c>
          <w:tcPr>
            <w:tcW w:w="1212" w:type="dxa"/>
            <w:tcBorders>
              <w:tl2br w:val="nil"/>
              <w:tr2bl w:val="nil"/>
            </w:tcBorders>
            <w:shd w:val="clear" w:color="auto" w:fill="auto"/>
            <w:vAlign w:val="center"/>
          </w:tcPr>
          <w:p w14:paraId="625F59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12030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DE9CC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55</w:t>
            </w:r>
          </w:p>
        </w:tc>
        <w:tc>
          <w:tcPr>
            <w:tcW w:w="2668" w:type="dxa"/>
            <w:tcBorders>
              <w:tl2br w:val="nil"/>
              <w:tr2bl w:val="nil"/>
            </w:tcBorders>
            <w:shd w:val="clear" w:color="auto" w:fill="auto"/>
            <w:vAlign w:val="center"/>
          </w:tcPr>
          <w:p w14:paraId="4AD9DC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方块百宝箱.4个</w:t>
            </w:r>
          </w:p>
        </w:tc>
        <w:tc>
          <w:tcPr>
            <w:tcW w:w="2216" w:type="dxa"/>
            <w:tcBorders>
              <w:tl2br w:val="nil"/>
              <w:tr2bl w:val="nil"/>
            </w:tcBorders>
            <w:shd w:val="clear" w:color="auto" w:fill="auto"/>
            <w:vAlign w:val="center"/>
          </w:tcPr>
          <w:p w14:paraId="781C95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L132xW33xH28cm</w:t>
            </w:r>
          </w:p>
        </w:tc>
        <w:tc>
          <w:tcPr>
            <w:tcW w:w="1212" w:type="dxa"/>
            <w:tcBorders>
              <w:tl2br w:val="nil"/>
              <w:tr2bl w:val="nil"/>
            </w:tcBorders>
            <w:shd w:val="clear" w:color="auto" w:fill="auto"/>
            <w:vAlign w:val="center"/>
          </w:tcPr>
          <w:p w14:paraId="7067D3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45B6FD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6E09E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4D5DB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56</w:t>
            </w:r>
          </w:p>
        </w:tc>
        <w:tc>
          <w:tcPr>
            <w:tcW w:w="2668" w:type="dxa"/>
            <w:tcBorders>
              <w:tl2br w:val="nil"/>
              <w:tr2bl w:val="nil"/>
            </w:tcBorders>
            <w:shd w:val="clear" w:color="auto" w:fill="auto"/>
            <w:vAlign w:val="center"/>
          </w:tcPr>
          <w:p w14:paraId="0D5C43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怀抱双人布艺沙发.米白</w:t>
            </w:r>
          </w:p>
        </w:tc>
        <w:tc>
          <w:tcPr>
            <w:tcW w:w="2216" w:type="dxa"/>
            <w:tcBorders>
              <w:tl2br w:val="nil"/>
              <w:tr2bl w:val="nil"/>
            </w:tcBorders>
            <w:shd w:val="clear" w:color="auto" w:fill="auto"/>
            <w:vAlign w:val="center"/>
          </w:tcPr>
          <w:p w14:paraId="0B0EA4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L97xW50xH61cm</w:t>
            </w:r>
          </w:p>
        </w:tc>
        <w:tc>
          <w:tcPr>
            <w:tcW w:w="1212" w:type="dxa"/>
            <w:tcBorders>
              <w:tl2br w:val="nil"/>
              <w:tr2bl w:val="nil"/>
            </w:tcBorders>
            <w:shd w:val="clear" w:color="auto" w:fill="auto"/>
            <w:vAlign w:val="center"/>
          </w:tcPr>
          <w:p w14:paraId="2700F0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4EFEF4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654A0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1EE9F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57</w:t>
            </w:r>
          </w:p>
        </w:tc>
        <w:tc>
          <w:tcPr>
            <w:tcW w:w="2668" w:type="dxa"/>
            <w:tcBorders>
              <w:tl2br w:val="nil"/>
              <w:tr2bl w:val="nil"/>
            </w:tcBorders>
            <w:shd w:val="clear" w:color="auto" w:fill="auto"/>
            <w:vAlign w:val="center"/>
          </w:tcPr>
          <w:p w14:paraId="2D92A9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仙人掌书架</w:t>
            </w:r>
          </w:p>
        </w:tc>
        <w:tc>
          <w:tcPr>
            <w:tcW w:w="2216" w:type="dxa"/>
            <w:tcBorders>
              <w:tl2br w:val="nil"/>
              <w:tr2bl w:val="nil"/>
            </w:tcBorders>
            <w:shd w:val="clear" w:color="auto" w:fill="auto"/>
            <w:vAlign w:val="center"/>
          </w:tcPr>
          <w:p w14:paraId="1277D9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L100xW44xH80cm</w:t>
            </w:r>
          </w:p>
        </w:tc>
        <w:tc>
          <w:tcPr>
            <w:tcW w:w="1212" w:type="dxa"/>
            <w:tcBorders>
              <w:tl2br w:val="nil"/>
              <w:tr2bl w:val="nil"/>
            </w:tcBorders>
            <w:shd w:val="clear" w:color="auto" w:fill="auto"/>
            <w:vAlign w:val="center"/>
          </w:tcPr>
          <w:p w14:paraId="1D798E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0BC36C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CE48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2E224E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58</w:t>
            </w:r>
          </w:p>
        </w:tc>
        <w:tc>
          <w:tcPr>
            <w:tcW w:w="2668" w:type="dxa"/>
            <w:tcBorders>
              <w:tl2br w:val="nil"/>
              <w:tr2bl w:val="nil"/>
            </w:tcBorders>
            <w:shd w:val="clear" w:color="auto" w:fill="auto"/>
            <w:vAlign w:val="center"/>
          </w:tcPr>
          <w:p w14:paraId="4B0BD1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原木2层矮柜.可调节.无背板</w:t>
            </w:r>
          </w:p>
        </w:tc>
        <w:tc>
          <w:tcPr>
            <w:tcW w:w="2216" w:type="dxa"/>
            <w:tcBorders>
              <w:tl2br w:val="nil"/>
              <w:tr2bl w:val="nil"/>
            </w:tcBorders>
            <w:shd w:val="clear" w:color="auto" w:fill="auto"/>
            <w:vAlign w:val="center"/>
          </w:tcPr>
          <w:p w14:paraId="7E5544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L91.5xW30xH59cm</w:t>
            </w:r>
          </w:p>
        </w:tc>
        <w:tc>
          <w:tcPr>
            <w:tcW w:w="1212" w:type="dxa"/>
            <w:tcBorders>
              <w:tl2br w:val="nil"/>
              <w:tr2bl w:val="nil"/>
            </w:tcBorders>
            <w:shd w:val="clear" w:color="auto" w:fill="auto"/>
            <w:vAlign w:val="center"/>
          </w:tcPr>
          <w:p w14:paraId="36A009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w:t>
            </w:r>
          </w:p>
        </w:tc>
        <w:tc>
          <w:tcPr>
            <w:tcW w:w="1212" w:type="dxa"/>
            <w:tcBorders>
              <w:tl2br w:val="nil"/>
              <w:tr2bl w:val="nil"/>
            </w:tcBorders>
            <w:shd w:val="clear" w:color="auto" w:fill="auto"/>
            <w:vAlign w:val="center"/>
          </w:tcPr>
          <w:p w14:paraId="207A39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504D1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98AC3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59</w:t>
            </w:r>
          </w:p>
        </w:tc>
        <w:tc>
          <w:tcPr>
            <w:tcW w:w="2668" w:type="dxa"/>
            <w:tcBorders>
              <w:tl2br w:val="nil"/>
              <w:tr2bl w:val="nil"/>
            </w:tcBorders>
            <w:shd w:val="clear" w:color="auto" w:fill="auto"/>
            <w:vAlign w:val="center"/>
          </w:tcPr>
          <w:p w14:paraId="5BB796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拱形造型柜</w:t>
            </w:r>
          </w:p>
        </w:tc>
        <w:tc>
          <w:tcPr>
            <w:tcW w:w="2216" w:type="dxa"/>
            <w:tcBorders>
              <w:tl2br w:val="nil"/>
              <w:tr2bl w:val="nil"/>
            </w:tcBorders>
            <w:shd w:val="clear" w:color="auto" w:fill="auto"/>
            <w:vAlign w:val="center"/>
          </w:tcPr>
          <w:p w14:paraId="3642BE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L48xW32.4xH141cm</w:t>
            </w:r>
          </w:p>
        </w:tc>
        <w:tc>
          <w:tcPr>
            <w:tcW w:w="1212" w:type="dxa"/>
            <w:tcBorders>
              <w:tl2br w:val="nil"/>
              <w:tr2bl w:val="nil"/>
            </w:tcBorders>
            <w:shd w:val="clear" w:color="auto" w:fill="auto"/>
            <w:vAlign w:val="center"/>
          </w:tcPr>
          <w:p w14:paraId="39FB5C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38E188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D1B4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E1519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60</w:t>
            </w:r>
          </w:p>
        </w:tc>
        <w:tc>
          <w:tcPr>
            <w:tcW w:w="2668" w:type="dxa"/>
            <w:tcBorders>
              <w:tl2br w:val="nil"/>
              <w:tr2bl w:val="nil"/>
            </w:tcBorders>
            <w:shd w:val="clear" w:color="auto" w:fill="auto"/>
            <w:vAlign w:val="center"/>
          </w:tcPr>
          <w:p w14:paraId="16EFB83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互动婴儿床</w:t>
            </w:r>
          </w:p>
        </w:tc>
        <w:tc>
          <w:tcPr>
            <w:tcW w:w="2216" w:type="dxa"/>
            <w:tcBorders>
              <w:tl2br w:val="nil"/>
              <w:tr2bl w:val="nil"/>
            </w:tcBorders>
            <w:shd w:val="clear" w:color="auto" w:fill="auto"/>
            <w:vAlign w:val="center"/>
          </w:tcPr>
          <w:p w14:paraId="7A4C2F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L60xW40xH53.5cm</w:t>
            </w:r>
          </w:p>
        </w:tc>
        <w:tc>
          <w:tcPr>
            <w:tcW w:w="1212" w:type="dxa"/>
            <w:tcBorders>
              <w:tl2br w:val="nil"/>
              <w:tr2bl w:val="nil"/>
            </w:tcBorders>
            <w:shd w:val="clear" w:color="auto" w:fill="auto"/>
            <w:vAlign w:val="center"/>
          </w:tcPr>
          <w:p w14:paraId="1FFA54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740932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30C3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597C1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61</w:t>
            </w:r>
          </w:p>
        </w:tc>
        <w:tc>
          <w:tcPr>
            <w:tcW w:w="2668" w:type="dxa"/>
            <w:tcBorders>
              <w:tl2br w:val="nil"/>
              <w:tr2bl w:val="nil"/>
            </w:tcBorders>
            <w:shd w:val="clear" w:color="auto" w:fill="auto"/>
            <w:vAlign w:val="center"/>
          </w:tcPr>
          <w:p w14:paraId="3B3BC0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原木2层90°转角矮柜</w:t>
            </w:r>
          </w:p>
        </w:tc>
        <w:tc>
          <w:tcPr>
            <w:tcW w:w="2216" w:type="dxa"/>
            <w:tcBorders>
              <w:tl2br w:val="nil"/>
              <w:tr2bl w:val="nil"/>
            </w:tcBorders>
            <w:shd w:val="clear" w:color="auto" w:fill="auto"/>
            <w:vAlign w:val="center"/>
          </w:tcPr>
          <w:p w14:paraId="535203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L30xW30xH59cm</w:t>
            </w:r>
          </w:p>
        </w:tc>
        <w:tc>
          <w:tcPr>
            <w:tcW w:w="1212" w:type="dxa"/>
            <w:tcBorders>
              <w:tl2br w:val="nil"/>
              <w:tr2bl w:val="nil"/>
            </w:tcBorders>
            <w:shd w:val="clear" w:color="auto" w:fill="auto"/>
            <w:vAlign w:val="center"/>
          </w:tcPr>
          <w:p w14:paraId="500378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c>
          <w:tcPr>
            <w:tcW w:w="1212" w:type="dxa"/>
            <w:tcBorders>
              <w:tl2br w:val="nil"/>
              <w:tr2bl w:val="nil"/>
            </w:tcBorders>
            <w:shd w:val="clear" w:color="auto" w:fill="auto"/>
            <w:vAlign w:val="center"/>
          </w:tcPr>
          <w:p w14:paraId="47D005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3231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E18C8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62</w:t>
            </w:r>
          </w:p>
        </w:tc>
        <w:tc>
          <w:tcPr>
            <w:tcW w:w="2668" w:type="dxa"/>
            <w:tcBorders>
              <w:tl2br w:val="nil"/>
              <w:tr2bl w:val="nil"/>
            </w:tcBorders>
            <w:shd w:val="clear" w:color="auto" w:fill="auto"/>
            <w:vAlign w:val="center"/>
          </w:tcPr>
          <w:p w14:paraId="6014E5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洞洞拱形门</w:t>
            </w:r>
          </w:p>
        </w:tc>
        <w:tc>
          <w:tcPr>
            <w:tcW w:w="2216" w:type="dxa"/>
            <w:tcBorders>
              <w:tl2br w:val="nil"/>
              <w:tr2bl w:val="nil"/>
            </w:tcBorders>
            <w:shd w:val="clear" w:color="auto" w:fill="auto"/>
            <w:vAlign w:val="center"/>
          </w:tcPr>
          <w:p w14:paraId="76FDC6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L85xW8xH138cm</w:t>
            </w:r>
          </w:p>
        </w:tc>
        <w:tc>
          <w:tcPr>
            <w:tcW w:w="1212" w:type="dxa"/>
            <w:tcBorders>
              <w:tl2br w:val="nil"/>
              <w:tr2bl w:val="nil"/>
            </w:tcBorders>
            <w:shd w:val="clear" w:color="auto" w:fill="auto"/>
            <w:vAlign w:val="center"/>
          </w:tcPr>
          <w:p w14:paraId="7E2549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71394A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55901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DA887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63</w:t>
            </w:r>
          </w:p>
        </w:tc>
        <w:tc>
          <w:tcPr>
            <w:tcW w:w="2668" w:type="dxa"/>
            <w:tcBorders>
              <w:tl2br w:val="nil"/>
              <w:tr2bl w:val="nil"/>
            </w:tcBorders>
            <w:shd w:val="clear" w:color="auto" w:fill="auto"/>
            <w:vAlign w:val="center"/>
          </w:tcPr>
          <w:p w14:paraId="782571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原木2层45°弧形矮柜</w:t>
            </w:r>
          </w:p>
        </w:tc>
        <w:tc>
          <w:tcPr>
            <w:tcW w:w="2216" w:type="dxa"/>
            <w:tcBorders>
              <w:tl2br w:val="nil"/>
              <w:tr2bl w:val="nil"/>
            </w:tcBorders>
            <w:shd w:val="clear" w:color="auto" w:fill="auto"/>
            <w:vAlign w:val="center"/>
          </w:tcPr>
          <w:p w14:paraId="5CDD4F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L60xW33xH59cm</w:t>
            </w:r>
          </w:p>
        </w:tc>
        <w:tc>
          <w:tcPr>
            <w:tcW w:w="1212" w:type="dxa"/>
            <w:tcBorders>
              <w:tl2br w:val="nil"/>
              <w:tr2bl w:val="nil"/>
            </w:tcBorders>
            <w:shd w:val="clear" w:color="auto" w:fill="auto"/>
            <w:vAlign w:val="center"/>
          </w:tcPr>
          <w:p w14:paraId="20E509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c>
          <w:tcPr>
            <w:tcW w:w="1212" w:type="dxa"/>
            <w:tcBorders>
              <w:tl2br w:val="nil"/>
              <w:tr2bl w:val="nil"/>
            </w:tcBorders>
            <w:shd w:val="clear" w:color="auto" w:fill="auto"/>
            <w:vAlign w:val="center"/>
          </w:tcPr>
          <w:p w14:paraId="43C1C5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16ED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EE994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64</w:t>
            </w:r>
          </w:p>
        </w:tc>
        <w:tc>
          <w:tcPr>
            <w:tcW w:w="2668" w:type="dxa"/>
            <w:tcBorders>
              <w:tl2br w:val="nil"/>
              <w:tr2bl w:val="nil"/>
            </w:tcBorders>
            <w:shd w:val="clear" w:color="auto" w:fill="auto"/>
            <w:vAlign w:val="center"/>
          </w:tcPr>
          <w:p w14:paraId="50583F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简约互动小厨房</w:t>
            </w:r>
          </w:p>
        </w:tc>
        <w:tc>
          <w:tcPr>
            <w:tcW w:w="2216" w:type="dxa"/>
            <w:tcBorders>
              <w:tl2br w:val="nil"/>
              <w:tr2bl w:val="nil"/>
            </w:tcBorders>
            <w:shd w:val="clear" w:color="auto" w:fill="auto"/>
            <w:vAlign w:val="center"/>
          </w:tcPr>
          <w:p w14:paraId="00720F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L93xW30xH86cm</w:t>
            </w:r>
          </w:p>
        </w:tc>
        <w:tc>
          <w:tcPr>
            <w:tcW w:w="1212" w:type="dxa"/>
            <w:tcBorders>
              <w:tl2br w:val="nil"/>
              <w:tr2bl w:val="nil"/>
            </w:tcBorders>
            <w:shd w:val="clear" w:color="auto" w:fill="auto"/>
            <w:vAlign w:val="center"/>
          </w:tcPr>
          <w:p w14:paraId="3D10CC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111E45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7A4A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8BBE4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65</w:t>
            </w:r>
          </w:p>
        </w:tc>
        <w:tc>
          <w:tcPr>
            <w:tcW w:w="2668" w:type="dxa"/>
            <w:tcBorders>
              <w:tl2br w:val="nil"/>
              <w:tr2bl w:val="nil"/>
            </w:tcBorders>
            <w:shd w:val="clear" w:color="auto" w:fill="auto"/>
            <w:vAlign w:val="center"/>
          </w:tcPr>
          <w:p w14:paraId="33B8BA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互动化妆台</w:t>
            </w:r>
          </w:p>
        </w:tc>
        <w:tc>
          <w:tcPr>
            <w:tcW w:w="2216" w:type="dxa"/>
            <w:tcBorders>
              <w:tl2br w:val="nil"/>
              <w:tr2bl w:val="nil"/>
            </w:tcBorders>
            <w:shd w:val="clear" w:color="auto" w:fill="auto"/>
            <w:vAlign w:val="center"/>
          </w:tcPr>
          <w:p w14:paraId="18BFCE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桌:L79xW37xH91cm</w:t>
            </w: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椅:L36xW24xH26cm</w:t>
            </w:r>
          </w:p>
        </w:tc>
        <w:tc>
          <w:tcPr>
            <w:tcW w:w="1212" w:type="dxa"/>
            <w:tcBorders>
              <w:tl2br w:val="nil"/>
              <w:tr2bl w:val="nil"/>
            </w:tcBorders>
            <w:shd w:val="clear" w:color="auto" w:fill="auto"/>
            <w:vAlign w:val="center"/>
          </w:tcPr>
          <w:p w14:paraId="5A1E5E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341B80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054CD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92CCC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66</w:t>
            </w:r>
          </w:p>
        </w:tc>
        <w:tc>
          <w:tcPr>
            <w:tcW w:w="2668" w:type="dxa"/>
            <w:tcBorders>
              <w:tl2br w:val="nil"/>
              <w:tr2bl w:val="nil"/>
            </w:tcBorders>
            <w:shd w:val="clear" w:color="auto" w:fill="auto"/>
            <w:vAlign w:val="center"/>
          </w:tcPr>
          <w:p w14:paraId="4981B5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移动水杯水桶收纳柜</w:t>
            </w:r>
          </w:p>
        </w:tc>
        <w:tc>
          <w:tcPr>
            <w:tcW w:w="2216" w:type="dxa"/>
            <w:tcBorders>
              <w:tl2br w:val="nil"/>
              <w:tr2bl w:val="nil"/>
            </w:tcBorders>
            <w:shd w:val="clear" w:color="auto" w:fill="auto"/>
            <w:vAlign w:val="center"/>
          </w:tcPr>
          <w:p w14:paraId="1FFCCD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L70xW46xH95cm</w:t>
            </w:r>
          </w:p>
        </w:tc>
        <w:tc>
          <w:tcPr>
            <w:tcW w:w="1212" w:type="dxa"/>
            <w:tcBorders>
              <w:tl2br w:val="nil"/>
              <w:tr2bl w:val="nil"/>
            </w:tcBorders>
            <w:shd w:val="clear" w:color="auto" w:fill="auto"/>
            <w:vAlign w:val="center"/>
          </w:tcPr>
          <w:p w14:paraId="19F20B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48595C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8E7E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D11BF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67</w:t>
            </w:r>
          </w:p>
        </w:tc>
        <w:tc>
          <w:tcPr>
            <w:tcW w:w="2668" w:type="dxa"/>
            <w:tcBorders>
              <w:tl2br w:val="nil"/>
              <w:tr2bl w:val="nil"/>
            </w:tcBorders>
            <w:shd w:val="clear" w:color="auto" w:fill="auto"/>
            <w:vAlign w:val="center"/>
          </w:tcPr>
          <w:p w14:paraId="0E3A78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清新小家三层六人推拉床</w:t>
            </w:r>
          </w:p>
        </w:tc>
        <w:tc>
          <w:tcPr>
            <w:tcW w:w="2216" w:type="dxa"/>
            <w:tcBorders>
              <w:tl2br w:val="nil"/>
              <w:tr2bl w:val="nil"/>
            </w:tcBorders>
            <w:shd w:val="clear" w:color="auto" w:fill="auto"/>
            <w:vAlign w:val="center"/>
          </w:tcPr>
          <w:p w14:paraId="6D597A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L146xW136xH69.5cm（含轮）</w:t>
            </w:r>
          </w:p>
        </w:tc>
        <w:tc>
          <w:tcPr>
            <w:tcW w:w="1212" w:type="dxa"/>
            <w:tcBorders>
              <w:tl2br w:val="nil"/>
              <w:tr2bl w:val="nil"/>
            </w:tcBorders>
            <w:shd w:val="clear" w:color="auto" w:fill="auto"/>
            <w:vAlign w:val="center"/>
          </w:tcPr>
          <w:p w14:paraId="5FEFA3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w:t>
            </w:r>
          </w:p>
        </w:tc>
        <w:tc>
          <w:tcPr>
            <w:tcW w:w="1212" w:type="dxa"/>
            <w:tcBorders>
              <w:tl2br w:val="nil"/>
              <w:tr2bl w:val="nil"/>
            </w:tcBorders>
            <w:shd w:val="clear" w:color="auto" w:fill="auto"/>
            <w:vAlign w:val="center"/>
          </w:tcPr>
          <w:p w14:paraId="2D886D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21E5E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519" w:type="dxa"/>
            <w:gridSpan w:val="5"/>
            <w:tcBorders>
              <w:tl2br w:val="nil"/>
              <w:tr2bl w:val="nil"/>
            </w:tcBorders>
            <w:shd w:val="clear" w:color="auto" w:fill="auto"/>
            <w:vAlign w:val="center"/>
          </w:tcPr>
          <w:p w14:paraId="77C1588F">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t>中班</w:t>
            </w:r>
          </w:p>
        </w:tc>
      </w:tr>
      <w:tr w14:paraId="1650C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4E029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68</w:t>
            </w:r>
          </w:p>
        </w:tc>
        <w:tc>
          <w:tcPr>
            <w:tcW w:w="2668" w:type="dxa"/>
            <w:tcBorders>
              <w:tl2br w:val="nil"/>
              <w:tr2bl w:val="nil"/>
            </w:tcBorders>
            <w:shd w:val="clear" w:color="auto" w:fill="auto"/>
            <w:vAlign w:val="center"/>
          </w:tcPr>
          <w:p w14:paraId="2785F4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原木6人桌.52cm</w:t>
            </w:r>
          </w:p>
        </w:tc>
        <w:tc>
          <w:tcPr>
            <w:tcW w:w="2216" w:type="dxa"/>
            <w:tcBorders>
              <w:tl2br w:val="nil"/>
              <w:tr2bl w:val="nil"/>
            </w:tcBorders>
            <w:shd w:val="clear" w:color="auto" w:fill="auto"/>
            <w:vAlign w:val="center"/>
          </w:tcPr>
          <w:p w14:paraId="58F2DFB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L120xW60xH52cm</w:t>
            </w:r>
          </w:p>
        </w:tc>
        <w:tc>
          <w:tcPr>
            <w:tcW w:w="1212" w:type="dxa"/>
            <w:tcBorders>
              <w:tl2br w:val="nil"/>
              <w:tr2bl w:val="nil"/>
            </w:tcBorders>
            <w:shd w:val="clear" w:color="auto" w:fill="auto"/>
            <w:vAlign w:val="center"/>
          </w:tcPr>
          <w:p w14:paraId="0E6706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c>
          <w:tcPr>
            <w:tcW w:w="1212" w:type="dxa"/>
            <w:tcBorders>
              <w:tl2br w:val="nil"/>
              <w:tr2bl w:val="nil"/>
            </w:tcBorders>
            <w:shd w:val="clear" w:color="auto" w:fill="auto"/>
            <w:vAlign w:val="center"/>
          </w:tcPr>
          <w:p w14:paraId="023540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18391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AB59F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69</w:t>
            </w:r>
          </w:p>
        </w:tc>
        <w:tc>
          <w:tcPr>
            <w:tcW w:w="2668" w:type="dxa"/>
            <w:tcBorders>
              <w:tl2br w:val="nil"/>
              <w:tr2bl w:val="nil"/>
            </w:tcBorders>
            <w:shd w:val="clear" w:color="auto" w:fill="auto"/>
            <w:vAlign w:val="center"/>
          </w:tcPr>
          <w:p w14:paraId="5CD39B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原木4人桌.52cm</w:t>
            </w:r>
          </w:p>
        </w:tc>
        <w:tc>
          <w:tcPr>
            <w:tcW w:w="2216" w:type="dxa"/>
            <w:tcBorders>
              <w:tl2br w:val="nil"/>
              <w:tr2bl w:val="nil"/>
            </w:tcBorders>
            <w:shd w:val="clear" w:color="auto" w:fill="auto"/>
            <w:vAlign w:val="center"/>
          </w:tcPr>
          <w:p w14:paraId="45ED4A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L60xW60xH52cm</w:t>
            </w:r>
          </w:p>
        </w:tc>
        <w:tc>
          <w:tcPr>
            <w:tcW w:w="1212" w:type="dxa"/>
            <w:tcBorders>
              <w:tl2br w:val="nil"/>
              <w:tr2bl w:val="nil"/>
            </w:tcBorders>
            <w:shd w:val="clear" w:color="auto" w:fill="auto"/>
            <w:vAlign w:val="center"/>
          </w:tcPr>
          <w:p w14:paraId="46152B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c>
          <w:tcPr>
            <w:tcW w:w="1212" w:type="dxa"/>
            <w:tcBorders>
              <w:tl2br w:val="nil"/>
              <w:tr2bl w:val="nil"/>
            </w:tcBorders>
            <w:shd w:val="clear" w:color="auto" w:fill="auto"/>
            <w:vAlign w:val="center"/>
          </w:tcPr>
          <w:p w14:paraId="3EF64A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3FDCD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3B80B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70</w:t>
            </w:r>
          </w:p>
        </w:tc>
        <w:tc>
          <w:tcPr>
            <w:tcW w:w="2668" w:type="dxa"/>
            <w:tcBorders>
              <w:tl2br w:val="nil"/>
              <w:tr2bl w:val="nil"/>
            </w:tcBorders>
            <w:shd w:val="clear" w:color="auto" w:fill="auto"/>
            <w:vAlign w:val="center"/>
          </w:tcPr>
          <w:p w14:paraId="647F81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原木椅.27cm</w:t>
            </w:r>
          </w:p>
        </w:tc>
        <w:tc>
          <w:tcPr>
            <w:tcW w:w="2216" w:type="dxa"/>
            <w:tcBorders>
              <w:tl2br w:val="nil"/>
              <w:tr2bl w:val="nil"/>
            </w:tcBorders>
            <w:shd w:val="clear" w:color="auto" w:fill="auto"/>
            <w:vAlign w:val="center"/>
          </w:tcPr>
          <w:p w14:paraId="4F17BC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L30xW30xH50cm（座高27cm）</w:t>
            </w:r>
          </w:p>
        </w:tc>
        <w:tc>
          <w:tcPr>
            <w:tcW w:w="1212" w:type="dxa"/>
            <w:tcBorders>
              <w:tl2br w:val="nil"/>
              <w:tr2bl w:val="nil"/>
            </w:tcBorders>
            <w:shd w:val="clear" w:color="auto" w:fill="auto"/>
            <w:vAlign w:val="center"/>
          </w:tcPr>
          <w:p w14:paraId="6B6349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30</w:t>
            </w:r>
          </w:p>
        </w:tc>
        <w:tc>
          <w:tcPr>
            <w:tcW w:w="1212" w:type="dxa"/>
            <w:tcBorders>
              <w:tl2br w:val="nil"/>
              <w:tr2bl w:val="nil"/>
            </w:tcBorders>
            <w:shd w:val="clear" w:color="auto" w:fill="auto"/>
            <w:vAlign w:val="center"/>
          </w:tcPr>
          <w:p w14:paraId="53C516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79C3E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1AA76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71</w:t>
            </w:r>
          </w:p>
        </w:tc>
        <w:tc>
          <w:tcPr>
            <w:tcW w:w="2668" w:type="dxa"/>
            <w:tcBorders>
              <w:tl2br w:val="nil"/>
              <w:tr2bl w:val="nil"/>
            </w:tcBorders>
            <w:shd w:val="clear" w:color="auto" w:fill="auto"/>
            <w:vAlign w:val="center"/>
          </w:tcPr>
          <w:p w14:paraId="2F5C95C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蒙泰基一体成型椅.41cm.可叠</w:t>
            </w:r>
          </w:p>
        </w:tc>
        <w:tc>
          <w:tcPr>
            <w:tcW w:w="2216" w:type="dxa"/>
            <w:tcBorders>
              <w:tl2br w:val="nil"/>
              <w:tr2bl w:val="nil"/>
            </w:tcBorders>
            <w:shd w:val="clear" w:color="auto" w:fill="auto"/>
            <w:vAlign w:val="center"/>
          </w:tcPr>
          <w:p w14:paraId="5EBA0B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L47xW46.5xH73cm（座高41cm）</w:t>
            </w:r>
          </w:p>
        </w:tc>
        <w:tc>
          <w:tcPr>
            <w:tcW w:w="1212" w:type="dxa"/>
            <w:tcBorders>
              <w:tl2br w:val="nil"/>
              <w:tr2bl w:val="nil"/>
            </w:tcBorders>
            <w:shd w:val="clear" w:color="auto" w:fill="auto"/>
            <w:vAlign w:val="center"/>
          </w:tcPr>
          <w:p w14:paraId="0A723D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3F660A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10E19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92684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72</w:t>
            </w:r>
          </w:p>
        </w:tc>
        <w:tc>
          <w:tcPr>
            <w:tcW w:w="2668" w:type="dxa"/>
            <w:tcBorders>
              <w:tl2br w:val="nil"/>
              <w:tr2bl w:val="nil"/>
            </w:tcBorders>
            <w:shd w:val="clear" w:color="auto" w:fill="auto"/>
            <w:vAlign w:val="center"/>
          </w:tcPr>
          <w:p w14:paraId="20E824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美术储物双面画架</w:t>
            </w:r>
          </w:p>
        </w:tc>
        <w:tc>
          <w:tcPr>
            <w:tcW w:w="2216" w:type="dxa"/>
            <w:tcBorders>
              <w:tl2br w:val="nil"/>
              <w:tr2bl w:val="nil"/>
            </w:tcBorders>
            <w:shd w:val="clear" w:color="auto" w:fill="auto"/>
            <w:vAlign w:val="center"/>
          </w:tcPr>
          <w:p w14:paraId="36D8CB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L62xW45xH124cm（含轮 ）</w:t>
            </w:r>
          </w:p>
        </w:tc>
        <w:tc>
          <w:tcPr>
            <w:tcW w:w="1212" w:type="dxa"/>
            <w:tcBorders>
              <w:tl2br w:val="nil"/>
              <w:tr2bl w:val="nil"/>
            </w:tcBorders>
            <w:shd w:val="clear" w:color="auto" w:fill="auto"/>
            <w:vAlign w:val="center"/>
          </w:tcPr>
          <w:p w14:paraId="428533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6C26AB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2624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B58CB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73</w:t>
            </w:r>
          </w:p>
        </w:tc>
        <w:tc>
          <w:tcPr>
            <w:tcW w:w="2668" w:type="dxa"/>
            <w:tcBorders>
              <w:tl2br w:val="nil"/>
              <w:tr2bl w:val="nil"/>
            </w:tcBorders>
            <w:shd w:val="clear" w:color="auto" w:fill="auto"/>
            <w:vAlign w:val="center"/>
          </w:tcPr>
          <w:p w14:paraId="63228B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美术纸筒柜</w:t>
            </w:r>
          </w:p>
        </w:tc>
        <w:tc>
          <w:tcPr>
            <w:tcW w:w="2216" w:type="dxa"/>
            <w:tcBorders>
              <w:tl2br w:val="nil"/>
              <w:tr2bl w:val="nil"/>
            </w:tcBorders>
            <w:shd w:val="clear" w:color="auto" w:fill="auto"/>
            <w:vAlign w:val="center"/>
          </w:tcPr>
          <w:p w14:paraId="084553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L40xW40xH58cm</w:t>
            </w:r>
          </w:p>
        </w:tc>
        <w:tc>
          <w:tcPr>
            <w:tcW w:w="1212" w:type="dxa"/>
            <w:tcBorders>
              <w:tl2br w:val="nil"/>
              <w:tr2bl w:val="nil"/>
            </w:tcBorders>
            <w:shd w:val="clear" w:color="auto" w:fill="auto"/>
            <w:vAlign w:val="center"/>
          </w:tcPr>
          <w:p w14:paraId="1C93C7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1C37E4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E6C7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A3EF1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74</w:t>
            </w:r>
          </w:p>
        </w:tc>
        <w:tc>
          <w:tcPr>
            <w:tcW w:w="2668" w:type="dxa"/>
            <w:tcBorders>
              <w:tl2br w:val="nil"/>
              <w:tr2bl w:val="nil"/>
            </w:tcBorders>
            <w:shd w:val="clear" w:color="auto" w:fill="auto"/>
            <w:vAlign w:val="center"/>
          </w:tcPr>
          <w:p w14:paraId="6D0C2F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美术作品晾干柜</w:t>
            </w:r>
          </w:p>
        </w:tc>
        <w:tc>
          <w:tcPr>
            <w:tcW w:w="2216" w:type="dxa"/>
            <w:tcBorders>
              <w:tl2br w:val="nil"/>
              <w:tr2bl w:val="nil"/>
            </w:tcBorders>
            <w:shd w:val="clear" w:color="auto" w:fill="auto"/>
            <w:vAlign w:val="center"/>
          </w:tcPr>
          <w:p w14:paraId="7F5FC3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L50xW40xH76cm</w:t>
            </w:r>
          </w:p>
        </w:tc>
        <w:tc>
          <w:tcPr>
            <w:tcW w:w="1212" w:type="dxa"/>
            <w:tcBorders>
              <w:tl2br w:val="nil"/>
              <w:tr2bl w:val="nil"/>
            </w:tcBorders>
            <w:shd w:val="clear" w:color="auto" w:fill="auto"/>
            <w:vAlign w:val="center"/>
          </w:tcPr>
          <w:p w14:paraId="0140BA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D9B74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7067B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47C6C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75</w:t>
            </w:r>
          </w:p>
        </w:tc>
        <w:tc>
          <w:tcPr>
            <w:tcW w:w="2668" w:type="dxa"/>
            <w:tcBorders>
              <w:tl2br w:val="nil"/>
              <w:tr2bl w:val="nil"/>
            </w:tcBorders>
            <w:shd w:val="clear" w:color="auto" w:fill="auto"/>
            <w:vAlign w:val="center"/>
          </w:tcPr>
          <w:p w14:paraId="567457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美术用品收纳柜</w:t>
            </w:r>
          </w:p>
        </w:tc>
        <w:tc>
          <w:tcPr>
            <w:tcW w:w="2216" w:type="dxa"/>
            <w:tcBorders>
              <w:tl2br w:val="nil"/>
              <w:tr2bl w:val="nil"/>
            </w:tcBorders>
            <w:shd w:val="clear" w:color="auto" w:fill="auto"/>
            <w:vAlign w:val="center"/>
          </w:tcPr>
          <w:p w14:paraId="6D1556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L100xW40xH61.5cm</w:t>
            </w:r>
          </w:p>
        </w:tc>
        <w:tc>
          <w:tcPr>
            <w:tcW w:w="1212" w:type="dxa"/>
            <w:tcBorders>
              <w:tl2br w:val="nil"/>
              <w:tr2bl w:val="nil"/>
            </w:tcBorders>
            <w:shd w:val="clear" w:color="auto" w:fill="auto"/>
            <w:vAlign w:val="center"/>
          </w:tcPr>
          <w:p w14:paraId="09E19C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5CF8F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4329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F33D9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76</w:t>
            </w:r>
          </w:p>
        </w:tc>
        <w:tc>
          <w:tcPr>
            <w:tcW w:w="2668" w:type="dxa"/>
            <w:tcBorders>
              <w:tl2br w:val="nil"/>
              <w:tr2bl w:val="nil"/>
            </w:tcBorders>
            <w:shd w:val="clear" w:color="auto" w:fill="auto"/>
            <w:vAlign w:val="center"/>
          </w:tcPr>
          <w:p w14:paraId="19FDCC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杯筒收纳盒</w:t>
            </w:r>
          </w:p>
        </w:tc>
        <w:tc>
          <w:tcPr>
            <w:tcW w:w="2216" w:type="dxa"/>
            <w:tcBorders>
              <w:tl2br w:val="nil"/>
              <w:tr2bl w:val="nil"/>
            </w:tcBorders>
            <w:shd w:val="clear" w:color="auto" w:fill="auto"/>
            <w:vAlign w:val="center"/>
          </w:tcPr>
          <w:p w14:paraId="624FAE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L24xW24xH9cm</w:t>
            </w:r>
          </w:p>
        </w:tc>
        <w:tc>
          <w:tcPr>
            <w:tcW w:w="1212" w:type="dxa"/>
            <w:tcBorders>
              <w:tl2br w:val="nil"/>
              <w:tr2bl w:val="nil"/>
            </w:tcBorders>
            <w:shd w:val="clear" w:color="auto" w:fill="auto"/>
            <w:vAlign w:val="center"/>
          </w:tcPr>
          <w:p w14:paraId="2C9E96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0B4106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1C638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31739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77</w:t>
            </w:r>
          </w:p>
        </w:tc>
        <w:tc>
          <w:tcPr>
            <w:tcW w:w="2668" w:type="dxa"/>
            <w:tcBorders>
              <w:tl2br w:val="nil"/>
              <w:tr2bl w:val="nil"/>
            </w:tcBorders>
            <w:shd w:val="clear" w:color="auto" w:fill="auto"/>
            <w:vAlign w:val="center"/>
          </w:tcPr>
          <w:p w14:paraId="5F4726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原木3层矮柜.可调节.无背板</w:t>
            </w:r>
          </w:p>
        </w:tc>
        <w:tc>
          <w:tcPr>
            <w:tcW w:w="2216" w:type="dxa"/>
            <w:tcBorders>
              <w:tl2br w:val="nil"/>
              <w:tr2bl w:val="nil"/>
            </w:tcBorders>
            <w:shd w:val="clear" w:color="auto" w:fill="auto"/>
            <w:vAlign w:val="center"/>
          </w:tcPr>
          <w:p w14:paraId="5B5E51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L91.5xW30xH59cm</w:t>
            </w:r>
          </w:p>
        </w:tc>
        <w:tc>
          <w:tcPr>
            <w:tcW w:w="1212" w:type="dxa"/>
            <w:tcBorders>
              <w:tl2br w:val="nil"/>
              <w:tr2bl w:val="nil"/>
            </w:tcBorders>
            <w:shd w:val="clear" w:color="auto" w:fill="auto"/>
            <w:vAlign w:val="center"/>
          </w:tcPr>
          <w:p w14:paraId="22B50C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7B00DA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69A7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08B21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78</w:t>
            </w:r>
          </w:p>
        </w:tc>
        <w:tc>
          <w:tcPr>
            <w:tcW w:w="2668" w:type="dxa"/>
            <w:tcBorders>
              <w:tl2br w:val="nil"/>
              <w:tr2bl w:val="nil"/>
            </w:tcBorders>
            <w:shd w:val="clear" w:color="auto" w:fill="auto"/>
            <w:vAlign w:val="center"/>
          </w:tcPr>
          <w:p w14:paraId="0E30A1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原木3层高柜.全背板</w:t>
            </w:r>
          </w:p>
        </w:tc>
        <w:tc>
          <w:tcPr>
            <w:tcW w:w="2216" w:type="dxa"/>
            <w:tcBorders>
              <w:tl2br w:val="nil"/>
              <w:tr2bl w:val="nil"/>
            </w:tcBorders>
            <w:shd w:val="clear" w:color="auto" w:fill="auto"/>
            <w:vAlign w:val="center"/>
          </w:tcPr>
          <w:p w14:paraId="00C0D7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L91.5xW30xH80cm</w:t>
            </w:r>
          </w:p>
        </w:tc>
        <w:tc>
          <w:tcPr>
            <w:tcW w:w="1212" w:type="dxa"/>
            <w:tcBorders>
              <w:tl2br w:val="nil"/>
              <w:tr2bl w:val="nil"/>
            </w:tcBorders>
            <w:shd w:val="clear" w:color="auto" w:fill="auto"/>
            <w:vAlign w:val="center"/>
          </w:tcPr>
          <w:p w14:paraId="6E4BC7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w:t>
            </w:r>
          </w:p>
        </w:tc>
        <w:tc>
          <w:tcPr>
            <w:tcW w:w="1212" w:type="dxa"/>
            <w:tcBorders>
              <w:tl2br w:val="nil"/>
              <w:tr2bl w:val="nil"/>
            </w:tcBorders>
            <w:shd w:val="clear" w:color="auto" w:fill="auto"/>
            <w:vAlign w:val="center"/>
          </w:tcPr>
          <w:p w14:paraId="136E92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6F27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AE19A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79</w:t>
            </w:r>
          </w:p>
        </w:tc>
        <w:tc>
          <w:tcPr>
            <w:tcW w:w="2668" w:type="dxa"/>
            <w:tcBorders>
              <w:tl2br w:val="nil"/>
              <w:tr2bl w:val="nil"/>
            </w:tcBorders>
            <w:shd w:val="clear" w:color="auto" w:fill="auto"/>
            <w:vAlign w:val="center"/>
          </w:tcPr>
          <w:p w14:paraId="7D7C65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原木2层90°弧形矮柜</w:t>
            </w:r>
          </w:p>
        </w:tc>
        <w:tc>
          <w:tcPr>
            <w:tcW w:w="2216" w:type="dxa"/>
            <w:tcBorders>
              <w:tl2br w:val="nil"/>
              <w:tr2bl w:val="nil"/>
            </w:tcBorders>
            <w:shd w:val="clear" w:color="auto" w:fill="auto"/>
            <w:vAlign w:val="center"/>
          </w:tcPr>
          <w:p w14:paraId="74BCEF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L84xW38.5xH59cm</w:t>
            </w:r>
          </w:p>
        </w:tc>
        <w:tc>
          <w:tcPr>
            <w:tcW w:w="1212" w:type="dxa"/>
            <w:tcBorders>
              <w:tl2br w:val="nil"/>
              <w:tr2bl w:val="nil"/>
            </w:tcBorders>
            <w:shd w:val="clear" w:color="auto" w:fill="auto"/>
            <w:vAlign w:val="center"/>
          </w:tcPr>
          <w:p w14:paraId="3F44C7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7BD4BA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E520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34CE95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80</w:t>
            </w:r>
          </w:p>
        </w:tc>
        <w:tc>
          <w:tcPr>
            <w:tcW w:w="2668" w:type="dxa"/>
            <w:tcBorders>
              <w:tl2br w:val="nil"/>
              <w:tr2bl w:val="nil"/>
            </w:tcBorders>
            <w:shd w:val="clear" w:color="auto" w:fill="auto"/>
            <w:vAlign w:val="center"/>
          </w:tcPr>
          <w:p w14:paraId="425A83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原木3层短柜高柜.半背板</w:t>
            </w:r>
          </w:p>
        </w:tc>
        <w:tc>
          <w:tcPr>
            <w:tcW w:w="2216" w:type="dxa"/>
            <w:tcBorders>
              <w:tl2br w:val="nil"/>
              <w:tr2bl w:val="nil"/>
            </w:tcBorders>
            <w:shd w:val="clear" w:color="auto" w:fill="auto"/>
            <w:vAlign w:val="center"/>
          </w:tcPr>
          <w:p w14:paraId="17E8A6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L61.5xW30xH80cm</w:t>
            </w:r>
          </w:p>
        </w:tc>
        <w:tc>
          <w:tcPr>
            <w:tcW w:w="1212" w:type="dxa"/>
            <w:tcBorders>
              <w:tl2br w:val="nil"/>
              <w:tr2bl w:val="nil"/>
            </w:tcBorders>
            <w:shd w:val="clear" w:color="auto" w:fill="auto"/>
            <w:vAlign w:val="center"/>
          </w:tcPr>
          <w:p w14:paraId="73406D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2DB734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41A1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3A412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81</w:t>
            </w:r>
          </w:p>
        </w:tc>
        <w:tc>
          <w:tcPr>
            <w:tcW w:w="2668" w:type="dxa"/>
            <w:tcBorders>
              <w:tl2br w:val="nil"/>
              <w:tr2bl w:val="nil"/>
            </w:tcBorders>
            <w:shd w:val="clear" w:color="auto" w:fill="auto"/>
            <w:vAlign w:val="center"/>
          </w:tcPr>
          <w:p w14:paraId="03E530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原木阶梯组合柜.无背板</w:t>
            </w:r>
          </w:p>
        </w:tc>
        <w:tc>
          <w:tcPr>
            <w:tcW w:w="2216" w:type="dxa"/>
            <w:tcBorders>
              <w:tl2br w:val="nil"/>
              <w:tr2bl w:val="nil"/>
            </w:tcBorders>
            <w:shd w:val="clear" w:color="auto" w:fill="auto"/>
            <w:vAlign w:val="center"/>
          </w:tcPr>
          <w:p w14:paraId="6C4A72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3层：L30xW30xH80cm</w:t>
            </w: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2层：L30xW30xH59cm</w:t>
            </w: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br w:type="textWrapping"/>
            </w: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1层：L30xW30xH34cm</w:t>
            </w:r>
          </w:p>
        </w:tc>
        <w:tc>
          <w:tcPr>
            <w:tcW w:w="1212" w:type="dxa"/>
            <w:tcBorders>
              <w:tl2br w:val="nil"/>
              <w:tr2bl w:val="nil"/>
            </w:tcBorders>
            <w:shd w:val="clear" w:color="auto" w:fill="auto"/>
            <w:vAlign w:val="center"/>
          </w:tcPr>
          <w:p w14:paraId="4DDE04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3F85BD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AC4E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DB2DA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82</w:t>
            </w:r>
          </w:p>
        </w:tc>
        <w:tc>
          <w:tcPr>
            <w:tcW w:w="2668" w:type="dxa"/>
            <w:tcBorders>
              <w:tl2br w:val="nil"/>
              <w:tr2bl w:val="nil"/>
            </w:tcBorders>
            <w:shd w:val="clear" w:color="auto" w:fill="auto"/>
            <w:vAlign w:val="center"/>
          </w:tcPr>
          <w:p w14:paraId="2466A1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山峰小屋收纳柜</w:t>
            </w:r>
          </w:p>
        </w:tc>
        <w:tc>
          <w:tcPr>
            <w:tcW w:w="2216" w:type="dxa"/>
            <w:tcBorders>
              <w:tl2br w:val="nil"/>
              <w:tr2bl w:val="nil"/>
            </w:tcBorders>
            <w:shd w:val="clear" w:color="auto" w:fill="auto"/>
            <w:vAlign w:val="center"/>
          </w:tcPr>
          <w:p w14:paraId="7508AD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L50xW30xH110.5cm</w:t>
            </w:r>
          </w:p>
        </w:tc>
        <w:tc>
          <w:tcPr>
            <w:tcW w:w="1212" w:type="dxa"/>
            <w:tcBorders>
              <w:tl2br w:val="nil"/>
              <w:tr2bl w:val="nil"/>
            </w:tcBorders>
            <w:shd w:val="clear" w:color="auto" w:fill="auto"/>
            <w:vAlign w:val="center"/>
          </w:tcPr>
          <w:p w14:paraId="0FAAF4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2C821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E916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7E6F2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83</w:t>
            </w:r>
          </w:p>
        </w:tc>
        <w:tc>
          <w:tcPr>
            <w:tcW w:w="2668" w:type="dxa"/>
            <w:tcBorders>
              <w:tl2br w:val="nil"/>
              <w:tr2bl w:val="nil"/>
            </w:tcBorders>
            <w:shd w:val="clear" w:color="auto" w:fill="auto"/>
            <w:vAlign w:val="center"/>
          </w:tcPr>
          <w:p w14:paraId="6EFDE0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简约书架</w:t>
            </w:r>
          </w:p>
        </w:tc>
        <w:tc>
          <w:tcPr>
            <w:tcW w:w="2216" w:type="dxa"/>
            <w:tcBorders>
              <w:tl2br w:val="nil"/>
              <w:tr2bl w:val="nil"/>
            </w:tcBorders>
            <w:shd w:val="clear" w:color="auto" w:fill="auto"/>
            <w:vAlign w:val="center"/>
          </w:tcPr>
          <w:p w14:paraId="1BC3FE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L93xW30xH81cm</w:t>
            </w:r>
          </w:p>
        </w:tc>
        <w:tc>
          <w:tcPr>
            <w:tcW w:w="1212" w:type="dxa"/>
            <w:tcBorders>
              <w:tl2br w:val="nil"/>
              <w:tr2bl w:val="nil"/>
            </w:tcBorders>
            <w:shd w:val="clear" w:color="auto" w:fill="auto"/>
            <w:vAlign w:val="center"/>
          </w:tcPr>
          <w:p w14:paraId="443E0B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082CA8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9CB4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29A9A4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84</w:t>
            </w:r>
          </w:p>
        </w:tc>
        <w:tc>
          <w:tcPr>
            <w:tcW w:w="2668" w:type="dxa"/>
            <w:tcBorders>
              <w:tl2br w:val="nil"/>
              <w:tr2bl w:val="nil"/>
            </w:tcBorders>
            <w:shd w:val="clear" w:color="auto" w:fill="auto"/>
            <w:vAlign w:val="center"/>
          </w:tcPr>
          <w:p w14:paraId="39DF53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怀抱双人布艺沙发.天蓝</w:t>
            </w:r>
          </w:p>
        </w:tc>
        <w:tc>
          <w:tcPr>
            <w:tcW w:w="2216" w:type="dxa"/>
            <w:tcBorders>
              <w:tl2br w:val="nil"/>
              <w:tr2bl w:val="nil"/>
            </w:tcBorders>
            <w:shd w:val="clear" w:color="auto" w:fill="auto"/>
            <w:vAlign w:val="center"/>
          </w:tcPr>
          <w:p w14:paraId="1ECF12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L97xW50xH61cm</w:t>
            </w:r>
          </w:p>
        </w:tc>
        <w:tc>
          <w:tcPr>
            <w:tcW w:w="1212" w:type="dxa"/>
            <w:tcBorders>
              <w:tl2br w:val="nil"/>
              <w:tr2bl w:val="nil"/>
            </w:tcBorders>
            <w:shd w:val="clear" w:color="auto" w:fill="auto"/>
            <w:vAlign w:val="center"/>
          </w:tcPr>
          <w:p w14:paraId="109D50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615841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3B987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479196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85</w:t>
            </w:r>
          </w:p>
        </w:tc>
        <w:tc>
          <w:tcPr>
            <w:tcW w:w="2668" w:type="dxa"/>
            <w:tcBorders>
              <w:tl2br w:val="nil"/>
              <w:tr2bl w:val="nil"/>
            </w:tcBorders>
            <w:shd w:val="clear" w:color="auto" w:fill="auto"/>
            <w:vAlign w:val="center"/>
          </w:tcPr>
          <w:p w14:paraId="6B8890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原木2层矮柜.可调节.无背板</w:t>
            </w:r>
          </w:p>
        </w:tc>
        <w:tc>
          <w:tcPr>
            <w:tcW w:w="2216" w:type="dxa"/>
            <w:tcBorders>
              <w:tl2br w:val="nil"/>
              <w:tr2bl w:val="nil"/>
            </w:tcBorders>
            <w:shd w:val="clear" w:color="auto" w:fill="auto"/>
            <w:vAlign w:val="center"/>
          </w:tcPr>
          <w:p w14:paraId="4C833E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L91.5xW30xH59cm</w:t>
            </w:r>
          </w:p>
        </w:tc>
        <w:tc>
          <w:tcPr>
            <w:tcW w:w="1212" w:type="dxa"/>
            <w:tcBorders>
              <w:tl2br w:val="nil"/>
              <w:tr2bl w:val="nil"/>
            </w:tcBorders>
            <w:shd w:val="clear" w:color="auto" w:fill="auto"/>
            <w:vAlign w:val="center"/>
          </w:tcPr>
          <w:p w14:paraId="3BC8C2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BB6DC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8DE6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8D8B8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86</w:t>
            </w:r>
          </w:p>
        </w:tc>
        <w:tc>
          <w:tcPr>
            <w:tcW w:w="2668" w:type="dxa"/>
            <w:tcBorders>
              <w:tl2br w:val="nil"/>
              <w:tr2bl w:val="nil"/>
            </w:tcBorders>
            <w:shd w:val="clear" w:color="auto" w:fill="auto"/>
            <w:vAlign w:val="center"/>
          </w:tcPr>
          <w:p w14:paraId="775C5A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三层教具篮收纳柜</w:t>
            </w:r>
          </w:p>
        </w:tc>
        <w:tc>
          <w:tcPr>
            <w:tcW w:w="2216" w:type="dxa"/>
            <w:tcBorders>
              <w:tl2br w:val="nil"/>
              <w:tr2bl w:val="nil"/>
            </w:tcBorders>
            <w:shd w:val="clear" w:color="auto" w:fill="auto"/>
            <w:vAlign w:val="center"/>
          </w:tcPr>
          <w:p w14:paraId="2EC2A4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L91xW30xH59cm</w:t>
            </w:r>
          </w:p>
        </w:tc>
        <w:tc>
          <w:tcPr>
            <w:tcW w:w="1212" w:type="dxa"/>
            <w:tcBorders>
              <w:tl2br w:val="nil"/>
              <w:tr2bl w:val="nil"/>
            </w:tcBorders>
            <w:shd w:val="clear" w:color="auto" w:fill="auto"/>
            <w:vAlign w:val="center"/>
          </w:tcPr>
          <w:p w14:paraId="343E78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34B75C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21095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BD8557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87</w:t>
            </w:r>
          </w:p>
        </w:tc>
        <w:tc>
          <w:tcPr>
            <w:tcW w:w="2668" w:type="dxa"/>
            <w:tcBorders>
              <w:tl2br w:val="nil"/>
              <w:tr2bl w:val="nil"/>
            </w:tcBorders>
            <w:shd w:val="clear" w:color="auto" w:fill="auto"/>
            <w:vAlign w:val="center"/>
          </w:tcPr>
          <w:p w14:paraId="034A04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互动造型柜</w:t>
            </w:r>
          </w:p>
        </w:tc>
        <w:tc>
          <w:tcPr>
            <w:tcW w:w="2216" w:type="dxa"/>
            <w:tcBorders>
              <w:tl2br w:val="nil"/>
              <w:tr2bl w:val="nil"/>
            </w:tcBorders>
            <w:shd w:val="clear" w:color="auto" w:fill="auto"/>
            <w:vAlign w:val="center"/>
          </w:tcPr>
          <w:p w14:paraId="4A8173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L98xW40xH136cm</w:t>
            </w:r>
          </w:p>
        </w:tc>
        <w:tc>
          <w:tcPr>
            <w:tcW w:w="1212" w:type="dxa"/>
            <w:tcBorders>
              <w:tl2br w:val="nil"/>
              <w:tr2bl w:val="nil"/>
            </w:tcBorders>
            <w:shd w:val="clear" w:color="auto" w:fill="auto"/>
            <w:vAlign w:val="center"/>
          </w:tcPr>
          <w:p w14:paraId="6F7381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31020C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074C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73665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88</w:t>
            </w:r>
          </w:p>
        </w:tc>
        <w:tc>
          <w:tcPr>
            <w:tcW w:w="2668" w:type="dxa"/>
            <w:tcBorders>
              <w:tl2br w:val="nil"/>
              <w:tr2bl w:val="nil"/>
            </w:tcBorders>
            <w:shd w:val="clear" w:color="auto" w:fill="auto"/>
            <w:vAlign w:val="center"/>
          </w:tcPr>
          <w:p w14:paraId="485E0A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简约互动小厨房</w:t>
            </w:r>
          </w:p>
        </w:tc>
        <w:tc>
          <w:tcPr>
            <w:tcW w:w="2216" w:type="dxa"/>
            <w:tcBorders>
              <w:tl2br w:val="nil"/>
              <w:tr2bl w:val="nil"/>
            </w:tcBorders>
            <w:shd w:val="clear" w:color="auto" w:fill="auto"/>
            <w:vAlign w:val="center"/>
          </w:tcPr>
          <w:p w14:paraId="4CFBF9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L93xW30xH86cm</w:t>
            </w:r>
          </w:p>
        </w:tc>
        <w:tc>
          <w:tcPr>
            <w:tcW w:w="1212" w:type="dxa"/>
            <w:tcBorders>
              <w:tl2br w:val="nil"/>
              <w:tr2bl w:val="nil"/>
            </w:tcBorders>
            <w:shd w:val="clear" w:color="auto" w:fill="auto"/>
            <w:vAlign w:val="center"/>
          </w:tcPr>
          <w:p w14:paraId="378ED1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C3DE7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1F7D6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9BE7D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89</w:t>
            </w:r>
          </w:p>
        </w:tc>
        <w:tc>
          <w:tcPr>
            <w:tcW w:w="2668" w:type="dxa"/>
            <w:tcBorders>
              <w:tl2br w:val="nil"/>
              <w:tr2bl w:val="nil"/>
            </w:tcBorders>
            <w:shd w:val="clear" w:color="auto" w:fill="auto"/>
            <w:vAlign w:val="center"/>
          </w:tcPr>
          <w:p w14:paraId="10F6AE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简约衣帽饰品柜</w:t>
            </w:r>
          </w:p>
        </w:tc>
        <w:tc>
          <w:tcPr>
            <w:tcW w:w="2216" w:type="dxa"/>
            <w:tcBorders>
              <w:tl2br w:val="nil"/>
              <w:tr2bl w:val="nil"/>
            </w:tcBorders>
            <w:shd w:val="clear" w:color="auto" w:fill="auto"/>
            <w:vAlign w:val="center"/>
          </w:tcPr>
          <w:p w14:paraId="2808FF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L105xW40xH110cm</w:t>
            </w:r>
          </w:p>
        </w:tc>
        <w:tc>
          <w:tcPr>
            <w:tcW w:w="1212" w:type="dxa"/>
            <w:tcBorders>
              <w:tl2br w:val="nil"/>
              <w:tr2bl w:val="nil"/>
            </w:tcBorders>
            <w:shd w:val="clear" w:color="auto" w:fill="auto"/>
            <w:vAlign w:val="center"/>
          </w:tcPr>
          <w:p w14:paraId="7ADB1AE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0E6E2FE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34A4B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5F094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90</w:t>
            </w:r>
          </w:p>
        </w:tc>
        <w:tc>
          <w:tcPr>
            <w:tcW w:w="2668" w:type="dxa"/>
            <w:tcBorders>
              <w:tl2br w:val="nil"/>
              <w:tr2bl w:val="nil"/>
            </w:tcBorders>
            <w:shd w:val="clear" w:color="auto" w:fill="auto"/>
            <w:vAlign w:val="center"/>
          </w:tcPr>
          <w:p w14:paraId="2AD7B6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原木4层可调高柜.可调节.半背板</w:t>
            </w:r>
          </w:p>
        </w:tc>
        <w:tc>
          <w:tcPr>
            <w:tcW w:w="2216" w:type="dxa"/>
            <w:tcBorders>
              <w:tl2br w:val="nil"/>
              <w:tr2bl w:val="nil"/>
            </w:tcBorders>
            <w:shd w:val="clear" w:color="auto" w:fill="auto"/>
            <w:vAlign w:val="center"/>
          </w:tcPr>
          <w:p w14:paraId="763869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L91.5xW30xH80cm</w:t>
            </w:r>
          </w:p>
        </w:tc>
        <w:tc>
          <w:tcPr>
            <w:tcW w:w="1212" w:type="dxa"/>
            <w:tcBorders>
              <w:tl2br w:val="nil"/>
              <w:tr2bl w:val="nil"/>
            </w:tcBorders>
            <w:shd w:val="clear" w:color="auto" w:fill="auto"/>
            <w:vAlign w:val="center"/>
          </w:tcPr>
          <w:p w14:paraId="31ED54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4F6B04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BC8D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8D182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91</w:t>
            </w:r>
          </w:p>
        </w:tc>
        <w:tc>
          <w:tcPr>
            <w:tcW w:w="2668" w:type="dxa"/>
            <w:tcBorders>
              <w:tl2br w:val="nil"/>
              <w:tr2bl w:val="nil"/>
            </w:tcBorders>
            <w:shd w:val="clear" w:color="auto" w:fill="auto"/>
            <w:vAlign w:val="center"/>
          </w:tcPr>
          <w:p w14:paraId="63E0FE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移动水杯水桶收纳柜</w:t>
            </w:r>
          </w:p>
        </w:tc>
        <w:tc>
          <w:tcPr>
            <w:tcW w:w="2216" w:type="dxa"/>
            <w:tcBorders>
              <w:tl2br w:val="nil"/>
              <w:tr2bl w:val="nil"/>
            </w:tcBorders>
            <w:shd w:val="clear" w:color="auto" w:fill="auto"/>
            <w:vAlign w:val="center"/>
          </w:tcPr>
          <w:p w14:paraId="1A9B81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L70xW46xH95cm</w:t>
            </w:r>
          </w:p>
        </w:tc>
        <w:tc>
          <w:tcPr>
            <w:tcW w:w="1212" w:type="dxa"/>
            <w:tcBorders>
              <w:tl2br w:val="nil"/>
              <w:tr2bl w:val="nil"/>
            </w:tcBorders>
            <w:shd w:val="clear" w:color="auto" w:fill="auto"/>
            <w:vAlign w:val="center"/>
          </w:tcPr>
          <w:p w14:paraId="69D2A8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6688B6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AC60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CDB03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92</w:t>
            </w:r>
          </w:p>
        </w:tc>
        <w:tc>
          <w:tcPr>
            <w:tcW w:w="2668" w:type="dxa"/>
            <w:tcBorders>
              <w:tl2br w:val="nil"/>
              <w:tr2bl w:val="nil"/>
            </w:tcBorders>
            <w:shd w:val="clear" w:color="auto" w:fill="auto"/>
            <w:vAlign w:val="center"/>
          </w:tcPr>
          <w:p w14:paraId="7C1C88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清新小家三层六人推拉床</w:t>
            </w:r>
          </w:p>
        </w:tc>
        <w:tc>
          <w:tcPr>
            <w:tcW w:w="2216" w:type="dxa"/>
            <w:tcBorders>
              <w:tl2br w:val="nil"/>
              <w:tr2bl w:val="nil"/>
            </w:tcBorders>
            <w:shd w:val="clear" w:color="auto" w:fill="auto"/>
            <w:vAlign w:val="center"/>
          </w:tcPr>
          <w:p w14:paraId="76E23B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L146xW136xH69.5cm（含轮）</w:t>
            </w:r>
          </w:p>
        </w:tc>
        <w:tc>
          <w:tcPr>
            <w:tcW w:w="1212" w:type="dxa"/>
            <w:tcBorders>
              <w:tl2br w:val="nil"/>
              <w:tr2bl w:val="nil"/>
            </w:tcBorders>
            <w:shd w:val="clear" w:color="auto" w:fill="auto"/>
            <w:vAlign w:val="center"/>
          </w:tcPr>
          <w:p w14:paraId="507781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5</w:t>
            </w:r>
          </w:p>
        </w:tc>
        <w:tc>
          <w:tcPr>
            <w:tcW w:w="1212" w:type="dxa"/>
            <w:tcBorders>
              <w:tl2br w:val="nil"/>
              <w:tr2bl w:val="nil"/>
            </w:tcBorders>
            <w:shd w:val="clear" w:color="auto" w:fill="auto"/>
            <w:vAlign w:val="center"/>
          </w:tcPr>
          <w:p w14:paraId="44BA42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7D155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519" w:type="dxa"/>
            <w:gridSpan w:val="5"/>
            <w:tcBorders>
              <w:tl2br w:val="nil"/>
              <w:tr2bl w:val="nil"/>
            </w:tcBorders>
            <w:shd w:val="clear" w:color="auto" w:fill="auto"/>
            <w:vAlign w:val="center"/>
          </w:tcPr>
          <w:p w14:paraId="004F715F">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t>美工室</w:t>
            </w:r>
          </w:p>
        </w:tc>
      </w:tr>
      <w:tr w14:paraId="26A6B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6714E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93</w:t>
            </w:r>
          </w:p>
        </w:tc>
        <w:tc>
          <w:tcPr>
            <w:tcW w:w="2668" w:type="dxa"/>
            <w:tcBorders>
              <w:tl2br w:val="nil"/>
              <w:tr2bl w:val="nil"/>
            </w:tcBorders>
            <w:shd w:val="clear" w:color="auto" w:fill="auto"/>
            <w:vAlign w:val="center"/>
          </w:tcPr>
          <w:p w14:paraId="6909C1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可擦写绘画桌</w:t>
            </w:r>
          </w:p>
        </w:tc>
        <w:tc>
          <w:tcPr>
            <w:tcW w:w="2216" w:type="dxa"/>
            <w:tcBorders>
              <w:tl2br w:val="nil"/>
              <w:tr2bl w:val="nil"/>
            </w:tcBorders>
            <w:shd w:val="clear" w:color="auto" w:fill="auto"/>
            <w:vAlign w:val="center"/>
          </w:tcPr>
          <w:p w14:paraId="492F84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L120xW120xH55cm</w:t>
            </w:r>
          </w:p>
        </w:tc>
        <w:tc>
          <w:tcPr>
            <w:tcW w:w="1212" w:type="dxa"/>
            <w:tcBorders>
              <w:tl2br w:val="nil"/>
              <w:tr2bl w:val="nil"/>
            </w:tcBorders>
            <w:shd w:val="clear" w:color="auto" w:fill="auto"/>
            <w:vAlign w:val="center"/>
          </w:tcPr>
          <w:p w14:paraId="70EA0C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c>
          <w:tcPr>
            <w:tcW w:w="1212" w:type="dxa"/>
            <w:tcBorders>
              <w:tl2br w:val="nil"/>
              <w:tr2bl w:val="nil"/>
            </w:tcBorders>
            <w:shd w:val="clear" w:color="auto" w:fill="auto"/>
            <w:vAlign w:val="center"/>
          </w:tcPr>
          <w:p w14:paraId="3CBD06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r>
      <w:tr w14:paraId="5F6DB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DF118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94</w:t>
            </w:r>
          </w:p>
        </w:tc>
        <w:tc>
          <w:tcPr>
            <w:tcW w:w="2668" w:type="dxa"/>
            <w:tcBorders>
              <w:tl2br w:val="nil"/>
              <w:tr2bl w:val="nil"/>
            </w:tcBorders>
            <w:shd w:val="clear" w:color="auto" w:fill="auto"/>
            <w:vAlign w:val="center"/>
          </w:tcPr>
          <w:p w14:paraId="6B3067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多功能手工桌</w:t>
            </w:r>
          </w:p>
        </w:tc>
        <w:tc>
          <w:tcPr>
            <w:tcW w:w="2216" w:type="dxa"/>
            <w:tcBorders>
              <w:tl2br w:val="nil"/>
              <w:tr2bl w:val="nil"/>
            </w:tcBorders>
            <w:shd w:val="clear" w:color="auto" w:fill="auto"/>
            <w:vAlign w:val="center"/>
          </w:tcPr>
          <w:p w14:paraId="776DEB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L120xW120xH78cm</w:t>
            </w:r>
          </w:p>
        </w:tc>
        <w:tc>
          <w:tcPr>
            <w:tcW w:w="1212" w:type="dxa"/>
            <w:tcBorders>
              <w:tl2br w:val="nil"/>
              <w:tr2bl w:val="nil"/>
            </w:tcBorders>
            <w:shd w:val="clear" w:color="auto" w:fill="auto"/>
            <w:vAlign w:val="center"/>
          </w:tcPr>
          <w:p w14:paraId="10A869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c>
          <w:tcPr>
            <w:tcW w:w="1212" w:type="dxa"/>
            <w:tcBorders>
              <w:tl2br w:val="nil"/>
              <w:tr2bl w:val="nil"/>
            </w:tcBorders>
            <w:shd w:val="clear" w:color="auto" w:fill="auto"/>
            <w:vAlign w:val="center"/>
          </w:tcPr>
          <w:p w14:paraId="7F5A21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r>
      <w:tr w14:paraId="7C4CE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6D1F5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95</w:t>
            </w:r>
          </w:p>
        </w:tc>
        <w:tc>
          <w:tcPr>
            <w:tcW w:w="2668" w:type="dxa"/>
            <w:tcBorders>
              <w:tl2br w:val="nil"/>
              <w:tr2bl w:val="nil"/>
            </w:tcBorders>
            <w:shd w:val="clear" w:color="auto" w:fill="auto"/>
            <w:vAlign w:val="center"/>
          </w:tcPr>
          <w:p w14:paraId="6D52BF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美工椅</w:t>
            </w:r>
          </w:p>
        </w:tc>
        <w:tc>
          <w:tcPr>
            <w:tcW w:w="2216" w:type="dxa"/>
            <w:tcBorders>
              <w:tl2br w:val="nil"/>
              <w:tr2bl w:val="nil"/>
            </w:tcBorders>
            <w:shd w:val="clear" w:color="auto" w:fill="auto"/>
            <w:vAlign w:val="center"/>
          </w:tcPr>
          <w:p w14:paraId="026B46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L36xW24xH26cm</w:t>
            </w:r>
          </w:p>
        </w:tc>
        <w:tc>
          <w:tcPr>
            <w:tcW w:w="1212" w:type="dxa"/>
            <w:tcBorders>
              <w:tl2br w:val="nil"/>
              <w:tr2bl w:val="nil"/>
            </w:tcBorders>
            <w:shd w:val="clear" w:color="auto" w:fill="auto"/>
            <w:vAlign w:val="center"/>
          </w:tcPr>
          <w:p w14:paraId="2805D4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34</w:t>
            </w:r>
          </w:p>
        </w:tc>
        <w:tc>
          <w:tcPr>
            <w:tcW w:w="1212" w:type="dxa"/>
            <w:tcBorders>
              <w:tl2br w:val="nil"/>
              <w:tr2bl w:val="nil"/>
            </w:tcBorders>
            <w:shd w:val="clear" w:color="auto" w:fill="auto"/>
            <w:vAlign w:val="center"/>
          </w:tcPr>
          <w:p w14:paraId="09A6EF7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2846C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DB99D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96</w:t>
            </w:r>
          </w:p>
        </w:tc>
        <w:tc>
          <w:tcPr>
            <w:tcW w:w="2668" w:type="dxa"/>
            <w:tcBorders>
              <w:tl2br w:val="nil"/>
              <w:tr2bl w:val="nil"/>
            </w:tcBorders>
            <w:shd w:val="clear" w:color="auto" w:fill="auto"/>
            <w:vAlign w:val="center"/>
          </w:tcPr>
          <w:p w14:paraId="2236AB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黑白板双面画架</w:t>
            </w:r>
          </w:p>
        </w:tc>
        <w:tc>
          <w:tcPr>
            <w:tcW w:w="2216" w:type="dxa"/>
            <w:tcBorders>
              <w:tl2br w:val="nil"/>
              <w:tr2bl w:val="nil"/>
            </w:tcBorders>
            <w:shd w:val="clear" w:color="auto" w:fill="auto"/>
            <w:vAlign w:val="center"/>
          </w:tcPr>
          <w:p w14:paraId="248EA6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L62xW67xH120cm</w:t>
            </w:r>
          </w:p>
        </w:tc>
        <w:tc>
          <w:tcPr>
            <w:tcW w:w="1212" w:type="dxa"/>
            <w:tcBorders>
              <w:tl2br w:val="nil"/>
              <w:tr2bl w:val="nil"/>
            </w:tcBorders>
            <w:shd w:val="clear" w:color="auto" w:fill="auto"/>
            <w:vAlign w:val="center"/>
          </w:tcPr>
          <w:p w14:paraId="72A95B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c>
          <w:tcPr>
            <w:tcW w:w="1212" w:type="dxa"/>
            <w:tcBorders>
              <w:tl2br w:val="nil"/>
              <w:tr2bl w:val="nil"/>
            </w:tcBorders>
            <w:shd w:val="clear" w:color="auto" w:fill="auto"/>
            <w:vAlign w:val="center"/>
          </w:tcPr>
          <w:p w14:paraId="41DC518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r>
      <w:tr w14:paraId="4C387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9C53E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97</w:t>
            </w:r>
          </w:p>
        </w:tc>
        <w:tc>
          <w:tcPr>
            <w:tcW w:w="2668" w:type="dxa"/>
            <w:tcBorders>
              <w:tl2br w:val="nil"/>
              <w:tr2bl w:val="nil"/>
            </w:tcBorders>
            <w:shd w:val="clear" w:color="auto" w:fill="auto"/>
            <w:vAlign w:val="center"/>
          </w:tcPr>
          <w:p w14:paraId="67639FE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蒙泰基6人桌.可调节</w:t>
            </w:r>
          </w:p>
        </w:tc>
        <w:tc>
          <w:tcPr>
            <w:tcW w:w="2216" w:type="dxa"/>
            <w:tcBorders>
              <w:tl2br w:val="nil"/>
              <w:tr2bl w:val="nil"/>
            </w:tcBorders>
            <w:shd w:val="clear" w:color="auto" w:fill="auto"/>
            <w:vAlign w:val="center"/>
          </w:tcPr>
          <w:p w14:paraId="026033C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L120xW60xH49/52/55cm可调节高度</w:t>
            </w:r>
          </w:p>
        </w:tc>
        <w:tc>
          <w:tcPr>
            <w:tcW w:w="1212" w:type="dxa"/>
            <w:tcBorders>
              <w:tl2br w:val="nil"/>
              <w:tr2bl w:val="nil"/>
            </w:tcBorders>
            <w:shd w:val="clear" w:color="auto" w:fill="auto"/>
            <w:vAlign w:val="center"/>
          </w:tcPr>
          <w:p w14:paraId="46B5C6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c>
          <w:tcPr>
            <w:tcW w:w="1212" w:type="dxa"/>
            <w:tcBorders>
              <w:tl2br w:val="nil"/>
              <w:tr2bl w:val="nil"/>
            </w:tcBorders>
            <w:shd w:val="clear" w:color="auto" w:fill="auto"/>
            <w:vAlign w:val="center"/>
          </w:tcPr>
          <w:p w14:paraId="7D0091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w:t>
            </w:r>
          </w:p>
        </w:tc>
      </w:tr>
      <w:tr w14:paraId="4D35B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282819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98</w:t>
            </w:r>
          </w:p>
        </w:tc>
        <w:tc>
          <w:tcPr>
            <w:tcW w:w="2668" w:type="dxa"/>
            <w:tcBorders>
              <w:tl2br w:val="nil"/>
              <w:tr2bl w:val="nil"/>
            </w:tcBorders>
            <w:shd w:val="clear" w:color="auto" w:fill="auto"/>
            <w:vAlign w:val="center"/>
          </w:tcPr>
          <w:p w14:paraId="3A2716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蒙泰基4人桌.可调节</w:t>
            </w:r>
          </w:p>
        </w:tc>
        <w:tc>
          <w:tcPr>
            <w:tcW w:w="2216" w:type="dxa"/>
            <w:tcBorders>
              <w:tl2br w:val="nil"/>
              <w:tr2bl w:val="nil"/>
            </w:tcBorders>
            <w:shd w:val="clear" w:color="auto" w:fill="auto"/>
            <w:vAlign w:val="center"/>
          </w:tcPr>
          <w:p w14:paraId="55FD36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L60xW60xH49/52/55cm可调节高度</w:t>
            </w:r>
          </w:p>
        </w:tc>
        <w:tc>
          <w:tcPr>
            <w:tcW w:w="1212" w:type="dxa"/>
            <w:tcBorders>
              <w:tl2br w:val="nil"/>
              <w:tr2bl w:val="nil"/>
            </w:tcBorders>
            <w:shd w:val="clear" w:color="auto" w:fill="auto"/>
            <w:vAlign w:val="center"/>
          </w:tcPr>
          <w:p w14:paraId="2517A3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c>
          <w:tcPr>
            <w:tcW w:w="1212" w:type="dxa"/>
            <w:tcBorders>
              <w:tl2br w:val="nil"/>
              <w:tr2bl w:val="nil"/>
            </w:tcBorders>
            <w:shd w:val="clear" w:color="auto" w:fill="auto"/>
            <w:vAlign w:val="center"/>
          </w:tcPr>
          <w:p w14:paraId="09EDF9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r>
      <w:tr w14:paraId="38FE9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21F98B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99</w:t>
            </w:r>
          </w:p>
        </w:tc>
        <w:tc>
          <w:tcPr>
            <w:tcW w:w="2668" w:type="dxa"/>
            <w:tcBorders>
              <w:tl2br w:val="nil"/>
              <w:tr2bl w:val="nil"/>
            </w:tcBorders>
            <w:shd w:val="clear" w:color="auto" w:fill="auto"/>
            <w:vAlign w:val="center"/>
          </w:tcPr>
          <w:p w14:paraId="43CE66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围裙综合收纳架</w:t>
            </w:r>
          </w:p>
        </w:tc>
        <w:tc>
          <w:tcPr>
            <w:tcW w:w="2216" w:type="dxa"/>
            <w:tcBorders>
              <w:tl2br w:val="nil"/>
              <w:tr2bl w:val="nil"/>
            </w:tcBorders>
            <w:shd w:val="clear" w:color="auto" w:fill="auto"/>
            <w:vAlign w:val="center"/>
          </w:tcPr>
          <w:p w14:paraId="086FD0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L100xW40xH110cm</w:t>
            </w:r>
          </w:p>
        </w:tc>
        <w:tc>
          <w:tcPr>
            <w:tcW w:w="1212" w:type="dxa"/>
            <w:tcBorders>
              <w:tl2br w:val="nil"/>
              <w:tr2bl w:val="nil"/>
            </w:tcBorders>
            <w:shd w:val="clear" w:color="auto" w:fill="auto"/>
            <w:vAlign w:val="center"/>
          </w:tcPr>
          <w:p w14:paraId="33BC78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132521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139E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3753B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100</w:t>
            </w:r>
          </w:p>
        </w:tc>
        <w:tc>
          <w:tcPr>
            <w:tcW w:w="2668" w:type="dxa"/>
            <w:tcBorders>
              <w:tl2br w:val="nil"/>
              <w:tr2bl w:val="nil"/>
            </w:tcBorders>
            <w:shd w:val="clear" w:color="auto" w:fill="auto"/>
            <w:vAlign w:val="center"/>
          </w:tcPr>
          <w:p w14:paraId="313BBA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美术作品晾干柜</w:t>
            </w:r>
          </w:p>
        </w:tc>
        <w:tc>
          <w:tcPr>
            <w:tcW w:w="2216" w:type="dxa"/>
            <w:tcBorders>
              <w:tl2br w:val="nil"/>
              <w:tr2bl w:val="nil"/>
            </w:tcBorders>
            <w:shd w:val="clear" w:color="auto" w:fill="auto"/>
            <w:vAlign w:val="center"/>
          </w:tcPr>
          <w:p w14:paraId="23D404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L50xW40xH76cm</w:t>
            </w:r>
          </w:p>
        </w:tc>
        <w:tc>
          <w:tcPr>
            <w:tcW w:w="1212" w:type="dxa"/>
            <w:tcBorders>
              <w:tl2br w:val="nil"/>
              <w:tr2bl w:val="nil"/>
            </w:tcBorders>
            <w:shd w:val="clear" w:color="auto" w:fill="auto"/>
            <w:vAlign w:val="center"/>
          </w:tcPr>
          <w:p w14:paraId="3AE922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1BBE0A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0A5D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46562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101</w:t>
            </w:r>
          </w:p>
        </w:tc>
        <w:tc>
          <w:tcPr>
            <w:tcW w:w="2668" w:type="dxa"/>
            <w:tcBorders>
              <w:tl2br w:val="nil"/>
              <w:tr2bl w:val="nil"/>
            </w:tcBorders>
            <w:shd w:val="clear" w:color="auto" w:fill="auto"/>
            <w:vAlign w:val="center"/>
          </w:tcPr>
          <w:p w14:paraId="66271A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美术用品收纳柜</w:t>
            </w:r>
          </w:p>
        </w:tc>
        <w:tc>
          <w:tcPr>
            <w:tcW w:w="2216" w:type="dxa"/>
            <w:tcBorders>
              <w:tl2br w:val="nil"/>
              <w:tr2bl w:val="nil"/>
            </w:tcBorders>
            <w:shd w:val="clear" w:color="auto" w:fill="auto"/>
            <w:vAlign w:val="center"/>
          </w:tcPr>
          <w:p w14:paraId="273F8A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L100xW40xH61.5cm</w:t>
            </w:r>
          </w:p>
        </w:tc>
        <w:tc>
          <w:tcPr>
            <w:tcW w:w="1212" w:type="dxa"/>
            <w:tcBorders>
              <w:tl2br w:val="nil"/>
              <w:tr2bl w:val="nil"/>
            </w:tcBorders>
            <w:shd w:val="clear" w:color="auto" w:fill="auto"/>
            <w:vAlign w:val="center"/>
          </w:tcPr>
          <w:p w14:paraId="18C2D7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2A9EF2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205EC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A2771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102</w:t>
            </w:r>
          </w:p>
        </w:tc>
        <w:tc>
          <w:tcPr>
            <w:tcW w:w="2668" w:type="dxa"/>
            <w:tcBorders>
              <w:tl2br w:val="nil"/>
              <w:tr2bl w:val="nil"/>
            </w:tcBorders>
            <w:shd w:val="clear" w:color="auto" w:fill="auto"/>
            <w:vAlign w:val="center"/>
          </w:tcPr>
          <w:p w14:paraId="6546B2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四层置物架</w:t>
            </w:r>
          </w:p>
        </w:tc>
        <w:tc>
          <w:tcPr>
            <w:tcW w:w="2216" w:type="dxa"/>
            <w:tcBorders>
              <w:tl2br w:val="nil"/>
              <w:tr2bl w:val="nil"/>
            </w:tcBorders>
            <w:shd w:val="clear" w:color="auto" w:fill="auto"/>
            <w:vAlign w:val="center"/>
          </w:tcPr>
          <w:p w14:paraId="2DFD78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L80×W30×H132cm</w:t>
            </w:r>
          </w:p>
        </w:tc>
        <w:tc>
          <w:tcPr>
            <w:tcW w:w="1212" w:type="dxa"/>
            <w:tcBorders>
              <w:tl2br w:val="nil"/>
              <w:tr2bl w:val="nil"/>
            </w:tcBorders>
            <w:shd w:val="clear" w:color="auto" w:fill="auto"/>
            <w:vAlign w:val="center"/>
          </w:tcPr>
          <w:p w14:paraId="460972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w:t>
            </w:r>
          </w:p>
        </w:tc>
        <w:tc>
          <w:tcPr>
            <w:tcW w:w="1212" w:type="dxa"/>
            <w:tcBorders>
              <w:tl2br w:val="nil"/>
              <w:tr2bl w:val="nil"/>
            </w:tcBorders>
            <w:shd w:val="clear" w:color="auto" w:fill="auto"/>
            <w:vAlign w:val="center"/>
          </w:tcPr>
          <w:p w14:paraId="4EBBCB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235C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EF237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103</w:t>
            </w:r>
          </w:p>
        </w:tc>
        <w:tc>
          <w:tcPr>
            <w:tcW w:w="2668" w:type="dxa"/>
            <w:tcBorders>
              <w:tl2br w:val="nil"/>
              <w:tr2bl w:val="nil"/>
            </w:tcBorders>
            <w:shd w:val="clear" w:color="auto" w:fill="auto"/>
            <w:vAlign w:val="center"/>
          </w:tcPr>
          <w:p w14:paraId="293603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三层置物架</w:t>
            </w:r>
          </w:p>
        </w:tc>
        <w:tc>
          <w:tcPr>
            <w:tcW w:w="2216" w:type="dxa"/>
            <w:tcBorders>
              <w:tl2br w:val="nil"/>
              <w:tr2bl w:val="nil"/>
            </w:tcBorders>
            <w:shd w:val="clear" w:color="auto" w:fill="auto"/>
            <w:vAlign w:val="center"/>
          </w:tcPr>
          <w:p w14:paraId="3BB5A5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L80×W30×H104cm</w:t>
            </w:r>
          </w:p>
        </w:tc>
        <w:tc>
          <w:tcPr>
            <w:tcW w:w="1212" w:type="dxa"/>
            <w:tcBorders>
              <w:tl2br w:val="nil"/>
              <w:tr2bl w:val="nil"/>
            </w:tcBorders>
            <w:shd w:val="clear" w:color="auto" w:fill="auto"/>
            <w:vAlign w:val="center"/>
          </w:tcPr>
          <w:p w14:paraId="47E2DE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27AE4F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D94C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4F8BA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104</w:t>
            </w:r>
          </w:p>
        </w:tc>
        <w:tc>
          <w:tcPr>
            <w:tcW w:w="2668" w:type="dxa"/>
            <w:tcBorders>
              <w:tl2br w:val="nil"/>
              <w:tr2bl w:val="nil"/>
            </w:tcBorders>
            <w:shd w:val="clear" w:color="auto" w:fill="auto"/>
            <w:vAlign w:val="center"/>
          </w:tcPr>
          <w:p w14:paraId="557F6C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木制储物推车</w:t>
            </w:r>
          </w:p>
        </w:tc>
        <w:tc>
          <w:tcPr>
            <w:tcW w:w="2216" w:type="dxa"/>
            <w:tcBorders>
              <w:tl2br w:val="nil"/>
              <w:tr2bl w:val="nil"/>
            </w:tcBorders>
            <w:shd w:val="clear" w:color="auto" w:fill="auto"/>
            <w:vAlign w:val="center"/>
          </w:tcPr>
          <w:p w14:paraId="787161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L90xW50xH81cm</w:t>
            </w:r>
          </w:p>
        </w:tc>
        <w:tc>
          <w:tcPr>
            <w:tcW w:w="1212" w:type="dxa"/>
            <w:tcBorders>
              <w:tl2br w:val="nil"/>
              <w:tr2bl w:val="nil"/>
            </w:tcBorders>
            <w:shd w:val="clear" w:color="auto" w:fill="auto"/>
            <w:vAlign w:val="center"/>
          </w:tcPr>
          <w:p w14:paraId="43F5B5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25FD94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A227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0178C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105</w:t>
            </w:r>
          </w:p>
        </w:tc>
        <w:tc>
          <w:tcPr>
            <w:tcW w:w="2668" w:type="dxa"/>
            <w:tcBorders>
              <w:tl2br w:val="nil"/>
              <w:tr2bl w:val="nil"/>
            </w:tcBorders>
            <w:shd w:val="clear" w:color="auto" w:fill="auto"/>
            <w:vAlign w:val="center"/>
          </w:tcPr>
          <w:p w14:paraId="4928F0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铁艺收纳展示柜组合</w:t>
            </w:r>
          </w:p>
        </w:tc>
        <w:tc>
          <w:tcPr>
            <w:tcW w:w="2216" w:type="dxa"/>
            <w:tcBorders>
              <w:tl2br w:val="nil"/>
              <w:tr2bl w:val="nil"/>
            </w:tcBorders>
            <w:shd w:val="clear" w:color="auto" w:fill="auto"/>
            <w:vAlign w:val="center"/>
          </w:tcPr>
          <w:p w14:paraId="46707A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L246xW41xH126cm</w:t>
            </w:r>
          </w:p>
        </w:tc>
        <w:tc>
          <w:tcPr>
            <w:tcW w:w="1212" w:type="dxa"/>
            <w:tcBorders>
              <w:tl2br w:val="nil"/>
              <w:tr2bl w:val="nil"/>
            </w:tcBorders>
            <w:shd w:val="clear" w:color="auto" w:fill="auto"/>
            <w:vAlign w:val="center"/>
          </w:tcPr>
          <w:p w14:paraId="129A3A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919C0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046B4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61371F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106</w:t>
            </w:r>
          </w:p>
        </w:tc>
        <w:tc>
          <w:tcPr>
            <w:tcW w:w="2668" w:type="dxa"/>
            <w:tcBorders>
              <w:tl2br w:val="nil"/>
              <w:tr2bl w:val="nil"/>
            </w:tcBorders>
            <w:shd w:val="clear" w:color="auto" w:fill="auto"/>
            <w:vAlign w:val="center"/>
          </w:tcPr>
          <w:p w14:paraId="71BE21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10#丽莎教具篮.卡其色</w:t>
            </w:r>
          </w:p>
        </w:tc>
        <w:tc>
          <w:tcPr>
            <w:tcW w:w="2216" w:type="dxa"/>
            <w:tcBorders>
              <w:tl2br w:val="nil"/>
              <w:tr2bl w:val="nil"/>
            </w:tcBorders>
            <w:shd w:val="clear" w:color="auto" w:fill="auto"/>
            <w:vAlign w:val="center"/>
          </w:tcPr>
          <w:p w14:paraId="440957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L26xW28xH10cm</w:t>
            </w:r>
          </w:p>
        </w:tc>
        <w:tc>
          <w:tcPr>
            <w:tcW w:w="1212" w:type="dxa"/>
            <w:tcBorders>
              <w:tl2br w:val="nil"/>
              <w:tr2bl w:val="nil"/>
            </w:tcBorders>
            <w:shd w:val="clear" w:color="auto" w:fill="auto"/>
            <w:vAlign w:val="center"/>
          </w:tcPr>
          <w:p w14:paraId="52D648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w:t>
            </w:r>
          </w:p>
        </w:tc>
        <w:tc>
          <w:tcPr>
            <w:tcW w:w="1212" w:type="dxa"/>
            <w:tcBorders>
              <w:tl2br w:val="nil"/>
              <w:tr2bl w:val="nil"/>
            </w:tcBorders>
            <w:shd w:val="clear" w:color="auto" w:fill="auto"/>
            <w:vAlign w:val="center"/>
          </w:tcPr>
          <w:p w14:paraId="48D8E3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5BF65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1C3AC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107</w:t>
            </w:r>
          </w:p>
        </w:tc>
        <w:tc>
          <w:tcPr>
            <w:tcW w:w="2668" w:type="dxa"/>
            <w:tcBorders>
              <w:tl2br w:val="nil"/>
              <w:tr2bl w:val="nil"/>
            </w:tcBorders>
            <w:shd w:val="clear" w:color="auto" w:fill="auto"/>
            <w:vAlign w:val="center"/>
          </w:tcPr>
          <w:p w14:paraId="79097A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原木3层矮柜.可调节.无背板</w:t>
            </w:r>
          </w:p>
        </w:tc>
        <w:tc>
          <w:tcPr>
            <w:tcW w:w="2216" w:type="dxa"/>
            <w:tcBorders>
              <w:tl2br w:val="nil"/>
              <w:tr2bl w:val="nil"/>
            </w:tcBorders>
            <w:shd w:val="clear" w:color="auto" w:fill="auto"/>
            <w:vAlign w:val="center"/>
          </w:tcPr>
          <w:p w14:paraId="6B5CD6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L91.5xW30xH59cm</w:t>
            </w:r>
          </w:p>
        </w:tc>
        <w:tc>
          <w:tcPr>
            <w:tcW w:w="1212" w:type="dxa"/>
            <w:tcBorders>
              <w:tl2br w:val="nil"/>
              <w:tr2bl w:val="nil"/>
            </w:tcBorders>
            <w:shd w:val="clear" w:color="auto" w:fill="auto"/>
            <w:vAlign w:val="center"/>
          </w:tcPr>
          <w:p w14:paraId="7559FF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36668A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CAB5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EA26A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108</w:t>
            </w:r>
          </w:p>
        </w:tc>
        <w:tc>
          <w:tcPr>
            <w:tcW w:w="2668" w:type="dxa"/>
            <w:tcBorders>
              <w:tl2br w:val="nil"/>
              <w:tr2bl w:val="nil"/>
            </w:tcBorders>
            <w:shd w:val="clear" w:color="auto" w:fill="auto"/>
            <w:vAlign w:val="center"/>
          </w:tcPr>
          <w:p w14:paraId="0CEB08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原木2层矮柜.可调节.无背板</w:t>
            </w:r>
          </w:p>
        </w:tc>
        <w:tc>
          <w:tcPr>
            <w:tcW w:w="2216" w:type="dxa"/>
            <w:tcBorders>
              <w:tl2br w:val="nil"/>
              <w:tr2bl w:val="nil"/>
            </w:tcBorders>
            <w:shd w:val="clear" w:color="auto" w:fill="auto"/>
            <w:vAlign w:val="center"/>
          </w:tcPr>
          <w:p w14:paraId="44AB77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L91.5xW30xH59cm</w:t>
            </w:r>
          </w:p>
        </w:tc>
        <w:tc>
          <w:tcPr>
            <w:tcW w:w="1212" w:type="dxa"/>
            <w:tcBorders>
              <w:tl2br w:val="nil"/>
              <w:tr2bl w:val="nil"/>
            </w:tcBorders>
            <w:shd w:val="clear" w:color="auto" w:fill="auto"/>
            <w:vAlign w:val="center"/>
          </w:tcPr>
          <w:p w14:paraId="303DD8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2F1309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4F123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0608F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109</w:t>
            </w:r>
          </w:p>
        </w:tc>
        <w:tc>
          <w:tcPr>
            <w:tcW w:w="2668" w:type="dxa"/>
            <w:tcBorders>
              <w:tl2br w:val="nil"/>
              <w:tr2bl w:val="nil"/>
            </w:tcBorders>
            <w:shd w:val="clear" w:color="auto" w:fill="auto"/>
            <w:vAlign w:val="center"/>
          </w:tcPr>
          <w:p w14:paraId="146174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原木3层高柜.全背板</w:t>
            </w:r>
          </w:p>
        </w:tc>
        <w:tc>
          <w:tcPr>
            <w:tcW w:w="2216" w:type="dxa"/>
            <w:tcBorders>
              <w:tl2br w:val="nil"/>
              <w:tr2bl w:val="nil"/>
            </w:tcBorders>
            <w:shd w:val="clear" w:color="auto" w:fill="auto"/>
            <w:vAlign w:val="center"/>
          </w:tcPr>
          <w:p w14:paraId="152343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L91.5xW30xH80cm</w:t>
            </w:r>
          </w:p>
        </w:tc>
        <w:tc>
          <w:tcPr>
            <w:tcW w:w="1212" w:type="dxa"/>
            <w:tcBorders>
              <w:tl2br w:val="nil"/>
              <w:tr2bl w:val="nil"/>
            </w:tcBorders>
            <w:shd w:val="clear" w:color="auto" w:fill="auto"/>
            <w:vAlign w:val="center"/>
          </w:tcPr>
          <w:p w14:paraId="374409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15</w:t>
            </w:r>
          </w:p>
        </w:tc>
        <w:tc>
          <w:tcPr>
            <w:tcW w:w="1212" w:type="dxa"/>
            <w:tcBorders>
              <w:tl2br w:val="nil"/>
              <w:tr2bl w:val="nil"/>
            </w:tcBorders>
            <w:shd w:val="clear" w:color="auto" w:fill="auto"/>
            <w:vAlign w:val="center"/>
          </w:tcPr>
          <w:p w14:paraId="1A522D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689C3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73271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110</w:t>
            </w:r>
          </w:p>
        </w:tc>
        <w:tc>
          <w:tcPr>
            <w:tcW w:w="2668" w:type="dxa"/>
            <w:tcBorders>
              <w:tl2br w:val="nil"/>
              <w:tr2bl w:val="nil"/>
            </w:tcBorders>
            <w:shd w:val="clear" w:color="auto" w:fill="auto"/>
            <w:vAlign w:val="center"/>
          </w:tcPr>
          <w:p w14:paraId="570ACB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原木3层短柜高柜.半背板</w:t>
            </w:r>
          </w:p>
        </w:tc>
        <w:tc>
          <w:tcPr>
            <w:tcW w:w="2216" w:type="dxa"/>
            <w:tcBorders>
              <w:tl2br w:val="nil"/>
              <w:tr2bl w:val="nil"/>
            </w:tcBorders>
            <w:shd w:val="clear" w:color="auto" w:fill="auto"/>
            <w:vAlign w:val="center"/>
          </w:tcPr>
          <w:p w14:paraId="35C4BA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L61.5xW30xH80cm</w:t>
            </w:r>
          </w:p>
        </w:tc>
        <w:tc>
          <w:tcPr>
            <w:tcW w:w="1212" w:type="dxa"/>
            <w:tcBorders>
              <w:tl2br w:val="nil"/>
              <w:tr2bl w:val="nil"/>
            </w:tcBorders>
            <w:shd w:val="clear" w:color="auto" w:fill="auto"/>
            <w:vAlign w:val="center"/>
          </w:tcPr>
          <w:p w14:paraId="2A1A99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E9053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18B5E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5EF5D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111</w:t>
            </w:r>
          </w:p>
        </w:tc>
        <w:tc>
          <w:tcPr>
            <w:tcW w:w="2668" w:type="dxa"/>
            <w:tcBorders>
              <w:tl2br w:val="nil"/>
              <w:tr2bl w:val="nil"/>
            </w:tcBorders>
            <w:shd w:val="clear" w:color="auto" w:fill="auto"/>
            <w:vAlign w:val="center"/>
          </w:tcPr>
          <w:p w14:paraId="3167DB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原木阶梯组合柜.无背板</w:t>
            </w:r>
          </w:p>
        </w:tc>
        <w:tc>
          <w:tcPr>
            <w:tcW w:w="2216" w:type="dxa"/>
            <w:tcBorders>
              <w:tl2br w:val="nil"/>
              <w:tr2bl w:val="nil"/>
            </w:tcBorders>
            <w:shd w:val="clear" w:color="auto" w:fill="auto"/>
            <w:vAlign w:val="center"/>
          </w:tcPr>
          <w:p w14:paraId="05317B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3层：L30xW30xH80cm</w:t>
            </w:r>
          </w:p>
          <w:p w14:paraId="5FBDEB4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2层：L30xW30xH59cm</w:t>
            </w:r>
          </w:p>
          <w:p w14:paraId="5F63C78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1层：L30xW30xH34cm</w:t>
            </w:r>
          </w:p>
        </w:tc>
        <w:tc>
          <w:tcPr>
            <w:tcW w:w="1212" w:type="dxa"/>
            <w:tcBorders>
              <w:tl2br w:val="nil"/>
              <w:tr2bl w:val="nil"/>
            </w:tcBorders>
            <w:shd w:val="clear" w:color="auto" w:fill="auto"/>
            <w:vAlign w:val="center"/>
          </w:tcPr>
          <w:p w14:paraId="7ED85B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3E52B1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74E66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8519" w:type="dxa"/>
            <w:gridSpan w:val="5"/>
            <w:tcBorders>
              <w:tl2br w:val="nil"/>
              <w:tr2bl w:val="nil"/>
            </w:tcBorders>
            <w:shd w:val="clear" w:color="auto" w:fill="auto"/>
            <w:vAlign w:val="center"/>
          </w:tcPr>
          <w:p w14:paraId="6F2ABB38">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bCs/>
                <w:i w:val="0"/>
                <w:iCs w:val="0"/>
                <w:color w:val="auto"/>
                <w:kern w:val="0"/>
                <w:sz w:val="20"/>
                <w:szCs w:val="20"/>
                <w:highlight w:val="none"/>
                <w:u w:val="none"/>
                <w:lang w:val="en-US" w:eastAsia="zh-CN" w:bidi="ar"/>
              </w:rPr>
              <w:t>阅读室</w:t>
            </w:r>
          </w:p>
        </w:tc>
      </w:tr>
      <w:tr w14:paraId="615E0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DFAB6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112</w:t>
            </w:r>
          </w:p>
        </w:tc>
        <w:tc>
          <w:tcPr>
            <w:tcW w:w="2668" w:type="dxa"/>
            <w:tcBorders>
              <w:tl2br w:val="nil"/>
              <w:tr2bl w:val="nil"/>
            </w:tcBorders>
            <w:shd w:val="clear" w:color="auto" w:fill="auto"/>
            <w:vAlign w:val="center"/>
          </w:tcPr>
          <w:p w14:paraId="33D52C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雪松造型阅读桌</w:t>
            </w:r>
          </w:p>
        </w:tc>
        <w:tc>
          <w:tcPr>
            <w:tcW w:w="2216" w:type="dxa"/>
            <w:tcBorders>
              <w:tl2br w:val="nil"/>
              <w:tr2bl w:val="nil"/>
            </w:tcBorders>
            <w:shd w:val="clear" w:color="auto" w:fill="auto"/>
            <w:vAlign w:val="center"/>
          </w:tcPr>
          <w:p w14:paraId="48765C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L120xW80xH90cm</w:t>
            </w:r>
          </w:p>
        </w:tc>
        <w:tc>
          <w:tcPr>
            <w:tcW w:w="1212" w:type="dxa"/>
            <w:tcBorders>
              <w:tl2br w:val="nil"/>
              <w:tr2bl w:val="nil"/>
            </w:tcBorders>
            <w:shd w:val="clear" w:color="auto" w:fill="auto"/>
            <w:vAlign w:val="center"/>
          </w:tcPr>
          <w:p w14:paraId="0888BC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678F26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7DFF4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39978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113</w:t>
            </w:r>
          </w:p>
        </w:tc>
        <w:tc>
          <w:tcPr>
            <w:tcW w:w="2668" w:type="dxa"/>
            <w:tcBorders>
              <w:tl2br w:val="nil"/>
              <w:tr2bl w:val="nil"/>
            </w:tcBorders>
            <w:shd w:val="clear" w:color="auto" w:fill="auto"/>
            <w:vAlign w:val="center"/>
          </w:tcPr>
          <w:p w14:paraId="1D3690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原木拱桥椅.27cm</w:t>
            </w:r>
          </w:p>
        </w:tc>
        <w:tc>
          <w:tcPr>
            <w:tcW w:w="2216" w:type="dxa"/>
            <w:tcBorders>
              <w:tl2br w:val="nil"/>
              <w:tr2bl w:val="nil"/>
            </w:tcBorders>
            <w:shd w:val="clear" w:color="auto" w:fill="auto"/>
            <w:vAlign w:val="center"/>
          </w:tcPr>
          <w:p w14:paraId="35543C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L30xW30xH53cm（座高27cm）</w:t>
            </w:r>
          </w:p>
        </w:tc>
        <w:tc>
          <w:tcPr>
            <w:tcW w:w="1212" w:type="dxa"/>
            <w:tcBorders>
              <w:tl2br w:val="nil"/>
              <w:tr2bl w:val="nil"/>
            </w:tcBorders>
            <w:shd w:val="clear" w:color="auto" w:fill="auto"/>
            <w:vAlign w:val="center"/>
          </w:tcPr>
          <w:p w14:paraId="0B3D61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9</w:t>
            </w:r>
          </w:p>
        </w:tc>
        <w:tc>
          <w:tcPr>
            <w:tcW w:w="1212" w:type="dxa"/>
            <w:tcBorders>
              <w:tl2br w:val="nil"/>
              <w:tr2bl w:val="nil"/>
            </w:tcBorders>
            <w:shd w:val="clear" w:color="auto" w:fill="auto"/>
            <w:vAlign w:val="center"/>
          </w:tcPr>
          <w:p w14:paraId="35FB34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2893A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DCE9C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114</w:t>
            </w:r>
          </w:p>
        </w:tc>
        <w:tc>
          <w:tcPr>
            <w:tcW w:w="2668" w:type="dxa"/>
            <w:tcBorders>
              <w:tl2br w:val="nil"/>
              <w:tr2bl w:val="nil"/>
            </w:tcBorders>
            <w:shd w:val="clear" w:color="auto" w:fill="auto"/>
            <w:vAlign w:val="center"/>
          </w:tcPr>
          <w:p w14:paraId="3F8AF8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4层分类书柜</w:t>
            </w:r>
          </w:p>
        </w:tc>
        <w:tc>
          <w:tcPr>
            <w:tcW w:w="2216" w:type="dxa"/>
            <w:tcBorders>
              <w:tl2br w:val="nil"/>
              <w:tr2bl w:val="nil"/>
            </w:tcBorders>
            <w:shd w:val="clear" w:color="auto" w:fill="auto"/>
            <w:vAlign w:val="center"/>
          </w:tcPr>
          <w:p w14:paraId="172195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L90xW30xH121cm</w:t>
            </w:r>
          </w:p>
        </w:tc>
        <w:tc>
          <w:tcPr>
            <w:tcW w:w="1212" w:type="dxa"/>
            <w:tcBorders>
              <w:tl2br w:val="nil"/>
              <w:tr2bl w:val="nil"/>
            </w:tcBorders>
            <w:shd w:val="clear" w:color="auto" w:fill="auto"/>
            <w:vAlign w:val="center"/>
          </w:tcPr>
          <w:p w14:paraId="1B61DD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3</w:t>
            </w:r>
          </w:p>
        </w:tc>
        <w:tc>
          <w:tcPr>
            <w:tcW w:w="1212" w:type="dxa"/>
            <w:tcBorders>
              <w:tl2br w:val="nil"/>
              <w:tr2bl w:val="nil"/>
            </w:tcBorders>
            <w:shd w:val="clear" w:color="auto" w:fill="auto"/>
            <w:vAlign w:val="center"/>
          </w:tcPr>
          <w:p w14:paraId="4F2766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D4D1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48D18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115</w:t>
            </w:r>
          </w:p>
        </w:tc>
        <w:tc>
          <w:tcPr>
            <w:tcW w:w="2668" w:type="dxa"/>
            <w:tcBorders>
              <w:tl2br w:val="nil"/>
              <w:tr2bl w:val="nil"/>
            </w:tcBorders>
            <w:shd w:val="clear" w:color="auto" w:fill="auto"/>
            <w:vAlign w:val="center"/>
          </w:tcPr>
          <w:p w14:paraId="734456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小方桌</w:t>
            </w:r>
          </w:p>
        </w:tc>
        <w:tc>
          <w:tcPr>
            <w:tcW w:w="2216" w:type="dxa"/>
            <w:tcBorders>
              <w:tl2br w:val="nil"/>
              <w:tr2bl w:val="nil"/>
            </w:tcBorders>
            <w:shd w:val="clear" w:color="auto" w:fill="auto"/>
            <w:vAlign w:val="center"/>
          </w:tcPr>
          <w:p w14:paraId="3433EC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L60xW60xH30cm</w:t>
            </w:r>
          </w:p>
        </w:tc>
        <w:tc>
          <w:tcPr>
            <w:tcW w:w="1212" w:type="dxa"/>
            <w:tcBorders>
              <w:tl2br w:val="nil"/>
              <w:tr2bl w:val="nil"/>
            </w:tcBorders>
            <w:shd w:val="clear" w:color="auto" w:fill="auto"/>
            <w:vAlign w:val="center"/>
          </w:tcPr>
          <w:p w14:paraId="56616E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c>
          <w:tcPr>
            <w:tcW w:w="1212" w:type="dxa"/>
            <w:tcBorders>
              <w:tl2br w:val="nil"/>
              <w:tr2bl w:val="nil"/>
            </w:tcBorders>
            <w:shd w:val="clear" w:color="auto" w:fill="auto"/>
            <w:vAlign w:val="center"/>
          </w:tcPr>
          <w:p w14:paraId="2FA818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r>
      <w:tr w14:paraId="2EB64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CC13C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116</w:t>
            </w:r>
          </w:p>
        </w:tc>
        <w:tc>
          <w:tcPr>
            <w:tcW w:w="2668" w:type="dxa"/>
            <w:tcBorders>
              <w:tl2br w:val="nil"/>
              <w:tr2bl w:val="nil"/>
            </w:tcBorders>
            <w:shd w:val="clear" w:color="auto" w:fill="auto"/>
            <w:vAlign w:val="center"/>
          </w:tcPr>
          <w:p w14:paraId="6A647A7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巴士造型图书修补桌</w:t>
            </w:r>
          </w:p>
        </w:tc>
        <w:tc>
          <w:tcPr>
            <w:tcW w:w="2216" w:type="dxa"/>
            <w:tcBorders>
              <w:tl2br w:val="nil"/>
              <w:tr2bl w:val="nil"/>
            </w:tcBorders>
            <w:shd w:val="clear" w:color="auto" w:fill="auto"/>
            <w:vAlign w:val="center"/>
          </w:tcPr>
          <w:p w14:paraId="65BDBC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L100xW40xH90cm</w:t>
            </w:r>
          </w:p>
        </w:tc>
        <w:tc>
          <w:tcPr>
            <w:tcW w:w="1212" w:type="dxa"/>
            <w:tcBorders>
              <w:tl2br w:val="nil"/>
              <w:tr2bl w:val="nil"/>
            </w:tcBorders>
            <w:shd w:val="clear" w:color="auto" w:fill="auto"/>
            <w:vAlign w:val="center"/>
          </w:tcPr>
          <w:p w14:paraId="032D66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c>
          <w:tcPr>
            <w:tcW w:w="1212" w:type="dxa"/>
            <w:tcBorders>
              <w:tl2br w:val="nil"/>
              <w:tr2bl w:val="nil"/>
            </w:tcBorders>
            <w:shd w:val="clear" w:color="auto" w:fill="auto"/>
            <w:vAlign w:val="center"/>
          </w:tcPr>
          <w:p w14:paraId="7B7659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r>
      <w:tr w14:paraId="3A824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92458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117</w:t>
            </w:r>
          </w:p>
        </w:tc>
        <w:tc>
          <w:tcPr>
            <w:tcW w:w="2668" w:type="dxa"/>
            <w:tcBorders>
              <w:tl2br w:val="nil"/>
              <w:tr2bl w:val="nil"/>
            </w:tcBorders>
            <w:shd w:val="clear" w:color="auto" w:fill="auto"/>
            <w:vAlign w:val="center"/>
          </w:tcPr>
          <w:p w14:paraId="555D74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造型高书柜.圆形镂空</w:t>
            </w:r>
          </w:p>
        </w:tc>
        <w:tc>
          <w:tcPr>
            <w:tcW w:w="2216" w:type="dxa"/>
            <w:tcBorders>
              <w:tl2br w:val="nil"/>
              <w:tr2bl w:val="nil"/>
            </w:tcBorders>
            <w:shd w:val="clear" w:color="auto" w:fill="auto"/>
            <w:vAlign w:val="center"/>
          </w:tcPr>
          <w:p w14:paraId="63F363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L240xW35xH255cm</w:t>
            </w:r>
          </w:p>
        </w:tc>
        <w:tc>
          <w:tcPr>
            <w:tcW w:w="1212" w:type="dxa"/>
            <w:tcBorders>
              <w:tl2br w:val="nil"/>
              <w:tr2bl w:val="nil"/>
            </w:tcBorders>
            <w:shd w:val="clear" w:color="auto" w:fill="auto"/>
            <w:vAlign w:val="center"/>
          </w:tcPr>
          <w:p w14:paraId="1C70E0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5EB39D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29EFC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BD13A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118</w:t>
            </w:r>
          </w:p>
        </w:tc>
        <w:tc>
          <w:tcPr>
            <w:tcW w:w="2668" w:type="dxa"/>
            <w:tcBorders>
              <w:tl2br w:val="nil"/>
              <w:tr2bl w:val="nil"/>
            </w:tcBorders>
            <w:shd w:val="clear" w:color="auto" w:fill="auto"/>
            <w:vAlign w:val="center"/>
          </w:tcPr>
          <w:p w14:paraId="17F419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造型高书柜.方形镂空</w:t>
            </w:r>
          </w:p>
        </w:tc>
        <w:tc>
          <w:tcPr>
            <w:tcW w:w="2216" w:type="dxa"/>
            <w:tcBorders>
              <w:tl2br w:val="nil"/>
              <w:tr2bl w:val="nil"/>
            </w:tcBorders>
            <w:shd w:val="clear" w:color="auto" w:fill="auto"/>
            <w:vAlign w:val="center"/>
          </w:tcPr>
          <w:p w14:paraId="1A1B33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L240xW35xH255cm</w:t>
            </w:r>
          </w:p>
        </w:tc>
        <w:tc>
          <w:tcPr>
            <w:tcW w:w="1212" w:type="dxa"/>
            <w:tcBorders>
              <w:tl2br w:val="nil"/>
              <w:tr2bl w:val="nil"/>
            </w:tcBorders>
            <w:shd w:val="clear" w:color="auto" w:fill="auto"/>
            <w:vAlign w:val="center"/>
          </w:tcPr>
          <w:p w14:paraId="53C772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DF7C2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71B16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4F1118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119</w:t>
            </w:r>
          </w:p>
        </w:tc>
        <w:tc>
          <w:tcPr>
            <w:tcW w:w="2668" w:type="dxa"/>
            <w:tcBorders>
              <w:tl2br w:val="nil"/>
              <w:tr2bl w:val="nil"/>
            </w:tcBorders>
            <w:shd w:val="clear" w:color="auto" w:fill="auto"/>
            <w:vAlign w:val="center"/>
          </w:tcPr>
          <w:p w14:paraId="128FCE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移动小书架</w:t>
            </w:r>
          </w:p>
        </w:tc>
        <w:tc>
          <w:tcPr>
            <w:tcW w:w="2216" w:type="dxa"/>
            <w:tcBorders>
              <w:tl2br w:val="nil"/>
              <w:tr2bl w:val="nil"/>
            </w:tcBorders>
            <w:shd w:val="clear" w:color="auto" w:fill="auto"/>
            <w:vAlign w:val="center"/>
          </w:tcPr>
          <w:p w14:paraId="194FE7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L35xW25xH43.5cm</w:t>
            </w:r>
          </w:p>
        </w:tc>
        <w:tc>
          <w:tcPr>
            <w:tcW w:w="1212" w:type="dxa"/>
            <w:tcBorders>
              <w:tl2br w:val="nil"/>
              <w:tr2bl w:val="nil"/>
            </w:tcBorders>
            <w:shd w:val="clear" w:color="auto" w:fill="auto"/>
            <w:vAlign w:val="center"/>
          </w:tcPr>
          <w:p w14:paraId="545D0B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329749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5EE71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33756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120</w:t>
            </w:r>
          </w:p>
        </w:tc>
        <w:tc>
          <w:tcPr>
            <w:tcW w:w="2668" w:type="dxa"/>
            <w:tcBorders>
              <w:tl2br w:val="nil"/>
              <w:tr2bl w:val="nil"/>
            </w:tcBorders>
            <w:shd w:val="clear" w:color="auto" w:fill="auto"/>
            <w:vAlign w:val="center"/>
          </w:tcPr>
          <w:p w14:paraId="09EBEF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简约书架</w:t>
            </w:r>
          </w:p>
        </w:tc>
        <w:tc>
          <w:tcPr>
            <w:tcW w:w="2216" w:type="dxa"/>
            <w:tcBorders>
              <w:tl2br w:val="nil"/>
              <w:tr2bl w:val="nil"/>
            </w:tcBorders>
            <w:shd w:val="clear" w:color="auto" w:fill="auto"/>
            <w:vAlign w:val="center"/>
          </w:tcPr>
          <w:p w14:paraId="3D1EB5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L93xW30xH81cm</w:t>
            </w:r>
          </w:p>
        </w:tc>
        <w:tc>
          <w:tcPr>
            <w:tcW w:w="1212" w:type="dxa"/>
            <w:tcBorders>
              <w:tl2br w:val="nil"/>
              <w:tr2bl w:val="nil"/>
            </w:tcBorders>
            <w:shd w:val="clear" w:color="auto" w:fill="auto"/>
            <w:vAlign w:val="center"/>
          </w:tcPr>
          <w:p w14:paraId="65F17A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6</w:t>
            </w:r>
          </w:p>
        </w:tc>
        <w:tc>
          <w:tcPr>
            <w:tcW w:w="1212" w:type="dxa"/>
            <w:tcBorders>
              <w:tl2br w:val="nil"/>
              <w:tr2bl w:val="nil"/>
            </w:tcBorders>
            <w:shd w:val="clear" w:color="auto" w:fill="auto"/>
            <w:vAlign w:val="center"/>
          </w:tcPr>
          <w:p w14:paraId="1724E3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58B03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52190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121</w:t>
            </w:r>
          </w:p>
        </w:tc>
        <w:tc>
          <w:tcPr>
            <w:tcW w:w="2668" w:type="dxa"/>
            <w:tcBorders>
              <w:tl2br w:val="nil"/>
              <w:tr2bl w:val="nil"/>
            </w:tcBorders>
            <w:shd w:val="clear" w:color="auto" w:fill="auto"/>
            <w:vAlign w:val="center"/>
          </w:tcPr>
          <w:p w14:paraId="33C234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秘密游戏树洞</w:t>
            </w:r>
          </w:p>
        </w:tc>
        <w:tc>
          <w:tcPr>
            <w:tcW w:w="2216" w:type="dxa"/>
            <w:tcBorders>
              <w:tl2br w:val="nil"/>
              <w:tr2bl w:val="nil"/>
            </w:tcBorders>
            <w:shd w:val="clear" w:color="auto" w:fill="auto"/>
            <w:vAlign w:val="center"/>
          </w:tcPr>
          <w:p w14:paraId="20A8B3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L103xW42xH150cm</w:t>
            </w:r>
          </w:p>
        </w:tc>
        <w:tc>
          <w:tcPr>
            <w:tcW w:w="1212" w:type="dxa"/>
            <w:tcBorders>
              <w:tl2br w:val="nil"/>
              <w:tr2bl w:val="nil"/>
            </w:tcBorders>
            <w:shd w:val="clear" w:color="auto" w:fill="auto"/>
            <w:vAlign w:val="center"/>
          </w:tcPr>
          <w:p w14:paraId="02BD99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333EFC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036B7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51568F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122</w:t>
            </w:r>
          </w:p>
        </w:tc>
        <w:tc>
          <w:tcPr>
            <w:tcW w:w="2668" w:type="dxa"/>
            <w:tcBorders>
              <w:tl2br w:val="nil"/>
              <w:tr2bl w:val="nil"/>
            </w:tcBorders>
            <w:shd w:val="clear" w:color="auto" w:fill="auto"/>
            <w:vAlign w:val="center"/>
          </w:tcPr>
          <w:p w14:paraId="0E7182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怀抱单人布艺沙发.天蓝</w:t>
            </w:r>
          </w:p>
        </w:tc>
        <w:tc>
          <w:tcPr>
            <w:tcW w:w="2216" w:type="dxa"/>
            <w:tcBorders>
              <w:tl2br w:val="nil"/>
              <w:tr2bl w:val="nil"/>
            </w:tcBorders>
            <w:shd w:val="clear" w:color="auto" w:fill="auto"/>
            <w:vAlign w:val="center"/>
          </w:tcPr>
          <w:p w14:paraId="330D4F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L60xW50xH61cm</w:t>
            </w:r>
          </w:p>
        </w:tc>
        <w:tc>
          <w:tcPr>
            <w:tcW w:w="1212" w:type="dxa"/>
            <w:tcBorders>
              <w:tl2br w:val="nil"/>
              <w:tr2bl w:val="nil"/>
            </w:tcBorders>
            <w:shd w:val="clear" w:color="auto" w:fill="auto"/>
            <w:vAlign w:val="center"/>
          </w:tcPr>
          <w:p w14:paraId="35B263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4987C9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12ADD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2B2B3F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123</w:t>
            </w:r>
          </w:p>
        </w:tc>
        <w:tc>
          <w:tcPr>
            <w:tcW w:w="2668" w:type="dxa"/>
            <w:tcBorders>
              <w:tl2br w:val="nil"/>
              <w:tr2bl w:val="nil"/>
            </w:tcBorders>
            <w:shd w:val="clear" w:color="auto" w:fill="auto"/>
            <w:vAlign w:val="center"/>
          </w:tcPr>
          <w:p w14:paraId="5AE0AD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怀抱双人布艺沙发.天蓝</w:t>
            </w:r>
          </w:p>
        </w:tc>
        <w:tc>
          <w:tcPr>
            <w:tcW w:w="2216" w:type="dxa"/>
            <w:tcBorders>
              <w:tl2br w:val="nil"/>
              <w:tr2bl w:val="nil"/>
            </w:tcBorders>
            <w:shd w:val="clear" w:color="auto" w:fill="auto"/>
            <w:vAlign w:val="center"/>
          </w:tcPr>
          <w:p w14:paraId="210294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L97xW50xH61cm</w:t>
            </w:r>
          </w:p>
        </w:tc>
        <w:tc>
          <w:tcPr>
            <w:tcW w:w="1212" w:type="dxa"/>
            <w:tcBorders>
              <w:tl2br w:val="nil"/>
              <w:tr2bl w:val="nil"/>
            </w:tcBorders>
            <w:shd w:val="clear" w:color="auto" w:fill="auto"/>
            <w:vAlign w:val="center"/>
          </w:tcPr>
          <w:p w14:paraId="023087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17BB18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张</w:t>
            </w:r>
          </w:p>
        </w:tc>
      </w:tr>
      <w:tr w14:paraId="7D2F1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7E3795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124</w:t>
            </w:r>
          </w:p>
        </w:tc>
        <w:tc>
          <w:tcPr>
            <w:tcW w:w="2668" w:type="dxa"/>
            <w:tcBorders>
              <w:tl2br w:val="nil"/>
              <w:tr2bl w:val="nil"/>
            </w:tcBorders>
            <w:shd w:val="clear" w:color="auto" w:fill="auto"/>
            <w:vAlign w:val="center"/>
          </w:tcPr>
          <w:p w14:paraId="245645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月亮造型皮沙发组合</w:t>
            </w:r>
          </w:p>
        </w:tc>
        <w:tc>
          <w:tcPr>
            <w:tcW w:w="2216" w:type="dxa"/>
            <w:tcBorders>
              <w:tl2br w:val="nil"/>
              <w:tr2bl w:val="nil"/>
            </w:tcBorders>
            <w:shd w:val="clear" w:color="auto" w:fill="auto"/>
            <w:vAlign w:val="center"/>
          </w:tcPr>
          <w:p w14:paraId="480B4B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Ф35xH26cm（单个）</w:t>
            </w:r>
          </w:p>
        </w:tc>
        <w:tc>
          <w:tcPr>
            <w:tcW w:w="1212" w:type="dxa"/>
            <w:tcBorders>
              <w:tl2br w:val="nil"/>
              <w:tr2bl w:val="nil"/>
            </w:tcBorders>
            <w:shd w:val="clear" w:color="auto" w:fill="auto"/>
            <w:vAlign w:val="center"/>
          </w:tcPr>
          <w:p w14:paraId="003B3F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c>
          <w:tcPr>
            <w:tcW w:w="1212" w:type="dxa"/>
            <w:tcBorders>
              <w:tl2br w:val="nil"/>
              <w:tr2bl w:val="nil"/>
            </w:tcBorders>
            <w:shd w:val="clear" w:color="auto" w:fill="auto"/>
            <w:vAlign w:val="center"/>
          </w:tcPr>
          <w:p w14:paraId="30F563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r>
      <w:tr w14:paraId="4BC0D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62C76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125</w:t>
            </w:r>
          </w:p>
        </w:tc>
        <w:tc>
          <w:tcPr>
            <w:tcW w:w="2668" w:type="dxa"/>
            <w:tcBorders>
              <w:tl2br w:val="nil"/>
              <w:tr2bl w:val="nil"/>
            </w:tcBorders>
            <w:shd w:val="clear" w:color="auto" w:fill="auto"/>
            <w:vAlign w:val="center"/>
          </w:tcPr>
          <w:p w14:paraId="1F7F45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森林小草地毯</w:t>
            </w:r>
          </w:p>
        </w:tc>
        <w:tc>
          <w:tcPr>
            <w:tcW w:w="2216" w:type="dxa"/>
            <w:tcBorders>
              <w:tl2br w:val="nil"/>
              <w:tr2bl w:val="nil"/>
            </w:tcBorders>
            <w:shd w:val="clear" w:color="auto" w:fill="auto"/>
            <w:vAlign w:val="center"/>
          </w:tcPr>
          <w:p w14:paraId="28CC73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L270xW200cm</w:t>
            </w:r>
          </w:p>
        </w:tc>
        <w:tc>
          <w:tcPr>
            <w:tcW w:w="1212" w:type="dxa"/>
            <w:tcBorders>
              <w:tl2br w:val="nil"/>
              <w:tr2bl w:val="nil"/>
            </w:tcBorders>
            <w:shd w:val="clear" w:color="auto" w:fill="auto"/>
            <w:vAlign w:val="center"/>
          </w:tcPr>
          <w:p w14:paraId="1E9D0E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块</w:t>
            </w:r>
          </w:p>
        </w:tc>
        <w:tc>
          <w:tcPr>
            <w:tcW w:w="1212" w:type="dxa"/>
            <w:tcBorders>
              <w:tl2br w:val="nil"/>
              <w:tr2bl w:val="nil"/>
            </w:tcBorders>
            <w:shd w:val="clear" w:color="auto" w:fill="auto"/>
            <w:vAlign w:val="center"/>
          </w:tcPr>
          <w:p w14:paraId="5CD8D9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r>
      <w:tr w14:paraId="07915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0A98C4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126</w:t>
            </w:r>
          </w:p>
        </w:tc>
        <w:tc>
          <w:tcPr>
            <w:tcW w:w="2668" w:type="dxa"/>
            <w:tcBorders>
              <w:tl2br w:val="nil"/>
              <w:tr2bl w:val="nil"/>
            </w:tcBorders>
            <w:shd w:val="clear" w:color="auto" w:fill="auto"/>
            <w:vAlign w:val="center"/>
          </w:tcPr>
          <w:p w14:paraId="240493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列车造型书柜ABC</w:t>
            </w:r>
          </w:p>
        </w:tc>
        <w:tc>
          <w:tcPr>
            <w:tcW w:w="2216" w:type="dxa"/>
            <w:tcBorders>
              <w:tl2br w:val="nil"/>
              <w:tr2bl w:val="nil"/>
            </w:tcBorders>
            <w:shd w:val="clear" w:color="auto" w:fill="auto"/>
            <w:vAlign w:val="center"/>
          </w:tcPr>
          <w:p w14:paraId="189E35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A:L96xW36xH42cm  B:L40xW42xH89cm C:L60xW28xH40cm（含软垫）</w:t>
            </w:r>
          </w:p>
        </w:tc>
        <w:tc>
          <w:tcPr>
            <w:tcW w:w="1212" w:type="dxa"/>
            <w:tcBorders>
              <w:tl2br w:val="nil"/>
              <w:tr2bl w:val="nil"/>
            </w:tcBorders>
            <w:shd w:val="clear" w:color="auto" w:fill="auto"/>
            <w:vAlign w:val="center"/>
          </w:tcPr>
          <w:p w14:paraId="2D5AB0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707904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1E9FC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FD2E19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127</w:t>
            </w:r>
          </w:p>
        </w:tc>
        <w:tc>
          <w:tcPr>
            <w:tcW w:w="2668" w:type="dxa"/>
            <w:tcBorders>
              <w:tl2br w:val="nil"/>
              <w:tr2bl w:val="nil"/>
            </w:tcBorders>
            <w:shd w:val="clear" w:color="auto" w:fill="auto"/>
            <w:vAlign w:val="center"/>
          </w:tcPr>
          <w:p w14:paraId="1B3B47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列车造型书柜.车厢</w:t>
            </w:r>
          </w:p>
        </w:tc>
        <w:tc>
          <w:tcPr>
            <w:tcW w:w="2216" w:type="dxa"/>
            <w:tcBorders>
              <w:tl2br w:val="nil"/>
              <w:tr2bl w:val="nil"/>
            </w:tcBorders>
            <w:shd w:val="clear" w:color="auto" w:fill="auto"/>
            <w:vAlign w:val="center"/>
          </w:tcPr>
          <w:p w14:paraId="276B5B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L60xW28xH40cm（含软垫）</w:t>
            </w:r>
          </w:p>
        </w:tc>
        <w:tc>
          <w:tcPr>
            <w:tcW w:w="1212" w:type="dxa"/>
            <w:tcBorders>
              <w:tl2br w:val="nil"/>
              <w:tr2bl w:val="nil"/>
            </w:tcBorders>
            <w:shd w:val="clear" w:color="auto" w:fill="auto"/>
            <w:vAlign w:val="center"/>
          </w:tcPr>
          <w:p w14:paraId="4CEAE8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49E70F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个</w:t>
            </w:r>
          </w:p>
        </w:tc>
      </w:tr>
      <w:tr w14:paraId="15AFC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157279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128</w:t>
            </w:r>
          </w:p>
        </w:tc>
        <w:tc>
          <w:tcPr>
            <w:tcW w:w="2668" w:type="dxa"/>
            <w:tcBorders>
              <w:tl2br w:val="nil"/>
              <w:tr2bl w:val="nil"/>
            </w:tcBorders>
            <w:shd w:val="clear" w:color="auto" w:fill="auto"/>
            <w:vAlign w:val="center"/>
          </w:tcPr>
          <w:p w14:paraId="2E14EE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扇形座椅柜A.有靠背</w:t>
            </w:r>
          </w:p>
        </w:tc>
        <w:tc>
          <w:tcPr>
            <w:tcW w:w="2216" w:type="dxa"/>
            <w:tcBorders>
              <w:tl2br w:val="nil"/>
              <w:tr2bl w:val="nil"/>
            </w:tcBorders>
            <w:shd w:val="clear" w:color="auto" w:fill="auto"/>
            <w:vAlign w:val="center"/>
          </w:tcPr>
          <w:p w14:paraId="6E2F06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L119xW68xH65cm</w:t>
            </w:r>
          </w:p>
        </w:tc>
        <w:tc>
          <w:tcPr>
            <w:tcW w:w="1212" w:type="dxa"/>
            <w:tcBorders>
              <w:tl2br w:val="nil"/>
              <w:tr2bl w:val="nil"/>
            </w:tcBorders>
            <w:shd w:val="clear" w:color="auto" w:fill="auto"/>
            <w:vAlign w:val="center"/>
          </w:tcPr>
          <w:p w14:paraId="5AA977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2</w:t>
            </w:r>
          </w:p>
        </w:tc>
        <w:tc>
          <w:tcPr>
            <w:tcW w:w="1212" w:type="dxa"/>
            <w:tcBorders>
              <w:tl2br w:val="nil"/>
              <w:tr2bl w:val="nil"/>
            </w:tcBorders>
            <w:shd w:val="clear" w:color="auto" w:fill="auto"/>
            <w:vAlign w:val="center"/>
          </w:tcPr>
          <w:p w14:paraId="190761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r w14:paraId="0F9D9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11" w:type="dxa"/>
            <w:tcBorders>
              <w:tl2br w:val="nil"/>
              <w:tr2bl w:val="nil"/>
            </w:tcBorders>
            <w:shd w:val="clear" w:color="auto" w:fill="auto"/>
            <w:vAlign w:val="center"/>
          </w:tcPr>
          <w:p w14:paraId="3C035C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129</w:t>
            </w:r>
          </w:p>
        </w:tc>
        <w:tc>
          <w:tcPr>
            <w:tcW w:w="2668" w:type="dxa"/>
            <w:tcBorders>
              <w:tl2br w:val="nil"/>
              <w:tr2bl w:val="nil"/>
            </w:tcBorders>
            <w:shd w:val="clear" w:color="auto" w:fill="auto"/>
            <w:vAlign w:val="center"/>
          </w:tcPr>
          <w:p w14:paraId="268D49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扇形座椅柜B.有靠背</w:t>
            </w:r>
          </w:p>
        </w:tc>
        <w:tc>
          <w:tcPr>
            <w:tcW w:w="2216" w:type="dxa"/>
            <w:tcBorders>
              <w:tl2br w:val="nil"/>
              <w:tr2bl w:val="nil"/>
            </w:tcBorders>
            <w:shd w:val="clear" w:color="auto" w:fill="auto"/>
            <w:vAlign w:val="center"/>
          </w:tcPr>
          <w:p w14:paraId="788C34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L119xW68xH65cm</w:t>
            </w:r>
          </w:p>
        </w:tc>
        <w:tc>
          <w:tcPr>
            <w:tcW w:w="1212" w:type="dxa"/>
            <w:tcBorders>
              <w:tl2br w:val="nil"/>
              <w:tr2bl w:val="nil"/>
            </w:tcBorders>
            <w:shd w:val="clear" w:color="auto" w:fill="auto"/>
            <w:vAlign w:val="center"/>
          </w:tcPr>
          <w:p w14:paraId="48681A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1</w:t>
            </w:r>
          </w:p>
        </w:tc>
        <w:tc>
          <w:tcPr>
            <w:tcW w:w="1212" w:type="dxa"/>
            <w:tcBorders>
              <w:tl2br w:val="nil"/>
              <w:tr2bl w:val="nil"/>
            </w:tcBorders>
            <w:shd w:val="clear" w:color="auto" w:fill="auto"/>
            <w:vAlign w:val="center"/>
          </w:tcPr>
          <w:p w14:paraId="0E191A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highlight w:val="none"/>
                <w:u w:val="none"/>
                <w:lang w:val="en-US" w:eastAsia="zh-CN" w:bidi="ar"/>
              </w:rPr>
              <w:t>套</w:t>
            </w:r>
          </w:p>
        </w:tc>
      </w:tr>
    </w:tbl>
    <w:p w14:paraId="02E252EC">
      <w:pPr>
        <w:rPr>
          <w:rFonts w:hint="eastAsia"/>
          <w:color w:val="auto"/>
          <w:highlight w:val="none"/>
          <w:lang w:val="en-US" w:eastAsia="zh-CN"/>
        </w:rPr>
      </w:pPr>
      <w:r>
        <w:rPr>
          <w:rFonts w:hint="eastAsia"/>
          <w:color w:val="auto"/>
          <w:highlight w:val="none"/>
          <w:lang w:val="en-US" w:eastAsia="zh-CN"/>
        </w:rPr>
        <w:t>注：表中的数量为预估数量，合同履行过程中按实结算，结算单价不变。</w:t>
      </w:r>
      <w:r>
        <w:rPr>
          <w:rFonts w:hint="eastAsia"/>
          <w:color w:val="auto"/>
          <w:highlight w:val="none"/>
          <w:lang w:val="en-US" w:eastAsia="zh-CN"/>
        </w:rPr>
        <w:br w:type="page"/>
      </w:r>
    </w:p>
    <w:p w14:paraId="25754FB5">
      <w:pPr>
        <w:rPr>
          <w:rFonts w:hint="eastAsia"/>
          <w:color w:val="auto"/>
          <w:highlight w:val="none"/>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84655CC">
      <w:pPr>
        <w:numPr>
          <w:ilvl w:val="0"/>
          <w:numId w:val="45"/>
        </w:numPr>
        <w:spacing w:line="360" w:lineRule="auto"/>
        <w:ind w:left="0" w:leftChars="0" w:firstLine="420" w:firstLineChars="0"/>
        <w:rPr>
          <w:rFonts w:hint="eastAsia"/>
          <w:b/>
          <w:bCs/>
          <w:color w:val="auto"/>
          <w:highlight w:val="none"/>
          <w:lang w:val="en-US" w:eastAsia="zh-CN"/>
        </w:rPr>
      </w:pPr>
      <w:r>
        <w:rPr>
          <w:rFonts w:hint="eastAsia"/>
          <w:b/>
          <w:bCs/>
          <w:color w:val="auto"/>
          <w:highlight w:val="none"/>
          <w:lang w:val="en-US" w:eastAsia="zh-CN"/>
        </w:rPr>
        <w:t>技术参数</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80"/>
        <w:gridCol w:w="2070"/>
        <w:gridCol w:w="8291"/>
        <w:gridCol w:w="2433"/>
      </w:tblGrid>
      <w:tr w14:paraId="2CED4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C173C0C">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01" w:type="dxa"/>
            <w:tcBorders>
              <w:tl2br w:val="nil"/>
              <w:tr2bl w:val="nil"/>
            </w:tcBorders>
            <w:shd w:val="clear" w:color="auto" w:fill="auto"/>
            <w:vAlign w:val="center"/>
          </w:tcPr>
          <w:p w14:paraId="2D5582E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6813" w:type="dxa"/>
            <w:tcBorders>
              <w:tl2br w:val="nil"/>
              <w:tr2bl w:val="nil"/>
            </w:tcBorders>
            <w:shd w:val="clear" w:color="auto" w:fill="auto"/>
            <w:vAlign w:val="center"/>
          </w:tcPr>
          <w:p w14:paraId="6C13E81B">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材质工艺要求说明</w:t>
            </w:r>
          </w:p>
        </w:tc>
        <w:tc>
          <w:tcPr>
            <w:tcW w:w="1999" w:type="dxa"/>
            <w:tcBorders>
              <w:tl2br w:val="nil"/>
              <w:tr2bl w:val="nil"/>
            </w:tcBorders>
            <w:shd w:val="clear" w:color="auto" w:fill="auto"/>
            <w:vAlign w:val="center"/>
          </w:tcPr>
          <w:p w14:paraId="0B68FBCC">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b/>
                <w:bCs/>
                <w:i w:val="0"/>
                <w:iCs w:val="0"/>
                <w:color w:val="auto"/>
                <w:kern w:val="0"/>
                <w:sz w:val="24"/>
                <w:szCs w:val="24"/>
                <w:highlight w:val="none"/>
                <w:u w:val="none"/>
                <w:lang w:val="en-US" w:eastAsia="zh-CN" w:bidi="ar"/>
              </w:rPr>
              <w:t>参考</w:t>
            </w:r>
            <w:r>
              <w:rPr>
                <w:rFonts w:hint="eastAsia" w:ascii="宋体" w:hAnsi="宋体" w:eastAsia="宋体" w:cs="宋体"/>
                <w:b/>
                <w:bCs/>
                <w:i w:val="0"/>
                <w:iCs w:val="0"/>
                <w:color w:val="auto"/>
                <w:kern w:val="0"/>
                <w:sz w:val="24"/>
                <w:szCs w:val="24"/>
                <w:highlight w:val="none"/>
                <w:u w:val="none"/>
                <w:lang w:val="en-US" w:eastAsia="zh-CN" w:bidi="ar"/>
              </w:rPr>
              <w:t>图片</w:t>
            </w:r>
          </w:p>
        </w:tc>
      </w:tr>
      <w:tr w14:paraId="5CE99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E0A39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701" w:type="dxa"/>
            <w:tcBorders>
              <w:tl2br w:val="nil"/>
              <w:tr2bl w:val="nil"/>
            </w:tcBorders>
            <w:shd w:val="clear" w:color="auto" w:fill="auto"/>
            <w:vAlign w:val="center"/>
          </w:tcPr>
          <w:p w14:paraId="027028C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6人桌.可调节</w:t>
            </w:r>
          </w:p>
        </w:tc>
        <w:tc>
          <w:tcPr>
            <w:tcW w:w="6813" w:type="dxa"/>
            <w:tcBorders>
              <w:tl2br w:val="nil"/>
              <w:tr2bl w:val="nil"/>
            </w:tcBorders>
            <w:shd w:val="clear" w:color="auto" w:fill="auto"/>
            <w:vAlign w:val="center"/>
          </w:tcPr>
          <w:p w14:paraId="3AB868C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规格：L120xW60xH34-46cm可调节高度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（2）桌脚底部安装可调节塑料件，可通过调整塑料件的数量来改变桌面的整体高度；可自由搭配不同颜色脚套环，适用多场景下使用，提高趣味性。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面板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紫红、蓝色、白色多种颜色的塑料调节脚套环，螺旋结构方便调节，每个脚套环规格为φ48xH55mm，选择安装不同的数量可满足不同的高度需求，桌面可调高度：340-460mm（每30mm可选调节安装）；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4E4ACF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215900</wp:posOffset>
                  </wp:positionH>
                  <wp:positionV relativeFrom="paragraph">
                    <wp:posOffset>58420</wp:posOffset>
                  </wp:positionV>
                  <wp:extent cx="826770" cy="625475"/>
                  <wp:effectExtent l="0" t="0" r="11430" b="9525"/>
                  <wp:wrapNone/>
                  <wp:docPr id="121" name="ID_0977ADECD73F4A1AAEADEE60DAAB19FB"/>
                  <wp:cNvGraphicFramePr/>
                  <a:graphic xmlns:a="http://schemas.openxmlformats.org/drawingml/2006/main">
                    <a:graphicData uri="http://schemas.openxmlformats.org/drawingml/2006/picture">
                      <pic:pic xmlns:pic="http://schemas.openxmlformats.org/drawingml/2006/picture">
                        <pic:nvPicPr>
                          <pic:cNvPr id="121" name="ID_0977ADECD73F4A1AAEADEE60DAAB19FB"/>
                          <pic:cNvPicPr/>
                        </pic:nvPicPr>
                        <pic:blipFill>
                          <a:blip r:embed="rId13"/>
                          <a:stretch>
                            <a:fillRect/>
                          </a:stretch>
                        </pic:blipFill>
                        <pic:spPr>
                          <a:xfrm>
                            <a:off x="0" y="0"/>
                            <a:ext cx="826770" cy="625475"/>
                          </a:xfrm>
                          <a:prstGeom prst="rect">
                            <a:avLst/>
                          </a:prstGeom>
                          <a:noFill/>
                          <a:ln>
                            <a:noFill/>
                          </a:ln>
                        </pic:spPr>
                      </pic:pic>
                    </a:graphicData>
                  </a:graphic>
                </wp:anchor>
              </w:drawing>
            </w:r>
          </w:p>
        </w:tc>
      </w:tr>
      <w:tr w14:paraId="183A2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E2803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701" w:type="dxa"/>
            <w:tcBorders>
              <w:tl2br w:val="nil"/>
              <w:tr2bl w:val="nil"/>
            </w:tcBorders>
            <w:shd w:val="clear" w:color="auto" w:fill="auto"/>
            <w:vAlign w:val="center"/>
          </w:tcPr>
          <w:p w14:paraId="106D18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月亮桌.可调节</w:t>
            </w:r>
          </w:p>
        </w:tc>
        <w:tc>
          <w:tcPr>
            <w:tcW w:w="6813" w:type="dxa"/>
            <w:tcBorders>
              <w:tl2br w:val="nil"/>
              <w:tr2bl w:val="nil"/>
            </w:tcBorders>
            <w:shd w:val="clear" w:color="auto" w:fill="auto"/>
            <w:vAlign w:val="center"/>
          </w:tcPr>
          <w:p w14:paraId="7717AC5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规格：L120xW60xH34-46cm可调节高度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（2）桌脚底部安装可调节塑料件，可通过调整塑料件的数量来改变桌面的整体高度；可自由搭配不同颜色脚套环，适用多场景下使用，提高趣味性。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面板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紫红、蓝色、白色多种颜色的塑料调节脚套环，螺旋结构方便调节，每个脚套环规格为φ48xH55mm，选择安装不同的数量可满足不同的高度需求，桌面可调高度：340-460mm（每30mm可选调节安装）；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2AA0DB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161290</wp:posOffset>
                  </wp:positionH>
                  <wp:positionV relativeFrom="paragraph">
                    <wp:posOffset>51435</wp:posOffset>
                  </wp:positionV>
                  <wp:extent cx="916940" cy="621665"/>
                  <wp:effectExtent l="0" t="0" r="10160" b="635"/>
                  <wp:wrapNone/>
                  <wp:docPr id="122" name="ID_AFA67993B7D74DBD87F7E695778D78BB"/>
                  <wp:cNvGraphicFramePr/>
                  <a:graphic xmlns:a="http://schemas.openxmlformats.org/drawingml/2006/main">
                    <a:graphicData uri="http://schemas.openxmlformats.org/drawingml/2006/picture">
                      <pic:pic xmlns:pic="http://schemas.openxmlformats.org/drawingml/2006/picture">
                        <pic:nvPicPr>
                          <pic:cNvPr id="122" name="ID_AFA67993B7D74DBD87F7E695778D78BB"/>
                          <pic:cNvPicPr/>
                        </pic:nvPicPr>
                        <pic:blipFill>
                          <a:blip r:embed="rId14"/>
                          <a:stretch>
                            <a:fillRect/>
                          </a:stretch>
                        </pic:blipFill>
                        <pic:spPr>
                          <a:xfrm>
                            <a:off x="0" y="0"/>
                            <a:ext cx="916940" cy="621665"/>
                          </a:xfrm>
                          <a:prstGeom prst="rect">
                            <a:avLst/>
                          </a:prstGeom>
                          <a:noFill/>
                          <a:ln>
                            <a:noFill/>
                          </a:ln>
                        </pic:spPr>
                      </pic:pic>
                    </a:graphicData>
                  </a:graphic>
                </wp:anchor>
              </w:drawing>
            </w:r>
          </w:p>
        </w:tc>
      </w:tr>
      <w:tr w14:paraId="71971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20D91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701" w:type="dxa"/>
            <w:tcBorders>
              <w:tl2br w:val="nil"/>
              <w:tr2bl w:val="nil"/>
            </w:tcBorders>
            <w:shd w:val="clear" w:color="auto" w:fill="auto"/>
            <w:vAlign w:val="center"/>
          </w:tcPr>
          <w:p w14:paraId="487559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圆桌.可调节</w:t>
            </w:r>
          </w:p>
        </w:tc>
        <w:tc>
          <w:tcPr>
            <w:tcW w:w="6813" w:type="dxa"/>
            <w:tcBorders>
              <w:tl2br w:val="nil"/>
              <w:tr2bl w:val="nil"/>
            </w:tcBorders>
            <w:shd w:val="clear" w:color="auto" w:fill="auto"/>
            <w:vAlign w:val="center"/>
          </w:tcPr>
          <w:p w14:paraId="7A6F13C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规格：Φ80xH34-46cm可调节高度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（2）桌脚底部安装可调节塑料件，可通过调整塑料件的数量来改变桌面的整体高度；可自由搭配不同颜色脚套环，适用多场景下使用，提高趣味性。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面板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紫红、蓝色、白色多种颜色的塑料调节脚套环，螺旋结构方便调节，每个脚套环规格为φ48xH55mm，选择安装不同的数量可满足不同的高度需求，桌面可调高度：340-460mm（每30mm可选调节安装）；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2C812D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213995</wp:posOffset>
                  </wp:positionH>
                  <wp:positionV relativeFrom="paragraph">
                    <wp:posOffset>20320</wp:posOffset>
                  </wp:positionV>
                  <wp:extent cx="812165" cy="683260"/>
                  <wp:effectExtent l="0" t="0" r="635" b="2540"/>
                  <wp:wrapNone/>
                  <wp:docPr id="123" name="ID_13A76D18C17E40B9853A68D4B84B6D3D"/>
                  <wp:cNvGraphicFramePr/>
                  <a:graphic xmlns:a="http://schemas.openxmlformats.org/drawingml/2006/main">
                    <a:graphicData uri="http://schemas.openxmlformats.org/drawingml/2006/picture">
                      <pic:pic xmlns:pic="http://schemas.openxmlformats.org/drawingml/2006/picture">
                        <pic:nvPicPr>
                          <pic:cNvPr id="123" name="ID_13A76D18C17E40B9853A68D4B84B6D3D"/>
                          <pic:cNvPicPr/>
                        </pic:nvPicPr>
                        <pic:blipFill>
                          <a:blip r:embed="rId15"/>
                          <a:stretch>
                            <a:fillRect/>
                          </a:stretch>
                        </pic:blipFill>
                        <pic:spPr>
                          <a:xfrm>
                            <a:off x="0" y="0"/>
                            <a:ext cx="812165" cy="683260"/>
                          </a:xfrm>
                          <a:prstGeom prst="rect">
                            <a:avLst/>
                          </a:prstGeom>
                          <a:noFill/>
                          <a:ln>
                            <a:noFill/>
                          </a:ln>
                        </pic:spPr>
                      </pic:pic>
                    </a:graphicData>
                  </a:graphic>
                </wp:anchor>
              </w:drawing>
            </w:r>
          </w:p>
        </w:tc>
      </w:tr>
      <w:tr w14:paraId="720C3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5ADC8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701" w:type="dxa"/>
            <w:tcBorders>
              <w:tl2br w:val="nil"/>
              <w:tr2bl w:val="nil"/>
            </w:tcBorders>
            <w:shd w:val="clear" w:color="auto" w:fill="auto"/>
            <w:vAlign w:val="center"/>
          </w:tcPr>
          <w:p w14:paraId="7B5DEC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4人桌.可调节</w:t>
            </w:r>
          </w:p>
        </w:tc>
        <w:tc>
          <w:tcPr>
            <w:tcW w:w="6813" w:type="dxa"/>
            <w:tcBorders>
              <w:tl2br w:val="nil"/>
              <w:tr2bl w:val="nil"/>
            </w:tcBorders>
            <w:shd w:val="clear" w:color="auto" w:fill="auto"/>
            <w:vAlign w:val="center"/>
          </w:tcPr>
          <w:p w14:paraId="7451464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规格：L60xW60xH34-46cm可调节高度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（2）桌脚底部安装可调节塑料件，可通过调整塑料件的数量来改变桌面的整体高度；可自由搭配不同颜色脚套环，适用多场景下使用，提高趣味性。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面板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紫红、蓝色、白色多种颜色的塑料调节脚套环，螺旋结构方便调节，每个脚套环规格为φ48xH55mm，选择安装不同的数量可满足不同的高度需求，桌面可调高度：340-460mm（每30mm可选调节安装）；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3F5E37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220980</wp:posOffset>
                  </wp:positionH>
                  <wp:positionV relativeFrom="paragraph">
                    <wp:posOffset>22860</wp:posOffset>
                  </wp:positionV>
                  <wp:extent cx="800100" cy="680085"/>
                  <wp:effectExtent l="0" t="0" r="0" b="5715"/>
                  <wp:wrapNone/>
                  <wp:docPr id="124" name="ID_44E7CAE0B269406DA0A49E265F11007F"/>
                  <wp:cNvGraphicFramePr/>
                  <a:graphic xmlns:a="http://schemas.openxmlformats.org/drawingml/2006/main">
                    <a:graphicData uri="http://schemas.openxmlformats.org/drawingml/2006/picture">
                      <pic:pic xmlns:pic="http://schemas.openxmlformats.org/drawingml/2006/picture">
                        <pic:nvPicPr>
                          <pic:cNvPr id="124" name="ID_44E7CAE0B269406DA0A49E265F11007F"/>
                          <pic:cNvPicPr/>
                        </pic:nvPicPr>
                        <pic:blipFill>
                          <a:blip r:embed="rId16"/>
                          <a:stretch>
                            <a:fillRect/>
                          </a:stretch>
                        </pic:blipFill>
                        <pic:spPr>
                          <a:xfrm>
                            <a:off x="0" y="0"/>
                            <a:ext cx="800100" cy="680085"/>
                          </a:xfrm>
                          <a:prstGeom prst="rect">
                            <a:avLst/>
                          </a:prstGeom>
                          <a:noFill/>
                          <a:ln>
                            <a:noFill/>
                          </a:ln>
                        </pic:spPr>
                      </pic:pic>
                    </a:graphicData>
                  </a:graphic>
                </wp:anchor>
              </w:drawing>
            </w:r>
          </w:p>
        </w:tc>
      </w:tr>
      <w:tr w14:paraId="6C35F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DB018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701" w:type="dxa"/>
            <w:tcBorders>
              <w:tl2br w:val="nil"/>
              <w:tr2bl w:val="nil"/>
            </w:tcBorders>
            <w:shd w:val="clear" w:color="auto" w:fill="auto"/>
            <w:vAlign w:val="center"/>
          </w:tcPr>
          <w:p w14:paraId="56230C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椅.23cm.可叠</w:t>
            </w:r>
          </w:p>
        </w:tc>
        <w:tc>
          <w:tcPr>
            <w:tcW w:w="6813" w:type="dxa"/>
            <w:tcBorders>
              <w:tl2br w:val="nil"/>
              <w:tr2bl w:val="nil"/>
            </w:tcBorders>
            <w:shd w:val="clear" w:color="auto" w:fill="auto"/>
            <w:vAlign w:val="center"/>
          </w:tcPr>
          <w:p w14:paraId="4448BA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规格：L36xW30xH42cm（座高23cm）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（1）背板小熊造型设计，图案采用立体雕刻工艺，立体生动能彰显凹凸感。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（2）侧板椅脚内倾斜设计，稳固且利于堆叠。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（1）主材厚度15mm的环保实木多层板。靠背造型最大离座板高度190mm,最小高度180mm；座板：坐高：230mm，坐宽285mm，坐深205mm；扶手两侧开孔设计便于儿童抓握提放，开孔尺寸为159x40mm，扶手上边沿离座板高80mm。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（2）扶手内侧增加2个塑料脚垫，高度为H10mm，直径17mm，堆叠的时候不易刮花椅子。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（3）椅脚：侧板椅脚向内倾斜5°，侧板下方拱形镂空处理，最大离地高度75mm,稳固且利于堆叠；椅脚底部安装塑料脚垫,软性防滑。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（5）油墨：采用环保水性油墨，颜色饱满，无毒无异味。</w:t>
            </w:r>
          </w:p>
        </w:tc>
        <w:tc>
          <w:tcPr>
            <w:tcW w:w="1999" w:type="dxa"/>
            <w:tcBorders>
              <w:tl2br w:val="nil"/>
              <w:tr2bl w:val="nil"/>
            </w:tcBorders>
            <w:shd w:val="clear" w:color="auto" w:fill="auto"/>
            <w:vAlign w:val="center"/>
          </w:tcPr>
          <w:p w14:paraId="477928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319405</wp:posOffset>
                  </wp:positionH>
                  <wp:positionV relativeFrom="paragraph">
                    <wp:posOffset>20320</wp:posOffset>
                  </wp:positionV>
                  <wp:extent cx="601345" cy="683895"/>
                  <wp:effectExtent l="0" t="0" r="8255" b="1905"/>
                  <wp:wrapNone/>
                  <wp:docPr id="125" name="ID_B9A44FD0DF3849708DB59DD90EC975D4"/>
                  <wp:cNvGraphicFramePr/>
                  <a:graphic xmlns:a="http://schemas.openxmlformats.org/drawingml/2006/main">
                    <a:graphicData uri="http://schemas.openxmlformats.org/drawingml/2006/picture">
                      <pic:pic xmlns:pic="http://schemas.openxmlformats.org/drawingml/2006/picture">
                        <pic:nvPicPr>
                          <pic:cNvPr id="125" name="ID_B9A44FD0DF3849708DB59DD90EC975D4"/>
                          <pic:cNvPicPr/>
                        </pic:nvPicPr>
                        <pic:blipFill>
                          <a:blip r:embed="rId17"/>
                          <a:stretch>
                            <a:fillRect/>
                          </a:stretch>
                        </pic:blipFill>
                        <pic:spPr>
                          <a:xfrm>
                            <a:off x="0" y="0"/>
                            <a:ext cx="601345" cy="683895"/>
                          </a:xfrm>
                          <a:prstGeom prst="rect">
                            <a:avLst/>
                          </a:prstGeom>
                          <a:noFill/>
                          <a:ln>
                            <a:noFill/>
                          </a:ln>
                        </pic:spPr>
                      </pic:pic>
                    </a:graphicData>
                  </a:graphic>
                </wp:anchor>
              </w:drawing>
            </w:r>
          </w:p>
        </w:tc>
      </w:tr>
      <w:tr w14:paraId="1F73E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36AC0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701" w:type="dxa"/>
            <w:tcBorders>
              <w:tl2br w:val="nil"/>
              <w:tr2bl w:val="nil"/>
            </w:tcBorders>
            <w:shd w:val="clear" w:color="auto" w:fill="auto"/>
            <w:vAlign w:val="center"/>
          </w:tcPr>
          <w:p w14:paraId="5C9FEB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蒙泰基一体成型椅.41cm.可叠</w:t>
            </w:r>
          </w:p>
        </w:tc>
        <w:tc>
          <w:tcPr>
            <w:tcW w:w="6813" w:type="dxa"/>
            <w:tcBorders>
              <w:tl2br w:val="nil"/>
              <w:tr2bl w:val="nil"/>
            </w:tcBorders>
            <w:shd w:val="clear" w:color="auto" w:fill="auto"/>
            <w:vAlign w:val="center"/>
          </w:tcPr>
          <w:p w14:paraId="55DDD5E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规格：L47xW46.5xH73cm（座高41cm）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（1）椅子整体由多轴CNC一次加工完成材料切割、实木薄片多层胶合热压下一体成型，无须拼接，线条流畅。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（2）圆矩形挖孔设计，手提叠放轻松方便。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（3）座板前高后低倾角设计，靠背弧形贴合腰背，适应人体曲线，符合人体力学，呵护儿童脊椎发育，孩子久坐不累。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环保优质实木多层板（弯板），椅子座高：410mm，座宽：420~425mm。座板底部与支撑脚弯曲处安装V型加固角码，角码采用环保塑料，打磨圆滑，尺寸为L127xW95xH27mm呈浅咖色，更好的还原自然原木色，有效增加支撑脚牢固强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（2）椅脚与座板弧形相连一体成型，底部使用环保塑料脚套包裹，尺寸为41.8x18x42.8mm(±2mm)，加厚耐磨，防滑不易脱落。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（3）靠背圆矩形挖孔设计，靠背高度34cm手提叠放轻松方便。</w:t>
            </w:r>
          </w:p>
        </w:tc>
        <w:tc>
          <w:tcPr>
            <w:tcW w:w="1999" w:type="dxa"/>
            <w:tcBorders>
              <w:tl2br w:val="nil"/>
              <w:tr2bl w:val="nil"/>
            </w:tcBorders>
            <w:shd w:val="clear" w:color="auto" w:fill="auto"/>
            <w:vAlign w:val="center"/>
          </w:tcPr>
          <w:p w14:paraId="15C373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363855</wp:posOffset>
                  </wp:positionH>
                  <wp:positionV relativeFrom="paragraph">
                    <wp:posOffset>20320</wp:posOffset>
                  </wp:positionV>
                  <wp:extent cx="512445" cy="683260"/>
                  <wp:effectExtent l="0" t="0" r="8255" b="2540"/>
                  <wp:wrapNone/>
                  <wp:docPr id="126" name="ID_390AB81B6CA44F61A099B87B48AC35AF"/>
                  <wp:cNvGraphicFramePr/>
                  <a:graphic xmlns:a="http://schemas.openxmlformats.org/drawingml/2006/main">
                    <a:graphicData uri="http://schemas.openxmlformats.org/drawingml/2006/picture">
                      <pic:pic xmlns:pic="http://schemas.openxmlformats.org/drawingml/2006/picture">
                        <pic:nvPicPr>
                          <pic:cNvPr id="126" name="ID_390AB81B6CA44F61A099B87B48AC35AF"/>
                          <pic:cNvPicPr/>
                        </pic:nvPicPr>
                        <pic:blipFill>
                          <a:blip r:embed="rId18"/>
                          <a:stretch>
                            <a:fillRect/>
                          </a:stretch>
                        </pic:blipFill>
                        <pic:spPr>
                          <a:xfrm>
                            <a:off x="0" y="0"/>
                            <a:ext cx="512445" cy="683260"/>
                          </a:xfrm>
                          <a:prstGeom prst="rect">
                            <a:avLst/>
                          </a:prstGeom>
                          <a:noFill/>
                          <a:ln>
                            <a:noFill/>
                          </a:ln>
                        </pic:spPr>
                      </pic:pic>
                    </a:graphicData>
                  </a:graphic>
                </wp:anchor>
              </w:drawing>
            </w:r>
          </w:p>
        </w:tc>
      </w:tr>
      <w:tr w14:paraId="29E4F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C5675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701" w:type="dxa"/>
            <w:tcBorders>
              <w:tl2br w:val="nil"/>
              <w:tr2bl w:val="nil"/>
            </w:tcBorders>
            <w:shd w:val="clear" w:color="auto" w:fill="auto"/>
            <w:vAlign w:val="center"/>
          </w:tcPr>
          <w:p w14:paraId="605BA1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数字圆形皮质软垫（1-40）</w:t>
            </w:r>
          </w:p>
        </w:tc>
        <w:tc>
          <w:tcPr>
            <w:tcW w:w="6813" w:type="dxa"/>
            <w:tcBorders>
              <w:tl2br w:val="nil"/>
              <w:tr2bl w:val="nil"/>
            </w:tcBorders>
            <w:shd w:val="clear" w:color="auto" w:fill="auto"/>
            <w:vAlign w:val="center"/>
          </w:tcPr>
          <w:p w14:paraId="0CFB4D0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规格：Ф30xH2cm（单个圆垫）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（1）亲肤圆垫材质配合数字设计，培养幼儿加深对数字的认识。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（1）底板采用厚度25mm的环保实木多层板，圆棒采用桦木原木。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（2）收纳架底部安装4个1.5寸静音万向脚轮，脚轮运行平稳无声，可360°旋转，转动顺滑。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（3）1个收纳架最多可以收纳21个垫子，单个垫子尺寸为Ф30*H2cm，垫子外皮采用厚度1.5mm聚氨酯合成革超柔皮，触感轻柔，绿色环保，耐磨耐用；填充材质：海绵，密度≥30kg/m³，回弹性强，不易变形。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（4）油漆：收纳架采用环保的水性漆，全封闭涂装工艺，漆面光泽高透，颜色均匀。</w:t>
            </w:r>
          </w:p>
        </w:tc>
        <w:tc>
          <w:tcPr>
            <w:tcW w:w="1999" w:type="dxa"/>
            <w:tcBorders>
              <w:tl2br w:val="nil"/>
              <w:tr2bl w:val="nil"/>
            </w:tcBorders>
            <w:shd w:val="clear" w:color="auto" w:fill="auto"/>
            <w:vAlign w:val="center"/>
          </w:tcPr>
          <w:p w14:paraId="1C722A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88900</wp:posOffset>
                  </wp:positionH>
                  <wp:positionV relativeFrom="paragraph">
                    <wp:posOffset>20320</wp:posOffset>
                  </wp:positionV>
                  <wp:extent cx="1062355" cy="683895"/>
                  <wp:effectExtent l="0" t="0" r="4445" b="1905"/>
                  <wp:wrapNone/>
                  <wp:docPr id="127" name="ID_56EB5FAF3FC84846989E9B13AC2AB5CD"/>
                  <wp:cNvGraphicFramePr/>
                  <a:graphic xmlns:a="http://schemas.openxmlformats.org/drawingml/2006/main">
                    <a:graphicData uri="http://schemas.openxmlformats.org/drawingml/2006/picture">
                      <pic:pic xmlns:pic="http://schemas.openxmlformats.org/drawingml/2006/picture">
                        <pic:nvPicPr>
                          <pic:cNvPr id="127" name="ID_56EB5FAF3FC84846989E9B13AC2AB5CD"/>
                          <pic:cNvPicPr/>
                        </pic:nvPicPr>
                        <pic:blipFill>
                          <a:blip r:embed="rId19"/>
                          <a:stretch>
                            <a:fillRect/>
                          </a:stretch>
                        </pic:blipFill>
                        <pic:spPr>
                          <a:xfrm>
                            <a:off x="0" y="0"/>
                            <a:ext cx="1062355" cy="683895"/>
                          </a:xfrm>
                          <a:prstGeom prst="rect">
                            <a:avLst/>
                          </a:prstGeom>
                          <a:noFill/>
                          <a:ln>
                            <a:noFill/>
                          </a:ln>
                        </pic:spPr>
                      </pic:pic>
                    </a:graphicData>
                  </a:graphic>
                </wp:anchor>
              </w:drawing>
            </w:r>
          </w:p>
        </w:tc>
      </w:tr>
      <w:tr w14:paraId="174C2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07D3D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701" w:type="dxa"/>
            <w:tcBorders>
              <w:tl2br w:val="nil"/>
              <w:tr2bl w:val="nil"/>
            </w:tcBorders>
            <w:shd w:val="clear" w:color="auto" w:fill="auto"/>
            <w:vAlign w:val="center"/>
          </w:tcPr>
          <w:p w14:paraId="715458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树枝圆形地毯</w:t>
            </w:r>
          </w:p>
        </w:tc>
        <w:tc>
          <w:tcPr>
            <w:tcW w:w="6813" w:type="dxa"/>
            <w:tcBorders>
              <w:tl2br w:val="nil"/>
              <w:tr2bl w:val="nil"/>
            </w:tcBorders>
            <w:shd w:val="clear" w:color="auto" w:fill="auto"/>
            <w:vAlign w:val="center"/>
          </w:tcPr>
          <w:p w14:paraId="7639F90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规格：φ200cm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1.采用优质尼龙环保材料，弹性好而且富有光泽，具有很好的耐磨性和脚感，底部带防滑垫。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2.树枝圆形地毯内容丰富多彩，可让小朋友在游戏中学会认知，在课室的区角摆放中增添色彩。</w:t>
            </w:r>
          </w:p>
        </w:tc>
        <w:tc>
          <w:tcPr>
            <w:tcW w:w="1999" w:type="dxa"/>
            <w:tcBorders>
              <w:tl2br w:val="nil"/>
              <w:tr2bl w:val="nil"/>
            </w:tcBorders>
            <w:shd w:val="clear" w:color="auto" w:fill="auto"/>
            <w:vAlign w:val="center"/>
          </w:tcPr>
          <w:p w14:paraId="5059F1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277495</wp:posOffset>
                  </wp:positionH>
                  <wp:positionV relativeFrom="paragraph">
                    <wp:posOffset>20320</wp:posOffset>
                  </wp:positionV>
                  <wp:extent cx="685165" cy="683260"/>
                  <wp:effectExtent l="0" t="0" r="635" b="2540"/>
                  <wp:wrapNone/>
                  <wp:docPr id="128" name="ID_7612362166ED43F89B19D757396D59B5"/>
                  <wp:cNvGraphicFramePr/>
                  <a:graphic xmlns:a="http://schemas.openxmlformats.org/drawingml/2006/main">
                    <a:graphicData uri="http://schemas.openxmlformats.org/drawingml/2006/picture">
                      <pic:pic xmlns:pic="http://schemas.openxmlformats.org/drawingml/2006/picture">
                        <pic:nvPicPr>
                          <pic:cNvPr id="128" name="ID_7612362166ED43F89B19D757396D59B5"/>
                          <pic:cNvPicPr/>
                        </pic:nvPicPr>
                        <pic:blipFill>
                          <a:blip r:embed="rId20"/>
                          <a:stretch>
                            <a:fillRect/>
                          </a:stretch>
                        </pic:blipFill>
                        <pic:spPr>
                          <a:xfrm>
                            <a:off x="0" y="0"/>
                            <a:ext cx="685165" cy="683260"/>
                          </a:xfrm>
                          <a:prstGeom prst="rect">
                            <a:avLst/>
                          </a:prstGeom>
                          <a:noFill/>
                          <a:ln>
                            <a:noFill/>
                          </a:ln>
                        </pic:spPr>
                      </pic:pic>
                    </a:graphicData>
                  </a:graphic>
                </wp:anchor>
              </w:drawing>
            </w:r>
          </w:p>
        </w:tc>
      </w:tr>
      <w:tr w14:paraId="56017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6D7778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701" w:type="dxa"/>
            <w:tcBorders>
              <w:tl2br w:val="nil"/>
              <w:tr2bl w:val="nil"/>
            </w:tcBorders>
            <w:shd w:val="clear" w:color="auto" w:fill="auto"/>
            <w:vAlign w:val="center"/>
          </w:tcPr>
          <w:p w14:paraId="6FB616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19#丽莎教具篮.卡其色</w:t>
            </w:r>
          </w:p>
        </w:tc>
        <w:tc>
          <w:tcPr>
            <w:tcW w:w="6813" w:type="dxa"/>
            <w:tcBorders>
              <w:tl2br w:val="nil"/>
              <w:tr2bl w:val="nil"/>
            </w:tcBorders>
            <w:shd w:val="clear" w:color="auto" w:fill="auto"/>
            <w:vAlign w:val="center"/>
          </w:tcPr>
          <w:p w14:paraId="0418D9F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规格：L26xW28xH19cm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采用环保塑料一体成型工艺，边角采用圆边/圆角处理以及安全防撞设计。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采用环保塑料一体成型工艺，卡其色教具篮，搭配柜子使用，容量大，可堆叠。内控最小宽度22.5cm最大宽度25.5cm；内控长度23.5cm；两边凹陷设计，凸出15mm,叠放易抽取。</w:t>
            </w:r>
          </w:p>
        </w:tc>
        <w:tc>
          <w:tcPr>
            <w:tcW w:w="1999" w:type="dxa"/>
            <w:tcBorders>
              <w:tl2br w:val="nil"/>
              <w:tr2bl w:val="nil"/>
            </w:tcBorders>
            <w:shd w:val="clear" w:color="auto" w:fill="auto"/>
            <w:vAlign w:val="center"/>
          </w:tcPr>
          <w:p w14:paraId="41E162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249555</wp:posOffset>
                  </wp:positionH>
                  <wp:positionV relativeFrom="paragraph">
                    <wp:posOffset>20320</wp:posOffset>
                  </wp:positionV>
                  <wp:extent cx="740410" cy="683895"/>
                  <wp:effectExtent l="0" t="0" r="8890" b="1905"/>
                  <wp:wrapNone/>
                  <wp:docPr id="129" name="ID_DE1F660AB2A54EDCBA45A5CFAC101E11"/>
                  <wp:cNvGraphicFramePr/>
                  <a:graphic xmlns:a="http://schemas.openxmlformats.org/drawingml/2006/main">
                    <a:graphicData uri="http://schemas.openxmlformats.org/drawingml/2006/picture">
                      <pic:pic xmlns:pic="http://schemas.openxmlformats.org/drawingml/2006/picture">
                        <pic:nvPicPr>
                          <pic:cNvPr id="129" name="ID_DE1F660AB2A54EDCBA45A5CFAC101E11"/>
                          <pic:cNvPicPr/>
                        </pic:nvPicPr>
                        <pic:blipFill>
                          <a:blip r:embed="rId21"/>
                          <a:stretch>
                            <a:fillRect/>
                          </a:stretch>
                        </pic:blipFill>
                        <pic:spPr>
                          <a:xfrm>
                            <a:off x="0" y="0"/>
                            <a:ext cx="740410" cy="683895"/>
                          </a:xfrm>
                          <a:prstGeom prst="rect">
                            <a:avLst/>
                          </a:prstGeom>
                          <a:noFill/>
                          <a:ln>
                            <a:noFill/>
                          </a:ln>
                        </pic:spPr>
                      </pic:pic>
                    </a:graphicData>
                  </a:graphic>
                </wp:anchor>
              </w:drawing>
            </w:r>
          </w:p>
        </w:tc>
      </w:tr>
      <w:tr w14:paraId="77D33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79CAFC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701" w:type="dxa"/>
            <w:tcBorders>
              <w:tl2br w:val="nil"/>
              <w:tr2bl w:val="nil"/>
            </w:tcBorders>
            <w:shd w:val="clear" w:color="auto" w:fill="auto"/>
            <w:vAlign w:val="center"/>
          </w:tcPr>
          <w:p w14:paraId="40E9C4A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10#丽莎教具篮.卡其色</w:t>
            </w:r>
          </w:p>
        </w:tc>
        <w:tc>
          <w:tcPr>
            <w:tcW w:w="6813" w:type="dxa"/>
            <w:tcBorders>
              <w:tl2br w:val="nil"/>
              <w:tr2bl w:val="nil"/>
            </w:tcBorders>
            <w:shd w:val="clear" w:color="auto" w:fill="auto"/>
            <w:vAlign w:val="center"/>
          </w:tcPr>
          <w:p w14:paraId="568F619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规格：L26xW28xH10cm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采用环保塑料一体成型工艺，边角采用圆边/圆角处理以及安全防撞设计。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采用环保塑料一体成型工艺，卡其色教具篮，搭配柜子使用，容量大，可堆叠。内控最小宽度22cm最大宽度25.5cm；内控长度23.5cm；两边凹陷设计，凸出15mm，叠放易抽取。</w:t>
            </w:r>
          </w:p>
        </w:tc>
        <w:tc>
          <w:tcPr>
            <w:tcW w:w="1999" w:type="dxa"/>
            <w:tcBorders>
              <w:tl2br w:val="nil"/>
              <w:tr2bl w:val="nil"/>
            </w:tcBorders>
            <w:shd w:val="clear" w:color="auto" w:fill="auto"/>
            <w:vAlign w:val="center"/>
          </w:tcPr>
          <w:p w14:paraId="2ABE723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288290</wp:posOffset>
                  </wp:positionH>
                  <wp:positionV relativeFrom="paragraph">
                    <wp:posOffset>20320</wp:posOffset>
                  </wp:positionV>
                  <wp:extent cx="663575" cy="683260"/>
                  <wp:effectExtent l="0" t="0" r="9525" b="2540"/>
                  <wp:wrapNone/>
                  <wp:docPr id="130" name="ID_7DB07941E733486DAB47E2CBF15BE204"/>
                  <wp:cNvGraphicFramePr/>
                  <a:graphic xmlns:a="http://schemas.openxmlformats.org/drawingml/2006/main">
                    <a:graphicData uri="http://schemas.openxmlformats.org/drawingml/2006/picture">
                      <pic:pic xmlns:pic="http://schemas.openxmlformats.org/drawingml/2006/picture">
                        <pic:nvPicPr>
                          <pic:cNvPr id="130" name="ID_7DB07941E733486DAB47E2CBF15BE204"/>
                          <pic:cNvPicPr/>
                        </pic:nvPicPr>
                        <pic:blipFill>
                          <a:blip r:embed="rId22"/>
                          <a:stretch>
                            <a:fillRect/>
                          </a:stretch>
                        </pic:blipFill>
                        <pic:spPr>
                          <a:xfrm>
                            <a:off x="0" y="0"/>
                            <a:ext cx="663575" cy="683260"/>
                          </a:xfrm>
                          <a:prstGeom prst="rect">
                            <a:avLst/>
                          </a:prstGeom>
                          <a:noFill/>
                          <a:ln>
                            <a:noFill/>
                          </a:ln>
                        </pic:spPr>
                      </pic:pic>
                    </a:graphicData>
                  </a:graphic>
                </wp:anchor>
              </w:drawing>
            </w:r>
          </w:p>
        </w:tc>
      </w:tr>
      <w:tr w14:paraId="13283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AD1779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701" w:type="dxa"/>
            <w:tcBorders>
              <w:tl2br w:val="nil"/>
              <w:tr2bl w:val="nil"/>
            </w:tcBorders>
            <w:shd w:val="clear" w:color="auto" w:fill="auto"/>
            <w:vAlign w:val="center"/>
          </w:tcPr>
          <w:p w14:paraId="39A752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林中屋综合互动小厨房</w:t>
            </w:r>
          </w:p>
        </w:tc>
        <w:tc>
          <w:tcPr>
            <w:tcW w:w="6813" w:type="dxa"/>
            <w:tcBorders>
              <w:tl2br w:val="nil"/>
              <w:tr2bl w:val="nil"/>
            </w:tcBorders>
            <w:shd w:val="clear" w:color="auto" w:fill="auto"/>
            <w:vAlign w:val="center"/>
          </w:tcPr>
          <w:p w14:paraId="7F92106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规格：L90xW32xH102cm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（1）逼真综合厨房功能设计，树屋元素造型。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（3）可旋转按钮仿真功能，可视化按键，增强游戏真实体验感。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（4）多功能带轮带刹车柜体，移动/固定便捷。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（1）基材：主体采用厚度12mm和15mm厚度的桦木纹饰面环保橡胶木拼板以及厚度12mm和15mm厚度的环保实木多层板，背板采用厚度5mm的饰面环保实木纤维板。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（2）柜体上方设置厨房储放功能，拉手为直径29mm白色锌合金拉手；门板采用透明亚克力板做通透处理。储存空间下方搭配塑料挂钩。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柜面右侧为一个塑料一次成型呈奶白色的洗手台，尺寸L218xW218xH78mm；搭配可旋转的塑料成型2合1外直径35mm内直径18mm的旋转调节开关，一个长度70.5mm内径19mm的旋转水龙头；柜面左侧为两个φ124mm的仿真灶炉，搭配可旋转的塑料成型2合1外直径35mm内直径18mm的旋转调节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（4）柜体下方为3个独立开合门，门板内装缓冲铰链，能实现门板开合；3个拉手均采用深咖色环保塑料L104.5xW32mm。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（5）柜子底部安装4个1.5寸静音万向脚轮，脚轮运行平稳无声，可360°旋转，转动顺滑，其中2个脚轮带刹车功能，刹车灵敏，踏板不易断裂。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（8）油墨：采用环保水性油墨，颜色饱满，无毒无异味。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（9）亚克力板：采用厚度5mm的优质透明亚克力板，表面光滑无缺陷，坚硬耐用，高透光性，环保无毒。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（10）塑料板：采用食品级的环保塑料材质。</w:t>
            </w:r>
          </w:p>
        </w:tc>
        <w:tc>
          <w:tcPr>
            <w:tcW w:w="1999" w:type="dxa"/>
            <w:tcBorders>
              <w:tl2br w:val="nil"/>
              <w:tr2bl w:val="nil"/>
            </w:tcBorders>
            <w:shd w:val="clear" w:color="auto" w:fill="auto"/>
            <w:vAlign w:val="center"/>
          </w:tcPr>
          <w:p w14:paraId="17A172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323850</wp:posOffset>
                  </wp:positionH>
                  <wp:positionV relativeFrom="paragraph">
                    <wp:posOffset>32385</wp:posOffset>
                  </wp:positionV>
                  <wp:extent cx="635635" cy="659130"/>
                  <wp:effectExtent l="0" t="0" r="12065" b="1270"/>
                  <wp:wrapNone/>
                  <wp:docPr id="131" name="图片_5"/>
                  <wp:cNvGraphicFramePr/>
                  <a:graphic xmlns:a="http://schemas.openxmlformats.org/drawingml/2006/main">
                    <a:graphicData uri="http://schemas.openxmlformats.org/drawingml/2006/picture">
                      <pic:pic xmlns:pic="http://schemas.openxmlformats.org/drawingml/2006/picture">
                        <pic:nvPicPr>
                          <pic:cNvPr id="131" name="图片_5"/>
                          <pic:cNvPicPr/>
                        </pic:nvPicPr>
                        <pic:blipFill>
                          <a:blip r:embed="rId23"/>
                          <a:stretch>
                            <a:fillRect/>
                          </a:stretch>
                        </pic:blipFill>
                        <pic:spPr>
                          <a:xfrm>
                            <a:off x="0" y="0"/>
                            <a:ext cx="635635" cy="659130"/>
                          </a:xfrm>
                          <a:prstGeom prst="rect">
                            <a:avLst/>
                          </a:prstGeom>
                          <a:noFill/>
                          <a:ln>
                            <a:noFill/>
                          </a:ln>
                        </pic:spPr>
                      </pic:pic>
                    </a:graphicData>
                  </a:graphic>
                </wp:anchor>
              </w:drawing>
            </w:r>
          </w:p>
        </w:tc>
      </w:tr>
      <w:tr w14:paraId="768E1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00D53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701" w:type="dxa"/>
            <w:tcBorders>
              <w:tl2br w:val="nil"/>
              <w:tr2bl w:val="nil"/>
            </w:tcBorders>
            <w:shd w:val="clear" w:color="auto" w:fill="auto"/>
            <w:vAlign w:val="center"/>
          </w:tcPr>
          <w:p w14:paraId="59BF7F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2层45°弧形柜</w:t>
            </w:r>
          </w:p>
        </w:tc>
        <w:tc>
          <w:tcPr>
            <w:tcW w:w="6813" w:type="dxa"/>
            <w:tcBorders>
              <w:tl2br w:val="nil"/>
              <w:tr2bl w:val="nil"/>
            </w:tcBorders>
            <w:shd w:val="clear" w:color="auto" w:fill="auto"/>
            <w:vAlign w:val="center"/>
          </w:tcPr>
          <w:p w14:paraId="1D161C8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规格：L60xW33xH51cm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（1）90°转角设计，可搭配区角使用作转角连接。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通透2层高柜，格子上层内空高度：128mm，格子下层内空高度：223mm，柜体呈45°弧形；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13FF70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273050</wp:posOffset>
                  </wp:positionH>
                  <wp:positionV relativeFrom="paragraph">
                    <wp:posOffset>20320</wp:posOffset>
                  </wp:positionV>
                  <wp:extent cx="693420" cy="683895"/>
                  <wp:effectExtent l="0" t="0" r="5080" b="1905"/>
                  <wp:wrapNone/>
                  <wp:docPr id="132" name="ID_34DC476A09994CC58A7850BCBB679F83"/>
                  <wp:cNvGraphicFramePr/>
                  <a:graphic xmlns:a="http://schemas.openxmlformats.org/drawingml/2006/main">
                    <a:graphicData uri="http://schemas.openxmlformats.org/drawingml/2006/picture">
                      <pic:pic xmlns:pic="http://schemas.openxmlformats.org/drawingml/2006/picture">
                        <pic:nvPicPr>
                          <pic:cNvPr id="132" name="ID_34DC476A09994CC58A7850BCBB679F83"/>
                          <pic:cNvPicPr/>
                        </pic:nvPicPr>
                        <pic:blipFill>
                          <a:blip r:embed="rId24"/>
                          <a:stretch>
                            <a:fillRect/>
                          </a:stretch>
                        </pic:blipFill>
                        <pic:spPr>
                          <a:xfrm>
                            <a:off x="0" y="0"/>
                            <a:ext cx="693420" cy="683895"/>
                          </a:xfrm>
                          <a:prstGeom prst="rect">
                            <a:avLst/>
                          </a:prstGeom>
                          <a:noFill/>
                          <a:ln>
                            <a:noFill/>
                          </a:ln>
                        </pic:spPr>
                      </pic:pic>
                    </a:graphicData>
                  </a:graphic>
                </wp:anchor>
              </w:drawing>
            </w:r>
          </w:p>
        </w:tc>
      </w:tr>
      <w:tr w14:paraId="63C84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ED39CC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701" w:type="dxa"/>
            <w:tcBorders>
              <w:tl2br w:val="nil"/>
              <w:tr2bl w:val="nil"/>
            </w:tcBorders>
            <w:shd w:val="clear" w:color="auto" w:fill="auto"/>
            <w:vAlign w:val="center"/>
          </w:tcPr>
          <w:p w14:paraId="0CC866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2层90°转角柜</w:t>
            </w:r>
          </w:p>
        </w:tc>
        <w:tc>
          <w:tcPr>
            <w:tcW w:w="6813" w:type="dxa"/>
            <w:tcBorders>
              <w:tl2br w:val="nil"/>
              <w:tr2bl w:val="nil"/>
            </w:tcBorders>
            <w:shd w:val="clear" w:color="auto" w:fill="auto"/>
            <w:vAlign w:val="center"/>
          </w:tcPr>
          <w:p w14:paraId="3C6B2C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规格：L30xW30xH51cm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（1）90°转角设计，可搭配区角使用作转角连接。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全背板2层高柜，上层格子内空高度：128mm，下层格子内空高度：223mm，柜体呈90°转角；顶部安装H30mm高的扶手条，水性漆喷涂呈浅咖色，扶手条最大宽度24mm，凹弧设计方便幼儿学步抓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2BB133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372110</wp:posOffset>
                  </wp:positionH>
                  <wp:positionV relativeFrom="paragraph">
                    <wp:posOffset>20320</wp:posOffset>
                  </wp:positionV>
                  <wp:extent cx="495300" cy="683260"/>
                  <wp:effectExtent l="0" t="0" r="0" b="2540"/>
                  <wp:wrapNone/>
                  <wp:docPr id="133" name="ID_AA0F7F8169174FEAB3AE9F43E250DD9E"/>
                  <wp:cNvGraphicFramePr/>
                  <a:graphic xmlns:a="http://schemas.openxmlformats.org/drawingml/2006/main">
                    <a:graphicData uri="http://schemas.openxmlformats.org/drawingml/2006/picture">
                      <pic:pic xmlns:pic="http://schemas.openxmlformats.org/drawingml/2006/picture">
                        <pic:nvPicPr>
                          <pic:cNvPr id="133" name="ID_AA0F7F8169174FEAB3AE9F43E250DD9E"/>
                          <pic:cNvPicPr/>
                        </pic:nvPicPr>
                        <pic:blipFill>
                          <a:blip r:embed="rId25"/>
                          <a:stretch>
                            <a:fillRect/>
                          </a:stretch>
                        </pic:blipFill>
                        <pic:spPr>
                          <a:xfrm>
                            <a:off x="0" y="0"/>
                            <a:ext cx="495300" cy="683260"/>
                          </a:xfrm>
                          <a:prstGeom prst="rect">
                            <a:avLst/>
                          </a:prstGeom>
                          <a:noFill/>
                          <a:ln>
                            <a:noFill/>
                          </a:ln>
                        </pic:spPr>
                      </pic:pic>
                    </a:graphicData>
                  </a:graphic>
                </wp:anchor>
              </w:drawing>
            </w:r>
          </w:p>
        </w:tc>
      </w:tr>
      <w:tr w14:paraId="71574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E1A8C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701" w:type="dxa"/>
            <w:tcBorders>
              <w:tl2br w:val="nil"/>
              <w:tr2bl w:val="nil"/>
            </w:tcBorders>
            <w:shd w:val="clear" w:color="auto" w:fill="auto"/>
            <w:vAlign w:val="center"/>
          </w:tcPr>
          <w:p w14:paraId="04F7BB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托育巴士售卖台</w:t>
            </w:r>
          </w:p>
        </w:tc>
        <w:tc>
          <w:tcPr>
            <w:tcW w:w="6813" w:type="dxa"/>
            <w:tcBorders>
              <w:tl2br w:val="nil"/>
              <w:tr2bl w:val="nil"/>
            </w:tcBorders>
            <w:shd w:val="clear" w:color="auto" w:fill="auto"/>
            <w:vAlign w:val="center"/>
          </w:tcPr>
          <w:p w14:paraId="6EE4F67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规格：L92xW30xH120cm（含盒）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（1）特色巴士造型设计。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18mm的环保优质实木多层板。售卖柜体面板离地高度：490mm；顶部造型离售卖柜面高495mm,顶部造型板设计11个φ30mm镂空圆孔，便于悬挂标识牌；标识牌为长方形白色书写防火板，尺寸为：245x110mm，可使用水性笔进行擦写；造型顶两侧放置直径19mm长度884mm的铁艺圆棒，链接由涤纶纤维织造的仿棉麻材质倒三角挂饰，挂饰可拆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（2）两侧侧板总高1085mm,在侧板上方做尺寸110x455mm,的几何镂空造型，造型图案采用环保水性油墨，颜色饱满，无毒无异味。侧板安装塑料脚垫，高度为H10mm直径17mm，软性防滑。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（3）售卖柜底部分为上下两层；上层的售卖柜与水平夹角,30°，长度884mm，搭配5个大收纳盒，尺寸：L245xW150xH60mm；收纳盒采用环保塑料材质，呈浅咖色，一体成型设计。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围脚：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（6）油墨：采用环保水性油墨，颜色饱满，无毒无异味。</w:t>
            </w:r>
          </w:p>
        </w:tc>
        <w:tc>
          <w:tcPr>
            <w:tcW w:w="1999" w:type="dxa"/>
            <w:tcBorders>
              <w:tl2br w:val="nil"/>
              <w:tr2bl w:val="nil"/>
            </w:tcBorders>
            <w:shd w:val="clear" w:color="auto" w:fill="auto"/>
            <w:vAlign w:val="center"/>
          </w:tcPr>
          <w:p w14:paraId="3AD87E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360045</wp:posOffset>
                  </wp:positionH>
                  <wp:positionV relativeFrom="paragraph">
                    <wp:posOffset>20320</wp:posOffset>
                  </wp:positionV>
                  <wp:extent cx="519430" cy="683895"/>
                  <wp:effectExtent l="0" t="0" r="1270" b="1905"/>
                  <wp:wrapNone/>
                  <wp:docPr id="134" name="ID_9C0C74CCA247496F8B099A68A9E62C5A"/>
                  <wp:cNvGraphicFramePr/>
                  <a:graphic xmlns:a="http://schemas.openxmlformats.org/drawingml/2006/main">
                    <a:graphicData uri="http://schemas.openxmlformats.org/drawingml/2006/picture">
                      <pic:pic xmlns:pic="http://schemas.openxmlformats.org/drawingml/2006/picture">
                        <pic:nvPicPr>
                          <pic:cNvPr id="134" name="ID_9C0C74CCA247496F8B099A68A9E62C5A"/>
                          <pic:cNvPicPr/>
                        </pic:nvPicPr>
                        <pic:blipFill>
                          <a:blip r:embed="rId26"/>
                          <a:stretch>
                            <a:fillRect/>
                          </a:stretch>
                        </pic:blipFill>
                        <pic:spPr>
                          <a:xfrm>
                            <a:off x="0" y="0"/>
                            <a:ext cx="519430" cy="683895"/>
                          </a:xfrm>
                          <a:prstGeom prst="rect">
                            <a:avLst/>
                          </a:prstGeom>
                          <a:noFill/>
                          <a:ln>
                            <a:noFill/>
                          </a:ln>
                        </pic:spPr>
                      </pic:pic>
                    </a:graphicData>
                  </a:graphic>
                </wp:anchor>
              </w:drawing>
            </w:r>
          </w:p>
        </w:tc>
      </w:tr>
      <w:tr w14:paraId="12896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2E36C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701" w:type="dxa"/>
            <w:tcBorders>
              <w:tl2br w:val="nil"/>
              <w:tr2bl w:val="nil"/>
            </w:tcBorders>
            <w:shd w:val="clear" w:color="auto" w:fill="auto"/>
            <w:vAlign w:val="center"/>
          </w:tcPr>
          <w:p w14:paraId="3AE032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托育弧形波纹挡板</w:t>
            </w:r>
          </w:p>
        </w:tc>
        <w:tc>
          <w:tcPr>
            <w:tcW w:w="6813" w:type="dxa"/>
            <w:tcBorders>
              <w:tl2br w:val="nil"/>
              <w:tr2bl w:val="nil"/>
            </w:tcBorders>
            <w:shd w:val="clear" w:color="auto" w:fill="auto"/>
            <w:vAlign w:val="center"/>
          </w:tcPr>
          <w:p w14:paraId="26D46AF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规格：L87xW22.5xH51cm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（1）半透明通透波纹板，能搭配其他产品形成围合区域，增强独立性与互动性。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（1）采用厚度24mm的环保实木多层板，整体挡板呈1/4圆弧，整体挡板用于90°转角连接。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（2）波纹板：芯板采用厚度8mm的优质半透明亚克力中空板，可视弧形面积437x380mm共2块，表面光滑无缺陷，中空结构抗压性强，环保无毒。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0170532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149860</wp:posOffset>
                  </wp:positionH>
                  <wp:positionV relativeFrom="paragraph">
                    <wp:posOffset>20320</wp:posOffset>
                  </wp:positionV>
                  <wp:extent cx="939800" cy="683260"/>
                  <wp:effectExtent l="0" t="0" r="0" b="2540"/>
                  <wp:wrapNone/>
                  <wp:docPr id="135" name="ID_7DE2EC687A104CC4BFBE64B585A2BC30"/>
                  <wp:cNvGraphicFramePr/>
                  <a:graphic xmlns:a="http://schemas.openxmlformats.org/drawingml/2006/main">
                    <a:graphicData uri="http://schemas.openxmlformats.org/drawingml/2006/picture">
                      <pic:pic xmlns:pic="http://schemas.openxmlformats.org/drawingml/2006/picture">
                        <pic:nvPicPr>
                          <pic:cNvPr id="135" name="ID_7DE2EC687A104CC4BFBE64B585A2BC30"/>
                          <pic:cNvPicPr/>
                        </pic:nvPicPr>
                        <pic:blipFill>
                          <a:blip r:embed="rId27"/>
                          <a:stretch>
                            <a:fillRect/>
                          </a:stretch>
                        </pic:blipFill>
                        <pic:spPr>
                          <a:xfrm>
                            <a:off x="0" y="0"/>
                            <a:ext cx="939800" cy="683260"/>
                          </a:xfrm>
                          <a:prstGeom prst="rect">
                            <a:avLst/>
                          </a:prstGeom>
                          <a:noFill/>
                          <a:ln>
                            <a:noFill/>
                          </a:ln>
                        </pic:spPr>
                      </pic:pic>
                    </a:graphicData>
                  </a:graphic>
                </wp:anchor>
              </w:drawing>
            </w:r>
          </w:p>
        </w:tc>
      </w:tr>
      <w:tr w14:paraId="119C4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560DF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701" w:type="dxa"/>
            <w:tcBorders>
              <w:tl2br w:val="nil"/>
              <w:tr2bl w:val="nil"/>
            </w:tcBorders>
            <w:shd w:val="clear" w:color="auto" w:fill="auto"/>
            <w:vAlign w:val="center"/>
          </w:tcPr>
          <w:p w14:paraId="1028AC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H51cm挡板连接件</w:t>
            </w:r>
          </w:p>
        </w:tc>
        <w:tc>
          <w:tcPr>
            <w:tcW w:w="6813" w:type="dxa"/>
            <w:tcBorders>
              <w:tl2br w:val="nil"/>
              <w:tr2bl w:val="nil"/>
            </w:tcBorders>
            <w:shd w:val="clear" w:color="auto" w:fill="auto"/>
            <w:vAlign w:val="center"/>
          </w:tcPr>
          <w:p w14:paraId="2460C6C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规格：φ5.5xH51cm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（1）配合连接梢，方便实现柜体与挡板之间、挡板与挡板之间、挡板与门洞之间的多角度连接，无须使用工具轻松快捷，提高环创多样性。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（2）连接铁管表面采用静电粉末喷涂工艺，圆润光滑，防腐抗锈，坚固耐用。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（1）4个链接柜体的“1”字型插销，由塑料一次成型两头带孔位L46mm呈浅咖色的插销，孔位直径9.7mm。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连接件底座分为3段，①底层为固定件由塑料一次成型8个齿轮成带脚钉呈浅咖色的底座，整体高44mm直径57.5mm，脚钉位置高18mm，直径34mm；②中间为塑料一次成型8个齿轮的旋转件，只需旋转一个齿轮即可实现快拆快组，直径49.5mm高度14.5mm；③上层为塑料一次成型8个齿轮型组成呈浅咖色的底座，高度49.5mm直径57.5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(3)顶部固定链接座，分为两段，上层为一个塑料一次成型带8个齿轮呈浅咖色的盖帽，直径57.5mm高度28.5mm；下层为塑料一次成型8个齿轮型组成呈浅咖色的固定件，直径57.5mm高度50mm。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（4）一个连接两段塑料件的铁艺圆棒，用优质冷轧铁艺，表面采用静电粉末喷涂工艺壁厚1.2mm，尺寸：Ф19x445mm。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（5）产品用于连接，通过连接梢连接套环上不同的插槽，可以进行90°/135°/180°的连接选择。</w:t>
            </w:r>
          </w:p>
        </w:tc>
        <w:tc>
          <w:tcPr>
            <w:tcW w:w="1999" w:type="dxa"/>
            <w:tcBorders>
              <w:tl2br w:val="nil"/>
              <w:tr2bl w:val="nil"/>
            </w:tcBorders>
            <w:shd w:val="clear" w:color="auto" w:fill="auto"/>
            <w:vAlign w:val="center"/>
          </w:tcPr>
          <w:p w14:paraId="5F7CDD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556895</wp:posOffset>
                  </wp:positionH>
                  <wp:positionV relativeFrom="paragraph">
                    <wp:posOffset>20320</wp:posOffset>
                  </wp:positionV>
                  <wp:extent cx="126365" cy="683895"/>
                  <wp:effectExtent l="0" t="0" r="635" b="1905"/>
                  <wp:wrapNone/>
                  <wp:docPr id="136" name="ID_8E241E69863E4E7487572EF58B16733B"/>
                  <wp:cNvGraphicFramePr/>
                  <a:graphic xmlns:a="http://schemas.openxmlformats.org/drawingml/2006/main">
                    <a:graphicData uri="http://schemas.openxmlformats.org/drawingml/2006/picture">
                      <pic:pic xmlns:pic="http://schemas.openxmlformats.org/drawingml/2006/picture">
                        <pic:nvPicPr>
                          <pic:cNvPr id="136" name="ID_8E241E69863E4E7487572EF58B16733B"/>
                          <pic:cNvPicPr/>
                        </pic:nvPicPr>
                        <pic:blipFill>
                          <a:blip r:embed="rId28"/>
                          <a:stretch>
                            <a:fillRect/>
                          </a:stretch>
                        </pic:blipFill>
                        <pic:spPr>
                          <a:xfrm>
                            <a:off x="0" y="0"/>
                            <a:ext cx="126365" cy="683895"/>
                          </a:xfrm>
                          <a:prstGeom prst="rect">
                            <a:avLst/>
                          </a:prstGeom>
                          <a:noFill/>
                          <a:ln>
                            <a:noFill/>
                          </a:ln>
                        </pic:spPr>
                      </pic:pic>
                    </a:graphicData>
                  </a:graphic>
                </wp:anchor>
              </w:drawing>
            </w:r>
          </w:p>
        </w:tc>
      </w:tr>
      <w:tr w14:paraId="7B19D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C9848D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701" w:type="dxa"/>
            <w:tcBorders>
              <w:tl2br w:val="nil"/>
              <w:tr2bl w:val="nil"/>
            </w:tcBorders>
            <w:shd w:val="clear" w:color="auto" w:fill="auto"/>
            <w:vAlign w:val="center"/>
          </w:tcPr>
          <w:p w14:paraId="6F6B89C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5格柜.无背板</w:t>
            </w:r>
          </w:p>
        </w:tc>
        <w:tc>
          <w:tcPr>
            <w:tcW w:w="6813" w:type="dxa"/>
            <w:tcBorders>
              <w:tl2br w:val="nil"/>
              <w:tr2bl w:val="nil"/>
            </w:tcBorders>
            <w:shd w:val="clear" w:color="auto" w:fill="auto"/>
            <w:vAlign w:val="center"/>
          </w:tcPr>
          <w:p w14:paraId="606D44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规格：L92xW30xH51cm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通透2层5格高柜，上层格子内空：283x300x128mm,下层格子内空：433x300x223mm，可满足各类教玩具收纳；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014EF7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125730</wp:posOffset>
                  </wp:positionH>
                  <wp:positionV relativeFrom="paragraph">
                    <wp:posOffset>20955</wp:posOffset>
                  </wp:positionV>
                  <wp:extent cx="988060" cy="683260"/>
                  <wp:effectExtent l="0" t="0" r="2540" b="2540"/>
                  <wp:wrapNone/>
                  <wp:docPr id="137" name="ID_6700DEDD9A6B4E0783D03778A4781E10"/>
                  <wp:cNvGraphicFramePr/>
                  <a:graphic xmlns:a="http://schemas.openxmlformats.org/drawingml/2006/main">
                    <a:graphicData uri="http://schemas.openxmlformats.org/drawingml/2006/picture">
                      <pic:pic xmlns:pic="http://schemas.openxmlformats.org/drawingml/2006/picture">
                        <pic:nvPicPr>
                          <pic:cNvPr id="137" name="ID_6700DEDD9A6B4E0783D03778A4781E10"/>
                          <pic:cNvPicPr/>
                        </pic:nvPicPr>
                        <pic:blipFill>
                          <a:blip r:embed="rId29"/>
                          <a:stretch>
                            <a:fillRect/>
                          </a:stretch>
                        </pic:blipFill>
                        <pic:spPr>
                          <a:xfrm>
                            <a:off x="0" y="0"/>
                            <a:ext cx="988060" cy="683260"/>
                          </a:xfrm>
                          <a:prstGeom prst="rect">
                            <a:avLst/>
                          </a:prstGeom>
                          <a:noFill/>
                          <a:ln>
                            <a:noFill/>
                          </a:ln>
                        </pic:spPr>
                      </pic:pic>
                    </a:graphicData>
                  </a:graphic>
                </wp:anchor>
              </w:drawing>
            </w:r>
          </w:p>
        </w:tc>
      </w:tr>
      <w:tr w14:paraId="33E22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91AF9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701" w:type="dxa"/>
            <w:tcBorders>
              <w:tl2br w:val="nil"/>
              <w:tr2bl w:val="nil"/>
            </w:tcBorders>
            <w:shd w:val="clear" w:color="auto" w:fill="auto"/>
            <w:vAlign w:val="center"/>
          </w:tcPr>
          <w:p w14:paraId="5DD14F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2层柜.无背板</w:t>
            </w:r>
          </w:p>
        </w:tc>
        <w:tc>
          <w:tcPr>
            <w:tcW w:w="6813" w:type="dxa"/>
            <w:tcBorders>
              <w:tl2br w:val="nil"/>
              <w:tr2bl w:val="nil"/>
            </w:tcBorders>
            <w:shd w:val="clear" w:color="auto" w:fill="auto"/>
            <w:vAlign w:val="center"/>
          </w:tcPr>
          <w:p w14:paraId="0FB0E28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规格：L92xW30xH51cm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通透2层高柜，上层格子内空：884x300x128mm，下层内空：884x300xH223mm,可满足各类教玩具收纳；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34053AC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112395</wp:posOffset>
                  </wp:positionH>
                  <wp:positionV relativeFrom="paragraph">
                    <wp:posOffset>20320</wp:posOffset>
                  </wp:positionV>
                  <wp:extent cx="1014730" cy="683260"/>
                  <wp:effectExtent l="0" t="0" r="1270" b="2540"/>
                  <wp:wrapNone/>
                  <wp:docPr id="138" name="ID_198DC02740A543DA901C65DB7DEF533F"/>
                  <wp:cNvGraphicFramePr/>
                  <a:graphic xmlns:a="http://schemas.openxmlformats.org/drawingml/2006/main">
                    <a:graphicData uri="http://schemas.openxmlformats.org/drawingml/2006/picture">
                      <pic:pic xmlns:pic="http://schemas.openxmlformats.org/drawingml/2006/picture">
                        <pic:nvPicPr>
                          <pic:cNvPr id="138" name="ID_198DC02740A543DA901C65DB7DEF533F"/>
                          <pic:cNvPicPr/>
                        </pic:nvPicPr>
                        <pic:blipFill>
                          <a:blip r:embed="rId30"/>
                          <a:stretch>
                            <a:fillRect/>
                          </a:stretch>
                        </pic:blipFill>
                        <pic:spPr>
                          <a:xfrm>
                            <a:off x="0" y="0"/>
                            <a:ext cx="1014730" cy="683260"/>
                          </a:xfrm>
                          <a:prstGeom prst="rect">
                            <a:avLst/>
                          </a:prstGeom>
                          <a:noFill/>
                          <a:ln>
                            <a:noFill/>
                          </a:ln>
                        </pic:spPr>
                      </pic:pic>
                    </a:graphicData>
                  </a:graphic>
                </wp:anchor>
              </w:drawing>
            </w:r>
          </w:p>
        </w:tc>
      </w:tr>
      <w:tr w14:paraId="394F9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3F8F0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701" w:type="dxa"/>
            <w:tcBorders>
              <w:tl2br w:val="nil"/>
              <w:tr2bl w:val="nil"/>
            </w:tcBorders>
            <w:shd w:val="clear" w:color="auto" w:fill="auto"/>
            <w:vAlign w:val="center"/>
          </w:tcPr>
          <w:p w14:paraId="585A3C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感官桌</w:t>
            </w:r>
          </w:p>
        </w:tc>
        <w:tc>
          <w:tcPr>
            <w:tcW w:w="6813" w:type="dxa"/>
            <w:tcBorders>
              <w:tl2br w:val="nil"/>
              <w:tr2bl w:val="nil"/>
            </w:tcBorders>
            <w:shd w:val="clear" w:color="auto" w:fill="auto"/>
            <w:vAlign w:val="center"/>
          </w:tcPr>
          <w:p w14:paraId="4B15FB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规格：60x60x40、43、46、49、52cm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（1）支持幼儿用玩具、模型和各类自然材料，体验桌面建构和搭建，提供感官刺激的场景。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（2）多功能带轮带刹车柜体，移动/固定便捷。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2.外观结构与材质：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（1）基材：主体采用厚度15mm的环保优质实木多层板。桌面下沉式30mm，物品摆放不易掉落；桌脚为48*48mm的实木脚，带7个调节高度孔位。四周侧板框高270mm。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其中一侧的2个桌脚安装塑料脚垫φ18x8mm，软性防滑；另外2个桌脚安装带刹车万向轮，轮径35xH42.5mm；轻提其中安装防滑塑料脚垫两条桌脚一侧桌边，可利用另一侧两条桌脚安装的万向轮实现轻松转移，放下即可固定（也可按下万向轮刹车加固定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（3）每个桌脚配置两个黑色塑料旋转螺杆螺帽外直径32mm，可调节高度40/43/46/49/52cm，满足不同年龄段孩子。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p>
        </w:tc>
        <w:tc>
          <w:tcPr>
            <w:tcW w:w="1999" w:type="dxa"/>
            <w:tcBorders>
              <w:tl2br w:val="nil"/>
              <w:tr2bl w:val="nil"/>
            </w:tcBorders>
            <w:shd w:val="clear" w:color="auto" w:fill="auto"/>
            <w:vAlign w:val="center"/>
          </w:tcPr>
          <w:p w14:paraId="73BD02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156845</wp:posOffset>
                  </wp:positionH>
                  <wp:positionV relativeFrom="paragraph">
                    <wp:posOffset>20320</wp:posOffset>
                  </wp:positionV>
                  <wp:extent cx="925830" cy="683895"/>
                  <wp:effectExtent l="0" t="0" r="1270" b="1905"/>
                  <wp:wrapNone/>
                  <wp:docPr id="139" name="ID_DA594C7A59D24389AF237F78EF3EAF3C"/>
                  <wp:cNvGraphicFramePr/>
                  <a:graphic xmlns:a="http://schemas.openxmlformats.org/drawingml/2006/main">
                    <a:graphicData uri="http://schemas.openxmlformats.org/drawingml/2006/picture">
                      <pic:pic xmlns:pic="http://schemas.openxmlformats.org/drawingml/2006/picture">
                        <pic:nvPicPr>
                          <pic:cNvPr id="139" name="ID_DA594C7A59D24389AF237F78EF3EAF3C"/>
                          <pic:cNvPicPr/>
                        </pic:nvPicPr>
                        <pic:blipFill>
                          <a:blip r:embed="rId31"/>
                          <a:stretch>
                            <a:fillRect/>
                          </a:stretch>
                        </pic:blipFill>
                        <pic:spPr>
                          <a:xfrm>
                            <a:off x="0" y="0"/>
                            <a:ext cx="925830" cy="683895"/>
                          </a:xfrm>
                          <a:prstGeom prst="rect">
                            <a:avLst/>
                          </a:prstGeom>
                          <a:noFill/>
                          <a:ln>
                            <a:noFill/>
                          </a:ln>
                        </pic:spPr>
                      </pic:pic>
                    </a:graphicData>
                  </a:graphic>
                </wp:anchor>
              </w:drawing>
            </w:r>
          </w:p>
        </w:tc>
      </w:tr>
      <w:tr w14:paraId="616A1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D3202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701" w:type="dxa"/>
            <w:tcBorders>
              <w:tl2br w:val="nil"/>
              <w:tr2bl w:val="nil"/>
            </w:tcBorders>
            <w:shd w:val="clear" w:color="auto" w:fill="auto"/>
            <w:vAlign w:val="center"/>
          </w:tcPr>
          <w:p w14:paraId="6A3DB7F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2层90°弧形柜</w:t>
            </w:r>
          </w:p>
        </w:tc>
        <w:tc>
          <w:tcPr>
            <w:tcW w:w="6813" w:type="dxa"/>
            <w:tcBorders>
              <w:tl2br w:val="nil"/>
              <w:tr2bl w:val="nil"/>
            </w:tcBorders>
            <w:shd w:val="clear" w:color="auto" w:fill="auto"/>
            <w:vAlign w:val="center"/>
          </w:tcPr>
          <w:p w14:paraId="53A3E5E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规格：L84xW39.5xH51cm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（1）90°弧形设计，可搭配区角使用作转角连接。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18mm的环保实木多层板。通透2层4格高柜，格子上层内空高度：128mm，下层内空高度：223mm，柜体呈90°弧形；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49DBF4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179705</wp:posOffset>
                  </wp:positionH>
                  <wp:positionV relativeFrom="paragraph">
                    <wp:posOffset>20955</wp:posOffset>
                  </wp:positionV>
                  <wp:extent cx="880110" cy="683260"/>
                  <wp:effectExtent l="0" t="0" r="8890" b="2540"/>
                  <wp:wrapNone/>
                  <wp:docPr id="140" name="ID_5D43FBA1C33247EF84FE02B548FC652E"/>
                  <wp:cNvGraphicFramePr/>
                  <a:graphic xmlns:a="http://schemas.openxmlformats.org/drawingml/2006/main">
                    <a:graphicData uri="http://schemas.openxmlformats.org/drawingml/2006/picture">
                      <pic:pic xmlns:pic="http://schemas.openxmlformats.org/drawingml/2006/picture">
                        <pic:nvPicPr>
                          <pic:cNvPr id="140" name="ID_5D43FBA1C33247EF84FE02B548FC652E"/>
                          <pic:cNvPicPr/>
                        </pic:nvPicPr>
                        <pic:blipFill>
                          <a:blip r:embed="rId32"/>
                          <a:stretch>
                            <a:fillRect/>
                          </a:stretch>
                        </pic:blipFill>
                        <pic:spPr>
                          <a:xfrm>
                            <a:off x="0" y="0"/>
                            <a:ext cx="880110" cy="683260"/>
                          </a:xfrm>
                          <a:prstGeom prst="rect">
                            <a:avLst/>
                          </a:prstGeom>
                          <a:noFill/>
                          <a:ln>
                            <a:noFill/>
                          </a:ln>
                        </pic:spPr>
                      </pic:pic>
                    </a:graphicData>
                  </a:graphic>
                </wp:anchor>
              </w:drawing>
            </w:r>
          </w:p>
        </w:tc>
      </w:tr>
      <w:tr w14:paraId="4A838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DE97E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701" w:type="dxa"/>
            <w:tcBorders>
              <w:tl2br w:val="nil"/>
              <w:tr2bl w:val="nil"/>
            </w:tcBorders>
            <w:shd w:val="clear" w:color="auto" w:fill="auto"/>
            <w:vAlign w:val="center"/>
          </w:tcPr>
          <w:p w14:paraId="6E4AACF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托育仙人掌美术画板柜</w:t>
            </w:r>
          </w:p>
        </w:tc>
        <w:tc>
          <w:tcPr>
            <w:tcW w:w="6813" w:type="dxa"/>
            <w:tcBorders>
              <w:tl2br w:val="nil"/>
              <w:tr2bl w:val="nil"/>
            </w:tcBorders>
            <w:shd w:val="clear" w:color="auto" w:fill="auto"/>
            <w:vAlign w:val="center"/>
          </w:tcPr>
          <w:p w14:paraId="01DEDAF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规格：L91.5xW30xH108cm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（3）双面透明亚克力画板，不同绘画方式，透视互动性强。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（4）柜顶仙人掌造型设计，兼具装饰、收纳与教玩功能，能与其他柜体组合搭配使用。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（1）（1）基材：主体采用厚度15mm及18mm桦木纹饰面环保橡胶木拼板，部分采用厚度18mm环保实木多层板。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（2）柜体面板离地高度：H370mm，适合托班幼儿身高；通透单层2格分区，每个格子内空：434.5x300x270mm，竖板分区清晰；面板开4个直径70mm通孔，可放4个φ79x95mm烟灰橄榄绿颜料杯/笔筒；透明画板可使用水性笔书画。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（3）画板芯板采用厚度5mm的优质透明亚克力板，表面光滑无缺陷，坚硬耐用，高透光性，画板书写范围尺寸为：712x430mm。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（7）油墨：采用环保水性油墨，颜色饱满，无毒无异味。</w:t>
            </w:r>
          </w:p>
        </w:tc>
        <w:tc>
          <w:tcPr>
            <w:tcW w:w="1999" w:type="dxa"/>
            <w:tcBorders>
              <w:tl2br w:val="nil"/>
              <w:tr2bl w:val="nil"/>
            </w:tcBorders>
            <w:shd w:val="clear" w:color="auto" w:fill="auto"/>
            <w:vAlign w:val="center"/>
          </w:tcPr>
          <w:p w14:paraId="1DEA4D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342900</wp:posOffset>
                  </wp:positionH>
                  <wp:positionV relativeFrom="paragraph">
                    <wp:posOffset>20320</wp:posOffset>
                  </wp:positionV>
                  <wp:extent cx="553720" cy="694055"/>
                  <wp:effectExtent l="0" t="0" r="5080" b="4445"/>
                  <wp:wrapNone/>
                  <wp:docPr id="141" name="ID_737468E1B06A498385C3D95F689D77FB"/>
                  <wp:cNvGraphicFramePr/>
                  <a:graphic xmlns:a="http://schemas.openxmlformats.org/drawingml/2006/main">
                    <a:graphicData uri="http://schemas.openxmlformats.org/drawingml/2006/picture">
                      <pic:pic xmlns:pic="http://schemas.openxmlformats.org/drawingml/2006/picture">
                        <pic:nvPicPr>
                          <pic:cNvPr id="141" name="ID_737468E1B06A498385C3D95F689D77FB"/>
                          <pic:cNvPicPr/>
                        </pic:nvPicPr>
                        <pic:blipFill>
                          <a:blip r:embed="rId33"/>
                          <a:stretch>
                            <a:fillRect/>
                          </a:stretch>
                        </pic:blipFill>
                        <pic:spPr>
                          <a:xfrm>
                            <a:off x="0" y="0"/>
                            <a:ext cx="553720" cy="694055"/>
                          </a:xfrm>
                          <a:prstGeom prst="rect">
                            <a:avLst/>
                          </a:prstGeom>
                          <a:noFill/>
                          <a:ln>
                            <a:noFill/>
                          </a:ln>
                        </pic:spPr>
                      </pic:pic>
                    </a:graphicData>
                  </a:graphic>
                </wp:anchor>
              </w:drawing>
            </w:r>
          </w:p>
        </w:tc>
      </w:tr>
      <w:tr w14:paraId="2AECA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63466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701" w:type="dxa"/>
            <w:tcBorders>
              <w:tl2br w:val="nil"/>
              <w:tr2bl w:val="nil"/>
            </w:tcBorders>
            <w:shd w:val="clear" w:color="auto" w:fill="auto"/>
            <w:vAlign w:val="center"/>
          </w:tcPr>
          <w:p w14:paraId="405DBB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3格柜.无背板</w:t>
            </w:r>
          </w:p>
        </w:tc>
        <w:tc>
          <w:tcPr>
            <w:tcW w:w="6813" w:type="dxa"/>
            <w:tcBorders>
              <w:tl2br w:val="nil"/>
              <w:tr2bl w:val="nil"/>
            </w:tcBorders>
            <w:shd w:val="clear" w:color="auto" w:fill="auto"/>
            <w:vAlign w:val="center"/>
          </w:tcPr>
          <w:p w14:paraId="082CBF7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规格：L92xW30xH36cm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（1）采用厚度18mm的环保实木多层板。通透1层3格矮柜，格子内空：283x300x223mm,可满足各类教玩具收纳；顶部安装H30mm高的扶手条，扶手条最大宽度24mm，凹弧设计方便幼儿学步抓扶。水性漆喷涂呈浅咖色。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0E2C451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43815</wp:posOffset>
                  </wp:positionH>
                  <wp:positionV relativeFrom="paragraph">
                    <wp:posOffset>53975</wp:posOffset>
                  </wp:positionV>
                  <wp:extent cx="1152525" cy="660400"/>
                  <wp:effectExtent l="0" t="0" r="3175" b="0"/>
                  <wp:wrapNone/>
                  <wp:docPr id="142" name="ID_E8817BF71A3F4A51841EB5344735F6FB"/>
                  <wp:cNvGraphicFramePr/>
                  <a:graphic xmlns:a="http://schemas.openxmlformats.org/drawingml/2006/main">
                    <a:graphicData uri="http://schemas.openxmlformats.org/drawingml/2006/picture">
                      <pic:pic xmlns:pic="http://schemas.openxmlformats.org/drawingml/2006/picture">
                        <pic:nvPicPr>
                          <pic:cNvPr id="142" name="ID_E8817BF71A3F4A51841EB5344735F6FB"/>
                          <pic:cNvPicPr/>
                        </pic:nvPicPr>
                        <pic:blipFill>
                          <a:blip r:embed="rId34"/>
                          <a:stretch>
                            <a:fillRect/>
                          </a:stretch>
                        </pic:blipFill>
                        <pic:spPr>
                          <a:xfrm>
                            <a:off x="0" y="0"/>
                            <a:ext cx="1152525" cy="660400"/>
                          </a:xfrm>
                          <a:prstGeom prst="rect">
                            <a:avLst/>
                          </a:prstGeom>
                          <a:noFill/>
                          <a:ln>
                            <a:noFill/>
                          </a:ln>
                        </pic:spPr>
                      </pic:pic>
                    </a:graphicData>
                  </a:graphic>
                </wp:anchor>
              </w:drawing>
            </w:r>
          </w:p>
        </w:tc>
      </w:tr>
      <w:tr w14:paraId="4AFE4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4E9A46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1701" w:type="dxa"/>
            <w:tcBorders>
              <w:tl2br w:val="nil"/>
              <w:tr2bl w:val="nil"/>
            </w:tcBorders>
            <w:shd w:val="clear" w:color="auto" w:fill="auto"/>
            <w:vAlign w:val="center"/>
          </w:tcPr>
          <w:p w14:paraId="5F3C85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托育童趣双人沙发</w:t>
            </w:r>
          </w:p>
        </w:tc>
        <w:tc>
          <w:tcPr>
            <w:tcW w:w="6813" w:type="dxa"/>
            <w:tcBorders>
              <w:tl2br w:val="nil"/>
              <w:tr2bl w:val="nil"/>
            </w:tcBorders>
            <w:shd w:val="clear" w:color="auto" w:fill="auto"/>
            <w:vAlign w:val="center"/>
          </w:tcPr>
          <w:p w14:paraId="1D7B49F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规格：L103xW43xH44cm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1.框架材质：采用环保实木内框架，坚实牢固。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2.面料材质：采用优质环保的涤纶纤维织造布料，颜色浅绿色/米白色，仿棉麻材质，耐磨。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3.填充材质：填充材质为高回弹海绵，不易变形。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4.产品特点：沙发坐垫可折叠可平铺，双人可坐可躺。</w:t>
            </w:r>
          </w:p>
        </w:tc>
        <w:tc>
          <w:tcPr>
            <w:tcW w:w="1999" w:type="dxa"/>
            <w:tcBorders>
              <w:tl2br w:val="nil"/>
              <w:tr2bl w:val="nil"/>
            </w:tcBorders>
            <w:shd w:val="clear" w:color="auto" w:fill="auto"/>
            <w:vAlign w:val="center"/>
          </w:tcPr>
          <w:p w14:paraId="601A53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149225</wp:posOffset>
                  </wp:positionH>
                  <wp:positionV relativeFrom="paragraph">
                    <wp:posOffset>0</wp:posOffset>
                  </wp:positionV>
                  <wp:extent cx="941705" cy="714375"/>
                  <wp:effectExtent l="0" t="0" r="10795" b="9525"/>
                  <wp:wrapNone/>
                  <wp:docPr id="143" name="ID_AA1A3DD51CBB497DB5D5413E4820A645"/>
                  <wp:cNvGraphicFramePr/>
                  <a:graphic xmlns:a="http://schemas.openxmlformats.org/drawingml/2006/main">
                    <a:graphicData uri="http://schemas.openxmlformats.org/drawingml/2006/picture">
                      <pic:pic xmlns:pic="http://schemas.openxmlformats.org/drawingml/2006/picture">
                        <pic:nvPicPr>
                          <pic:cNvPr id="143" name="ID_AA1A3DD51CBB497DB5D5413E4820A645"/>
                          <pic:cNvPicPr/>
                        </pic:nvPicPr>
                        <pic:blipFill>
                          <a:blip r:embed="rId35"/>
                          <a:stretch>
                            <a:fillRect/>
                          </a:stretch>
                        </pic:blipFill>
                        <pic:spPr>
                          <a:xfrm>
                            <a:off x="0" y="0"/>
                            <a:ext cx="941705" cy="714375"/>
                          </a:xfrm>
                          <a:prstGeom prst="rect">
                            <a:avLst/>
                          </a:prstGeom>
                          <a:noFill/>
                          <a:ln>
                            <a:noFill/>
                          </a:ln>
                        </pic:spPr>
                      </pic:pic>
                    </a:graphicData>
                  </a:graphic>
                </wp:anchor>
              </w:drawing>
            </w:r>
          </w:p>
        </w:tc>
      </w:tr>
      <w:tr w14:paraId="2EEC0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748A2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1701" w:type="dxa"/>
            <w:tcBorders>
              <w:tl2br w:val="nil"/>
              <w:tr2bl w:val="nil"/>
            </w:tcBorders>
            <w:shd w:val="clear" w:color="auto" w:fill="auto"/>
            <w:vAlign w:val="center"/>
          </w:tcPr>
          <w:p w14:paraId="375F12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托育童趣单人沙发</w:t>
            </w:r>
          </w:p>
        </w:tc>
        <w:tc>
          <w:tcPr>
            <w:tcW w:w="6813" w:type="dxa"/>
            <w:tcBorders>
              <w:tl2br w:val="nil"/>
              <w:tr2bl w:val="nil"/>
            </w:tcBorders>
            <w:shd w:val="clear" w:color="auto" w:fill="auto"/>
            <w:vAlign w:val="center"/>
          </w:tcPr>
          <w:p w14:paraId="0A96DB0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规格：L71xW43xH44cm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1.框架材质：采用环保实木内框架，坚实牢固。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2.面料材质：采用优质环保的涤纶纤维织造布料，颜色浅绿色/米白色，仿棉麻材质，耐磨。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3.填充材质：填充材质为高回弹海绵，不易变形。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4.产品特点：沙发坐垫可折叠可平铺，单人可坐可躺。</w:t>
            </w:r>
          </w:p>
        </w:tc>
        <w:tc>
          <w:tcPr>
            <w:tcW w:w="1999" w:type="dxa"/>
            <w:tcBorders>
              <w:tl2br w:val="nil"/>
              <w:tr2bl w:val="nil"/>
            </w:tcBorders>
            <w:shd w:val="clear" w:color="auto" w:fill="auto"/>
            <w:vAlign w:val="center"/>
          </w:tcPr>
          <w:p w14:paraId="7F4E0D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163195</wp:posOffset>
                  </wp:positionH>
                  <wp:positionV relativeFrom="paragraph">
                    <wp:posOffset>20320</wp:posOffset>
                  </wp:positionV>
                  <wp:extent cx="913765" cy="683260"/>
                  <wp:effectExtent l="0" t="0" r="635" b="2540"/>
                  <wp:wrapNone/>
                  <wp:docPr id="144" name="ID_0FD167DA65F54A469A607B861965F7E4"/>
                  <wp:cNvGraphicFramePr/>
                  <a:graphic xmlns:a="http://schemas.openxmlformats.org/drawingml/2006/main">
                    <a:graphicData uri="http://schemas.openxmlformats.org/drawingml/2006/picture">
                      <pic:pic xmlns:pic="http://schemas.openxmlformats.org/drawingml/2006/picture">
                        <pic:nvPicPr>
                          <pic:cNvPr id="144" name="ID_0FD167DA65F54A469A607B861965F7E4"/>
                          <pic:cNvPicPr/>
                        </pic:nvPicPr>
                        <pic:blipFill>
                          <a:blip r:embed="rId36"/>
                          <a:stretch>
                            <a:fillRect/>
                          </a:stretch>
                        </pic:blipFill>
                        <pic:spPr>
                          <a:xfrm>
                            <a:off x="0" y="0"/>
                            <a:ext cx="913765" cy="683260"/>
                          </a:xfrm>
                          <a:prstGeom prst="rect">
                            <a:avLst/>
                          </a:prstGeom>
                          <a:noFill/>
                          <a:ln>
                            <a:noFill/>
                          </a:ln>
                        </pic:spPr>
                      </pic:pic>
                    </a:graphicData>
                  </a:graphic>
                </wp:anchor>
              </w:drawing>
            </w:r>
          </w:p>
        </w:tc>
      </w:tr>
      <w:tr w14:paraId="1ADAD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E0D782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1701" w:type="dxa"/>
            <w:tcBorders>
              <w:tl2br w:val="nil"/>
              <w:tr2bl w:val="nil"/>
            </w:tcBorders>
            <w:shd w:val="clear" w:color="auto" w:fill="auto"/>
            <w:vAlign w:val="center"/>
          </w:tcPr>
          <w:p w14:paraId="5A9AE6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托育袋鼠造型书架</w:t>
            </w:r>
          </w:p>
        </w:tc>
        <w:tc>
          <w:tcPr>
            <w:tcW w:w="6813" w:type="dxa"/>
            <w:tcBorders>
              <w:tl2br w:val="nil"/>
              <w:tr2bl w:val="nil"/>
            </w:tcBorders>
            <w:shd w:val="clear" w:color="auto" w:fill="auto"/>
            <w:vAlign w:val="center"/>
          </w:tcPr>
          <w:p w14:paraId="411EC86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规格：L70xW46xH67cm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（1）袋鼠妈妈和宝宝造型设计，突出亲子温馨氛围，可与其他柜体组合搭配进行环创。</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12mm的环保实木多层板。书槽共三层，书槽内空长：676mm，书架前部直径19mm圆管配套三联体由涤纶纤维织造的仿棉麻材质布袋，尺寸为L67.5xW18cm，可放置收纳小物件；顶部直径19mm长度676mm圆管挂杆可以挂放物品。底部安装塑料脚垫，高度为H5mm，直径13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（3）油墨：采用环保水性油墨，颜色饱满，无毒无异味。</w:t>
            </w:r>
          </w:p>
        </w:tc>
        <w:tc>
          <w:tcPr>
            <w:tcW w:w="1999" w:type="dxa"/>
            <w:tcBorders>
              <w:tl2br w:val="nil"/>
              <w:tr2bl w:val="nil"/>
            </w:tcBorders>
            <w:shd w:val="clear" w:color="auto" w:fill="auto"/>
            <w:vAlign w:val="center"/>
          </w:tcPr>
          <w:p w14:paraId="715A34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247650</wp:posOffset>
                  </wp:positionH>
                  <wp:positionV relativeFrom="paragraph">
                    <wp:posOffset>20320</wp:posOffset>
                  </wp:positionV>
                  <wp:extent cx="744855" cy="683895"/>
                  <wp:effectExtent l="0" t="0" r="4445" b="1905"/>
                  <wp:wrapNone/>
                  <wp:docPr id="145" name="ID_89146B43EEB5479DB6C44799680E8454"/>
                  <wp:cNvGraphicFramePr/>
                  <a:graphic xmlns:a="http://schemas.openxmlformats.org/drawingml/2006/main">
                    <a:graphicData uri="http://schemas.openxmlformats.org/drawingml/2006/picture">
                      <pic:pic xmlns:pic="http://schemas.openxmlformats.org/drawingml/2006/picture">
                        <pic:nvPicPr>
                          <pic:cNvPr id="145" name="ID_89146B43EEB5479DB6C44799680E8454"/>
                          <pic:cNvPicPr/>
                        </pic:nvPicPr>
                        <pic:blipFill>
                          <a:blip r:embed="rId37"/>
                          <a:stretch>
                            <a:fillRect/>
                          </a:stretch>
                        </pic:blipFill>
                        <pic:spPr>
                          <a:xfrm>
                            <a:off x="0" y="0"/>
                            <a:ext cx="744855" cy="683895"/>
                          </a:xfrm>
                          <a:prstGeom prst="rect">
                            <a:avLst/>
                          </a:prstGeom>
                          <a:noFill/>
                          <a:ln>
                            <a:noFill/>
                          </a:ln>
                        </pic:spPr>
                      </pic:pic>
                    </a:graphicData>
                  </a:graphic>
                </wp:anchor>
              </w:drawing>
            </w:r>
          </w:p>
        </w:tc>
      </w:tr>
      <w:tr w14:paraId="394EB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FD600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701" w:type="dxa"/>
            <w:tcBorders>
              <w:tl2br w:val="nil"/>
              <w:tr2bl w:val="nil"/>
            </w:tcBorders>
            <w:shd w:val="clear" w:color="auto" w:fill="auto"/>
            <w:vAlign w:val="center"/>
          </w:tcPr>
          <w:p w14:paraId="205EA1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托育亲亲自然造型柜</w:t>
            </w:r>
          </w:p>
        </w:tc>
        <w:tc>
          <w:tcPr>
            <w:tcW w:w="6813" w:type="dxa"/>
            <w:tcBorders>
              <w:tl2br w:val="nil"/>
              <w:tr2bl w:val="nil"/>
            </w:tcBorders>
            <w:shd w:val="clear" w:color="auto" w:fill="auto"/>
            <w:vAlign w:val="center"/>
          </w:tcPr>
          <w:p w14:paraId="5281B51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规格：L60xW31xH99cm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（1）树形挂钩与太阳原顶造型设计，门板黑板可擦写，既能独立摆放起装饰收纳作用又易于搭配其他产品进行环创。</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（1）采用厚度12mm的环保实木多层板。门板尺寸：370x210mm，正面贴黑色书写防火板，可使用粉笔进行擦写；门板内装缓冲铰链，能实现门板开合，内部格子内空尺寸：376x268x174mm。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（2）下层内空尺寸：376x288x250mm；带弧形造型柜子总高870mm；底部安装塑料脚垫，软性防滑。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（3）书架一侧设置2个书架条，内控尺寸230x40x22mm；造型树总高990mm。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（5）油墨：采用环保水性油墨，颜色饱满，无毒无异味。</w:t>
            </w:r>
          </w:p>
        </w:tc>
        <w:tc>
          <w:tcPr>
            <w:tcW w:w="1999" w:type="dxa"/>
            <w:tcBorders>
              <w:tl2br w:val="nil"/>
              <w:tr2bl w:val="nil"/>
            </w:tcBorders>
            <w:shd w:val="clear" w:color="auto" w:fill="auto"/>
            <w:vAlign w:val="center"/>
          </w:tcPr>
          <w:p w14:paraId="234ABCC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373380</wp:posOffset>
                  </wp:positionH>
                  <wp:positionV relativeFrom="paragraph">
                    <wp:posOffset>20320</wp:posOffset>
                  </wp:positionV>
                  <wp:extent cx="474980" cy="657860"/>
                  <wp:effectExtent l="0" t="0" r="7620" b="2540"/>
                  <wp:wrapNone/>
                  <wp:docPr id="146" name="ID_6E9D34B3264240B3996ED2AABD25448A"/>
                  <wp:cNvGraphicFramePr/>
                  <a:graphic xmlns:a="http://schemas.openxmlformats.org/drawingml/2006/main">
                    <a:graphicData uri="http://schemas.openxmlformats.org/drawingml/2006/picture">
                      <pic:pic xmlns:pic="http://schemas.openxmlformats.org/drawingml/2006/picture">
                        <pic:nvPicPr>
                          <pic:cNvPr id="146" name="ID_6E9D34B3264240B3996ED2AABD25448A"/>
                          <pic:cNvPicPr/>
                        </pic:nvPicPr>
                        <pic:blipFill>
                          <a:blip r:embed="rId38"/>
                          <a:stretch>
                            <a:fillRect/>
                          </a:stretch>
                        </pic:blipFill>
                        <pic:spPr>
                          <a:xfrm>
                            <a:off x="0" y="0"/>
                            <a:ext cx="474980" cy="657860"/>
                          </a:xfrm>
                          <a:prstGeom prst="rect">
                            <a:avLst/>
                          </a:prstGeom>
                          <a:noFill/>
                          <a:ln>
                            <a:noFill/>
                          </a:ln>
                        </pic:spPr>
                      </pic:pic>
                    </a:graphicData>
                  </a:graphic>
                </wp:anchor>
              </w:drawing>
            </w:r>
          </w:p>
        </w:tc>
      </w:tr>
      <w:tr w14:paraId="652F0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51434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701" w:type="dxa"/>
            <w:tcBorders>
              <w:tl2br w:val="nil"/>
              <w:tr2bl w:val="nil"/>
            </w:tcBorders>
            <w:shd w:val="clear" w:color="auto" w:fill="auto"/>
            <w:vAlign w:val="center"/>
          </w:tcPr>
          <w:p w14:paraId="365D988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私密小窝</w:t>
            </w:r>
          </w:p>
        </w:tc>
        <w:tc>
          <w:tcPr>
            <w:tcW w:w="6813" w:type="dxa"/>
            <w:tcBorders>
              <w:tl2br w:val="nil"/>
              <w:tr2bl w:val="nil"/>
            </w:tcBorders>
            <w:shd w:val="clear" w:color="auto" w:fill="auto"/>
            <w:vAlign w:val="center"/>
          </w:tcPr>
          <w:p w14:paraId="640EA3C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规格：L115xW70xH88cm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（1）树形小屋造型设计，亚克力大背板。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（2）布艺装饰，软化环境，能适用多场景下使用，提高趣味性。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主体采用厚度18mm的环保实木多层板，前后大框架为树形造型，造型板镂空树形线条；屋顶搭配L170xW130mm的1条浅蓝色毛绒针织毯。两侧为开放式空间，两侧安装Ф19xL663mm不锈钢圆棒，搭配L80xW57mm半透窗纱，可拆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(2)镂空线条大背板，背板安装一块亚克力镜尺寸为L800xW480x。内部可活动空间L1150xW660xH730mm。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(3)底板离地高度70mm，皮垫尺寸：L115xW66xH4cm；面料柔软透气不闷热，坐垫内部填充环保高弹海绵，密度≥30kg/m³，回弹性强，不易变形，能拆卸清洗。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(4)底部安装塑料脚垫，高度为H10mm，直径17mm,共8个软性防滑。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p>
        </w:tc>
        <w:tc>
          <w:tcPr>
            <w:tcW w:w="1999" w:type="dxa"/>
            <w:tcBorders>
              <w:tl2br w:val="nil"/>
              <w:tr2bl w:val="nil"/>
            </w:tcBorders>
            <w:shd w:val="clear" w:color="auto" w:fill="auto"/>
            <w:vAlign w:val="center"/>
          </w:tcPr>
          <w:p w14:paraId="059ABBE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182245</wp:posOffset>
                  </wp:positionH>
                  <wp:positionV relativeFrom="paragraph">
                    <wp:posOffset>20320</wp:posOffset>
                  </wp:positionV>
                  <wp:extent cx="875030" cy="683895"/>
                  <wp:effectExtent l="0" t="0" r="1270" b="1905"/>
                  <wp:wrapNone/>
                  <wp:docPr id="147" name="ID_DA617E5CB8D54BCE8B5D18ABD6A843F9"/>
                  <wp:cNvGraphicFramePr/>
                  <a:graphic xmlns:a="http://schemas.openxmlformats.org/drawingml/2006/main">
                    <a:graphicData uri="http://schemas.openxmlformats.org/drawingml/2006/picture">
                      <pic:pic xmlns:pic="http://schemas.openxmlformats.org/drawingml/2006/picture">
                        <pic:nvPicPr>
                          <pic:cNvPr id="147" name="ID_DA617E5CB8D54BCE8B5D18ABD6A843F9"/>
                          <pic:cNvPicPr/>
                        </pic:nvPicPr>
                        <pic:blipFill>
                          <a:blip r:embed="rId39"/>
                          <a:stretch>
                            <a:fillRect/>
                          </a:stretch>
                        </pic:blipFill>
                        <pic:spPr>
                          <a:xfrm>
                            <a:off x="0" y="0"/>
                            <a:ext cx="875030" cy="683895"/>
                          </a:xfrm>
                          <a:prstGeom prst="rect">
                            <a:avLst/>
                          </a:prstGeom>
                          <a:noFill/>
                          <a:ln>
                            <a:noFill/>
                          </a:ln>
                        </pic:spPr>
                      </pic:pic>
                    </a:graphicData>
                  </a:graphic>
                </wp:anchor>
              </w:drawing>
            </w:r>
          </w:p>
        </w:tc>
      </w:tr>
      <w:tr w14:paraId="2862C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5BB86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701" w:type="dxa"/>
            <w:tcBorders>
              <w:tl2br w:val="nil"/>
              <w:tr2bl w:val="nil"/>
            </w:tcBorders>
            <w:shd w:val="clear" w:color="auto" w:fill="auto"/>
            <w:vAlign w:val="center"/>
          </w:tcPr>
          <w:p w14:paraId="211E0C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点线面蓝色地毯</w:t>
            </w:r>
          </w:p>
        </w:tc>
        <w:tc>
          <w:tcPr>
            <w:tcW w:w="6813" w:type="dxa"/>
            <w:tcBorders>
              <w:tl2br w:val="nil"/>
              <w:tr2bl w:val="nil"/>
            </w:tcBorders>
            <w:shd w:val="clear" w:color="auto" w:fill="auto"/>
            <w:vAlign w:val="center"/>
          </w:tcPr>
          <w:p w14:paraId="3FCB16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规格：L240xW180cm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1.采用优质尼龙环保材料，弹性好而且富有光泽，具有很好的耐磨性和脚感，底部带防滑垫。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2.点线面蓝色地毯内容丰富多彩，可让小朋友在游戏中学会认知，在课室的区角摆放中增添色彩。</w:t>
            </w:r>
          </w:p>
        </w:tc>
        <w:tc>
          <w:tcPr>
            <w:tcW w:w="1999" w:type="dxa"/>
            <w:tcBorders>
              <w:tl2br w:val="nil"/>
              <w:tr2bl w:val="nil"/>
            </w:tcBorders>
            <w:shd w:val="clear" w:color="auto" w:fill="auto"/>
            <w:vAlign w:val="center"/>
          </w:tcPr>
          <w:p w14:paraId="6AD17F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159385</wp:posOffset>
                  </wp:positionH>
                  <wp:positionV relativeFrom="paragraph">
                    <wp:posOffset>20955</wp:posOffset>
                  </wp:positionV>
                  <wp:extent cx="921385" cy="683260"/>
                  <wp:effectExtent l="0" t="0" r="5715" b="2540"/>
                  <wp:wrapNone/>
                  <wp:docPr id="148" name="ID_2FFD027B564E440A912084A3BDBD1CFD"/>
                  <wp:cNvGraphicFramePr/>
                  <a:graphic xmlns:a="http://schemas.openxmlformats.org/drawingml/2006/main">
                    <a:graphicData uri="http://schemas.openxmlformats.org/drawingml/2006/picture">
                      <pic:pic xmlns:pic="http://schemas.openxmlformats.org/drawingml/2006/picture">
                        <pic:nvPicPr>
                          <pic:cNvPr id="148" name="ID_2FFD027B564E440A912084A3BDBD1CFD"/>
                          <pic:cNvPicPr/>
                        </pic:nvPicPr>
                        <pic:blipFill>
                          <a:blip r:embed="rId40"/>
                          <a:stretch>
                            <a:fillRect/>
                          </a:stretch>
                        </pic:blipFill>
                        <pic:spPr>
                          <a:xfrm>
                            <a:off x="0" y="0"/>
                            <a:ext cx="921385" cy="683260"/>
                          </a:xfrm>
                          <a:prstGeom prst="rect">
                            <a:avLst/>
                          </a:prstGeom>
                          <a:noFill/>
                          <a:ln>
                            <a:noFill/>
                          </a:ln>
                        </pic:spPr>
                      </pic:pic>
                    </a:graphicData>
                  </a:graphic>
                </wp:anchor>
              </w:drawing>
            </w:r>
          </w:p>
        </w:tc>
      </w:tr>
      <w:tr w14:paraId="3B61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C39C2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1701" w:type="dxa"/>
            <w:tcBorders>
              <w:tl2br w:val="nil"/>
              <w:tr2bl w:val="nil"/>
            </w:tcBorders>
            <w:shd w:val="clear" w:color="auto" w:fill="auto"/>
            <w:vAlign w:val="center"/>
          </w:tcPr>
          <w:p w14:paraId="4FE250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感统钻洞</w:t>
            </w:r>
          </w:p>
        </w:tc>
        <w:tc>
          <w:tcPr>
            <w:tcW w:w="6813" w:type="dxa"/>
            <w:tcBorders>
              <w:tl2br w:val="nil"/>
              <w:tr2bl w:val="nil"/>
            </w:tcBorders>
            <w:shd w:val="clear" w:color="auto" w:fill="auto"/>
            <w:vAlign w:val="center"/>
          </w:tcPr>
          <w:p w14:paraId="0DBE4AA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规格：L60xW60xH60cm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（1）积木拼搭形式、桥拱设计，可单独使用，也可拼搭其他感统产品使用。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（2）适用于1~3岁幼儿使用，可翻跨、钻爬，满足幼儿活动锻炼、玩耍需求。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拉链式方便拆卸。产品由两部分组成，外拱尺寸为L600xW600xH600mm,厚150mm、中间钻爬宽度为300mm；可拆分芯部尺寸为：L590xW290xH440mm。</w:t>
            </w:r>
          </w:p>
        </w:tc>
        <w:tc>
          <w:tcPr>
            <w:tcW w:w="1999" w:type="dxa"/>
            <w:tcBorders>
              <w:tl2br w:val="nil"/>
              <w:tr2bl w:val="nil"/>
            </w:tcBorders>
            <w:shd w:val="clear" w:color="auto" w:fill="auto"/>
            <w:vAlign w:val="center"/>
          </w:tcPr>
          <w:p w14:paraId="0F652A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86995</wp:posOffset>
                  </wp:positionH>
                  <wp:positionV relativeFrom="paragraph">
                    <wp:posOffset>20320</wp:posOffset>
                  </wp:positionV>
                  <wp:extent cx="1065530" cy="683260"/>
                  <wp:effectExtent l="0" t="0" r="1270" b="2540"/>
                  <wp:wrapNone/>
                  <wp:docPr id="149" name="ID_158C66A887C048D2A1E63BC62DEC31AF"/>
                  <wp:cNvGraphicFramePr/>
                  <a:graphic xmlns:a="http://schemas.openxmlformats.org/drawingml/2006/main">
                    <a:graphicData uri="http://schemas.openxmlformats.org/drawingml/2006/picture">
                      <pic:pic xmlns:pic="http://schemas.openxmlformats.org/drawingml/2006/picture">
                        <pic:nvPicPr>
                          <pic:cNvPr id="149" name="ID_158C66A887C048D2A1E63BC62DEC31AF"/>
                          <pic:cNvPicPr/>
                        </pic:nvPicPr>
                        <pic:blipFill>
                          <a:blip r:embed="rId41"/>
                          <a:stretch>
                            <a:fillRect/>
                          </a:stretch>
                        </pic:blipFill>
                        <pic:spPr>
                          <a:xfrm>
                            <a:off x="0" y="0"/>
                            <a:ext cx="1065530" cy="683260"/>
                          </a:xfrm>
                          <a:prstGeom prst="rect">
                            <a:avLst/>
                          </a:prstGeom>
                          <a:noFill/>
                          <a:ln>
                            <a:noFill/>
                          </a:ln>
                        </pic:spPr>
                      </pic:pic>
                    </a:graphicData>
                  </a:graphic>
                </wp:anchor>
              </w:drawing>
            </w:r>
          </w:p>
        </w:tc>
      </w:tr>
      <w:tr w14:paraId="79BAA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801F0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701" w:type="dxa"/>
            <w:tcBorders>
              <w:tl2br w:val="nil"/>
              <w:tr2bl w:val="nil"/>
            </w:tcBorders>
            <w:shd w:val="clear" w:color="auto" w:fill="auto"/>
            <w:vAlign w:val="center"/>
          </w:tcPr>
          <w:p w14:paraId="6C48EC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感统波浪阶梯</w:t>
            </w:r>
          </w:p>
        </w:tc>
        <w:tc>
          <w:tcPr>
            <w:tcW w:w="6813" w:type="dxa"/>
            <w:tcBorders>
              <w:tl2br w:val="nil"/>
              <w:tr2bl w:val="nil"/>
            </w:tcBorders>
            <w:shd w:val="clear" w:color="auto" w:fill="auto"/>
            <w:vAlign w:val="center"/>
          </w:tcPr>
          <w:p w14:paraId="026E262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规格：L60xW60xH36cm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（1）积木拼搭形式设计，波浪形坡道部分，用于拼搭其他感统产品使用。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（2）适用于1~3岁幼儿使用，满足幼儿活动锻炼、玩耍需求。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（1）产品外皮采用厚度1.5mm聚氨酯合成革超柔皮，外观呈3层波浪形，填充物为高回弹海绵，密度≥30kg/m³，回弹性强，不易变形，拉链式方便拆卸。</w:t>
            </w:r>
          </w:p>
        </w:tc>
        <w:tc>
          <w:tcPr>
            <w:tcW w:w="1999" w:type="dxa"/>
            <w:tcBorders>
              <w:tl2br w:val="nil"/>
              <w:tr2bl w:val="nil"/>
            </w:tcBorders>
            <w:shd w:val="clear" w:color="auto" w:fill="auto"/>
            <w:vAlign w:val="center"/>
          </w:tcPr>
          <w:p w14:paraId="1D19A2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142240</wp:posOffset>
                  </wp:positionH>
                  <wp:positionV relativeFrom="paragraph">
                    <wp:posOffset>20320</wp:posOffset>
                  </wp:positionV>
                  <wp:extent cx="955675" cy="683895"/>
                  <wp:effectExtent l="0" t="0" r="9525" b="1905"/>
                  <wp:wrapNone/>
                  <wp:docPr id="150" name="ID_B5FC2B8389FD482E8F49F61963AFB12F"/>
                  <wp:cNvGraphicFramePr/>
                  <a:graphic xmlns:a="http://schemas.openxmlformats.org/drawingml/2006/main">
                    <a:graphicData uri="http://schemas.openxmlformats.org/drawingml/2006/picture">
                      <pic:pic xmlns:pic="http://schemas.openxmlformats.org/drawingml/2006/picture">
                        <pic:nvPicPr>
                          <pic:cNvPr id="150" name="ID_B5FC2B8389FD482E8F49F61963AFB12F"/>
                          <pic:cNvPicPr/>
                        </pic:nvPicPr>
                        <pic:blipFill>
                          <a:blip r:embed="rId42"/>
                          <a:stretch>
                            <a:fillRect/>
                          </a:stretch>
                        </pic:blipFill>
                        <pic:spPr>
                          <a:xfrm>
                            <a:off x="0" y="0"/>
                            <a:ext cx="955675" cy="683895"/>
                          </a:xfrm>
                          <a:prstGeom prst="rect">
                            <a:avLst/>
                          </a:prstGeom>
                          <a:noFill/>
                          <a:ln>
                            <a:noFill/>
                          </a:ln>
                        </pic:spPr>
                      </pic:pic>
                    </a:graphicData>
                  </a:graphic>
                </wp:anchor>
              </w:drawing>
            </w:r>
          </w:p>
        </w:tc>
      </w:tr>
      <w:tr w14:paraId="6E43E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FB0C6A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701" w:type="dxa"/>
            <w:tcBorders>
              <w:tl2br w:val="nil"/>
              <w:tr2bl w:val="nil"/>
            </w:tcBorders>
            <w:shd w:val="clear" w:color="auto" w:fill="auto"/>
            <w:vAlign w:val="center"/>
          </w:tcPr>
          <w:p w14:paraId="2E8DCF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不规则方块软包.烟灰绿</w:t>
            </w:r>
          </w:p>
        </w:tc>
        <w:tc>
          <w:tcPr>
            <w:tcW w:w="6813" w:type="dxa"/>
            <w:tcBorders>
              <w:tl2br w:val="nil"/>
              <w:tr2bl w:val="nil"/>
            </w:tcBorders>
            <w:shd w:val="clear" w:color="auto" w:fill="auto"/>
            <w:vAlign w:val="center"/>
          </w:tcPr>
          <w:p w14:paraId="3D73D0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规格：L120xW120xH18cm（R60cm）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（1）搭配托育产品做软垫，不规则大面积设计，可适用不同场景，多功能使用，触感舒适，安全牢固。填充物为高回弹海绵，柔软亲肤，呈烟灰绿。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（1）产品外皮由环保PU合成革厚度1.5mm；填充物为高回弹海绵，密度≥30kg/m³，回弹性强，不易变形。</w:t>
            </w:r>
          </w:p>
        </w:tc>
        <w:tc>
          <w:tcPr>
            <w:tcW w:w="1999" w:type="dxa"/>
            <w:tcBorders>
              <w:tl2br w:val="nil"/>
              <w:tr2bl w:val="nil"/>
            </w:tcBorders>
            <w:shd w:val="clear" w:color="auto" w:fill="auto"/>
            <w:vAlign w:val="center"/>
          </w:tcPr>
          <w:p w14:paraId="6435417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23495</wp:posOffset>
                  </wp:positionH>
                  <wp:positionV relativeFrom="paragraph">
                    <wp:posOffset>158115</wp:posOffset>
                  </wp:positionV>
                  <wp:extent cx="1193165" cy="407035"/>
                  <wp:effectExtent l="0" t="0" r="635" b="12065"/>
                  <wp:wrapNone/>
                  <wp:docPr id="151" name="ID_4BDC62BDA62642148568AADA8F6ABDD4"/>
                  <wp:cNvGraphicFramePr/>
                  <a:graphic xmlns:a="http://schemas.openxmlformats.org/drawingml/2006/main">
                    <a:graphicData uri="http://schemas.openxmlformats.org/drawingml/2006/picture">
                      <pic:pic xmlns:pic="http://schemas.openxmlformats.org/drawingml/2006/picture">
                        <pic:nvPicPr>
                          <pic:cNvPr id="151" name="ID_4BDC62BDA62642148568AADA8F6ABDD4"/>
                          <pic:cNvPicPr/>
                        </pic:nvPicPr>
                        <pic:blipFill>
                          <a:blip r:embed="rId43"/>
                          <a:stretch>
                            <a:fillRect/>
                          </a:stretch>
                        </pic:blipFill>
                        <pic:spPr>
                          <a:xfrm>
                            <a:off x="0" y="0"/>
                            <a:ext cx="1193165" cy="407035"/>
                          </a:xfrm>
                          <a:prstGeom prst="rect">
                            <a:avLst/>
                          </a:prstGeom>
                          <a:noFill/>
                          <a:ln>
                            <a:noFill/>
                          </a:ln>
                        </pic:spPr>
                      </pic:pic>
                    </a:graphicData>
                  </a:graphic>
                </wp:anchor>
              </w:drawing>
            </w:r>
          </w:p>
        </w:tc>
      </w:tr>
      <w:tr w14:paraId="7D5B2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B790B1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1701" w:type="dxa"/>
            <w:tcBorders>
              <w:tl2br w:val="nil"/>
              <w:tr2bl w:val="nil"/>
            </w:tcBorders>
            <w:shd w:val="clear" w:color="auto" w:fill="auto"/>
            <w:vAlign w:val="center"/>
          </w:tcPr>
          <w:p w14:paraId="2A4466A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1/4椭圆软包.烟灰绿</w:t>
            </w:r>
          </w:p>
        </w:tc>
        <w:tc>
          <w:tcPr>
            <w:tcW w:w="6813" w:type="dxa"/>
            <w:tcBorders>
              <w:tl2br w:val="nil"/>
              <w:tr2bl w:val="nil"/>
            </w:tcBorders>
            <w:shd w:val="clear" w:color="auto" w:fill="auto"/>
            <w:vAlign w:val="center"/>
          </w:tcPr>
          <w:p w14:paraId="243C833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规格：L120xW60xH9cm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（1）搭配托育产品做软垫，1/4椭圆设计，可适用不同场景，多功能使用，触感舒适，安全牢固。填充物为高回弹海绵，柔软亲肤，呈烟灰绿。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999" w:type="dxa"/>
            <w:tcBorders>
              <w:tl2br w:val="nil"/>
              <w:tr2bl w:val="nil"/>
            </w:tcBorders>
            <w:shd w:val="clear" w:color="auto" w:fill="auto"/>
            <w:vAlign w:val="center"/>
          </w:tcPr>
          <w:p w14:paraId="19FB5E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26035</wp:posOffset>
                  </wp:positionH>
                  <wp:positionV relativeFrom="paragraph">
                    <wp:posOffset>143510</wp:posOffset>
                  </wp:positionV>
                  <wp:extent cx="1187450" cy="437515"/>
                  <wp:effectExtent l="0" t="0" r="6350" b="6985"/>
                  <wp:wrapNone/>
                  <wp:docPr id="152" name="ID_7E07DEED93A24BCC9BD52BC74DAEAA7D"/>
                  <wp:cNvGraphicFramePr/>
                  <a:graphic xmlns:a="http://schemas.openxmlformats.org/drawingml/2006/main">
                    <a:graphicData uri="http://schemas.openxmlformats.org/drawingml/2006/picture">
                      <pic:pic xmlns:pic="http://schemas.openxmlformats.org/drawingml/2006/picture">
                        <pic:nvPicPr>
                          <pic:cNvPr id="152" name="ID_7E07DEED93A24BCC9BD52BC74DAEAA7D"/>
                          <pic:cNvPicPr/>
                        </pic:nvPicPr>
                        <pic:blipFill>
                          <a:blip r:embed="rId44"/>
                          <a:stretch>
                            <a:fillRect/>
                          </a:stretch>
                        </pic:blipFill>
                        <pic:spPr>
                          <a:xfrm>
                            <a:off x="0" y="0"/>
                            <a:ext cx="1187450" cy="437515"/>
                          </a:xfrm>
                          <a:prstGeom prst="rect">
                            <a:avLst/>
                          </a:prstGeom>
                          <a:noFill/>
                          <a:ln>
                            <a:noFill/>
                          </a:ln>
                        </pic:spPr>
                      </pic:pic>
                    </a:graphicData>
                  </a:graphic>
                </wp:anchor>
              </w:drawing>
            </w:r>
          </w:p>
        </w:tc>
      </w:tr>
      <w:tr w14:paraId="4936C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BD3F3E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1701" w:type="dxa"/>
            <w:tcBorders>
              <w:tl2br w:val="nil"/>
              <w:tr2bl w:val="nil"/>
            </w:tcBorders>
            <w:shd w:val="clear" w:color="auto" w:fill="auto"/>
            <w:vAlign w:val="center"/>
          </w:tcPr>
          <w:p w14:paraId="0BF70B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弧形软包(小).橙色</w:t>
            </w:r>
          </w:p>
        </w:tc>
        <w:tc>
          <w:tcPr>
            <w:tcW w:w="6813" w:type="dxa"/>
            <w:tcBorders>
              <w:tl2br w:val="nil"/>
              <w:tr2bl w:val="nil"/>
            </w:tcBorders>
            <w:shd w:val="clear" w:color="auto" w:fill="auto"/>
            <w:vAlign w:val="center"/>
          </w:tcPr>
          <w:p w14:paraId="6D3C745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规格：外：R40cm；内：R20cm；高：18cm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（1）搭配托育产品做情景造型，半圆外弧设计，可适用不同场景，多功能使用，触感舒适，安全牢固。填充物为高回弹海绵，柔软亲肤，呈橙色。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999" w:type="dxa"/>
            <w:tcBorders>
              <w:tl2br w:val="nil"/>
              <w:tr2bl w:val="nil"/>
            </w:tcBorders>
            <w:shd w:val="clear" w:color="auto" w:fill="auto"/>
            <w:vAlign w:val="center"/>
          </w:tcPr>
          <w:p w14:paraId="0C0F50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101600</wp:posOffset>
                  </wp:positionH>
                  <wp:positionV relativeFrom="paragraph">
                    <wp:posOffset>60325</wp:posOffset>
                  </wp:positionV>
                  <wp:extent cx="1036320" cy="604520"/>
                  <wp:effectExtent l="0" t="0" r="5080" b="5080"/>
                  <wp:wrapNone/>
                  <wp:docPr id="153" name="ID_2F02F8D99E9D451F9D4774FF7372BD2E"/>
                  <wp:cNvGraphicFramePr/>
                  <a:graphic xmlns:a="http://schemas.openxmlformats.org/drawingml/2006/main">
                    <a:graphicData uri="http://schemas.openxmlformats.org/drawingml/2006/picture">
                      <pic:pic xmlns:pic="http://schemas.openxmlformats.org/drawingml/2006/picture">
                        <pic:nvPicPr>
                          <pic:cNvPr id="153" name="ID_2F02F8D99E9D451F9D4774FF7372BD2E"/>
                          <pic:cNvPicPr/>
                        </pic:nvPicPr>
                        <pic:blipFill>
                          <a:blip r:embed="rId45"/>
                          <a:stretch>
                            <a:fillRect/>
                          </a:stretch>
                        </pic:blipFill>
                        <pic:spPr>
                          <a:xfrm>
                            <a:off x="0" y="0"/>
                            <a:ext cx="1036320" cy="604520"/>
                          </a:xfrm>
                          <a:prstGeom prst="rect">
                            <a:avLst/>
                          </a:prstGeom>
                          <a:noFill/>
                          <a:ln>
                            <a:noFill/>
                          </a:ln>
                        </pic:spPr>
                      </pic:pic>
                    </a:graphicData>
                  </a:graphic>
                </wp:anchor>
              </w:drawing>
            </w:r>
          </w:p>
        </w:tc>
      </w:tr>
      <w:tr w14:paraId="3194F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CDE7F9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1701" w:type="dxa"/>
            <w:tcBorders>
              <w:tl2br w:val="nil"/>
              <w:tr2bl w:val="nil"/>
            </w:tcBorders>
            <w:shd w:val="clear" w:color="auto" w:fill="auto"/>
            <w:vAlign w:val="center"/>
          </w:tcPr>
          <w:p w14:paraId="7D1734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树叶软包(小)</w:t>
            </w:r>
          </w:p>
        </w:tc>
        <w:tc>
          <w:tcPr>
            <w:tcW w:w="6813" w:type="dxa"/>
            <w:tcBorders>
              <w:tl2br w:val="nil"/>
              <w:tr2bl w:val="nil"/>
            </w:tcBorders>
            <w:shd w:val="clear" w:color="auto" w:fill="auto"/>
            <w:vAlign w:val="center"/>
          </w:tcPr>
          <w:p w14:paraId="498BBB3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规格：L33xW20xH56cm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（1）搭配托育产品做情景搭建，树叶软包设计，可适用不同场景，多功能使用，触感舒适，安全牢固。填充物为高回弹海绵，柔软亲肤。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999" w:type="dxa"/>
            <w:tcBorders>
              <w:tl2br w:val="nil"/>
              <w:tr2bl w:val="nil"/>
            </w:tcBorders>
            <w:shd w:val="clear" w:color="auto" w:fill="auto"/>
            <w:vAlign w:val="center"/>
          </w:tcPr>
          <w:p w14:paraId="015131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412750</wp:posOffset>
                  </wp:positionH>
                  <wp:positionV relativeFrom="paragraph">
                    <wp:posOffset>20320</wp:posOffset>
                  </wp:positionV>
                  <wp:extent cx="414655" cy="683260"/>
                  <wp:effectExtent l="0" t="0" r="4445" b="2540"/>
                  <wp:wrapNone/>
                  <wp:docPr id="154" name="ID_05CA53B1C8CB45289E1BBF305807501E"/>
                  <wp:cNvGraphicFramePr/>
                  <a:graphic xmlns:a="http://schemas.openxmlformats.org/drawingml/2006/main">
                    <a:graphicData uri="http://schemas.openxmlformats.org/drawingml/2006/picture">
                      <pic:pic xmlns:pic="http://schemas.openxmlformats.org/drawingml/2006/picture">
                        <pic:nvPicPr>
                          <pic:cNvPr id="154" name="ID_05CA53B1C8CB45289E1BBF305807501E"/>
                          <pic:cNvPicPr/>
                        </pic:nvPicPr>
                        <pic:blipFill>
                          <a:blip r:embed="rId46"/>
                          <a:stretch>
                            <a:fillRect/>
                          </a:stretch>
                        </pic:blipFill>
                        <pic:spPr>
                          <a:xfrm>
                            <a:off x="0" y="0"/>
                            <a:ext cx="414655" cy="683260"/>
                          </a:xfrm>
                          <a:prstGeom prst="rect">
                            <a:avLst/>
                          </a:prstGeom>
                          <a:noFill/>
                          <a:ln>
                            <a:noFill/>
                          </a:ln>
                        </pic:spPr>
                      </pic:pic>
                    </a:graphicData>
                  </a:graphic>
                </wp:anchor>
              </w:drawing>
            </w:r>
          </w:p>
        </w:tc>
      </w:tr>
      <w:tr w14:paraId="7D252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AD6FBD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1701" w:type="dxa"/>
            <w:tcBorders>
              <w:tl2br w:val="nil"/>
              <w:tr2bl w:val="nil"/>
            </w:tcBorders>
            <w:shd w:val="clear" w:color="auto" w:fill="auto"/>
            <w:vAlign w:val="center"/>
          </w:tcPr>
          <w:p w14:paraId="12B8C7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树叶软包(大)</w:t>
            </w:r>
          </w:p>
        </w:tc>
        <w:tc>
          <w:tcPr>
            <w:tcW w:w="6813" w:type="dxa"/>
            <w:tcBorders>
              <w:tl2br w:val="nil"/>
              <w:tr2bl w:val="nil"/>
            </w:tcBorders>
            <w:shd w:val="clear" w:color="auto" w:fill="auto"/>
            <w:vAlign w:val="center"/>
          </w:tcPr>
          <w:p w14:paraId="5ACF7D7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规格：L46xW23xH80cm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（1）搭配托育产品做情景搭建，树叶软包设计，可适用不同场景，多功能使用，触感舒适，安全牢固。填充物为高回弹海绵，柔软亲肤。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999" w:type="dxa"/>
            <w:tcBorders>
              <w:tl2br w:val="nil"/>
              <w:tr2bl w:val="nil"/>
            </w:tcBorders>
            <w:shd w:val="clear" w:color="auto" w:fill="auto"/>
            <w:vAlign w:val="center"/>
          </w:tcPr>
          <w:p w14:paraId="1A6C23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415290</wp:posOffset>
                  </wp:positionH>
                  <wp:positionV relativeFrom="paragraph">
                    <wp:posOffset>20320</wp:posOffset>
                  </wp:positionV>
                  <wp:extent cx="409575" cy="683895"/>
                  <wp:effectExtent l="0" t="0" r="9525" b="1905"/>
                  <wp:wrapNone/>
                  <wp:docPr id="155" name="ID_A5CEA0ABFB3844CA8FCB2786921186B2"/>
                  <wp:cNvGraphicFramePr/>
                  <a:graphic xmlns:a="http://schemas.openxmlformats.org/drawingml/2006/main">
                    <a:graphicData uri="http://schemas.openxmlformats.org/drawingml/2006/picture">
                      <pic:pic xmlns:pic="http://schemas.openxmlformats.org/drawingml/2006/picture">
                        <pic:nvPicPr>
                          <pic:cNvPr id="155" name="ID_A5CEA0ABFB3844CA8FCB2786921186B2"/>
                          <pic:cNvPicPr/>
                        </pic:nvPicPr>
                        <pic:blipFill>
                          <a:blip r:embed="rId47"/>
                          <a:stretch>
                            <a:fillRect/>
                          </a:stretch>
                        </pic:blipFill>
                        <pic:spPr>
                          <a:xfrm>
                            <a:off x="0" y="0"/>
                            <a:ext cx="409575" cy="683895"/>
                          </a:xfrm>
                          <a:prstGeom prst="rect">
                            <a:avLst/>
                          </a:prstGeom>
                          <a:noFill/>
                          <a:ln>
                            <a:noFill/>
                          </a:ln>
                        </pic:spPr>
                      </pic:pic>
                    </a:graphicData>
                  </a:graphic>
                </wp:anchor>
              </w:drawing>
            </w:r>
          </w:p>
        </w:tc>
      </w:tr>
      <w:tr w14:paraId="186E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95FF4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1701" w:type="dxa"/>
            <w:tcBorders>
              <w:tl2br w:val="nil"/>
              <w:tr2bl w:val="nil"/>
            </w:tcBorders>
            <w:shd w:val="clear" w:color="auto" w:fill="auto"/>
            <w:vAlign w:val="center"/>
          </w:tcPr>
          <w:p w14:paraId="7394E7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萝卜墩软包</w:t>
            </w:r>
          </w:p>
        </w:tc>
        <w:tc>
          <w:tcPr>
            <w:tcW w:w="6813" w:type="dxa"/>
            <w:tcBorders>
              <w:tl2br w:val="nil"/>
              <w:tr2bl w:val="nil"/>
            </w:tcBorders>
            <w:shd w:val="clear" w:color="auto" w:fill="auto"/>
            <w:vAlign w:val="center"/>
          </w:tcPr>
          <w:p w14:paraId="53E363A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规格：φ30xH25cm（底部φ22cm）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（1）搭配托育产品做情景搭建，萝卜软包设计，可适用不同场景，多功能使用，触感舒适，安全牢固。填充物为高回弹海绵，柔软亲肤。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999" w:type="dxa"/>
            <w:tcBorders>
              <w:tl2br w:val="nil"/>
              <w:tr2bl w:val="nil"/>
            </w:tcBorders>
            <w:shd w:val="clear" w:color="auto" w:fill="auto"/>
            <w:vAlign w:val="center"/>
          </w:tcPr>
          <w:p w14:paraId="36CA15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324485</wp:posOffset>
                  </wp:positionH>
                  <wp:positionV relativeFrom="paragraph">
                    <wp:posOffset>20320</wp:posOffset>
                  </wp:positionV>
                  <wp:extent cx="591185" cy="683260"/>
                  <wp:effectExtent l="0" t="0" r="5715" b="2540"/>
                  <wp:wrapNone/>
                  <wp:docPr id="156" name="ID_6D14B8AC06F047DCB1E1DE37E1A19FA3"/>
                  <wp:cNvGraphicFramePr/>
                  <a:graphic xmlns:a="http://schemas.openxmlformats.org/drawingml/2006/main">
                    <a:graphicData uri="http://schemas.openxmlformats.org/drawingml/2006/picture">
                      <pic:pic xmlns:pic="http://schemas.openxmlformats.org/drawingml/2006/picture">
                        <pic:nvPicPr>
                          <pic:cNvPr id="156" name="ID_6D14B8AC06F047DCB1E1DE37E1A19FA3"/>
                          <pic:cNvPicPr/>
                        </pic:nvPicPr>
                        <pic:blipFill>
                          <a:blip r:embed="rId48"/>
                          <a:stretch>
                            <a:fillRect/>
                          </a:stretch>
                        </pic:blipFill>
                        <pic:spPr>
                          <a:xfrm>
                            <a:off x="0" y="0"/>
                            <a:ext cx="591185" cy="683260"/>
                          </a:xfrm>
                          <a:prstGeom prst="rect">
                            <a:avLst/>
                          </a:prstGeom>
                          <a:noFill/>
                          <a:ln>
                            <a:noFill/>
                          </a:ln>
                        </pic:spPr>
                      </pic:pic>
                    </a:graphicData>
                  </a:graphic>
                </wp:anchor>
              </w:drawing>
            </w:r>
          </w:p>
        </w:tc>
      </w:tr>
      <w:tr w14:paraId="73126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B9A2E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1701" w:type="dxa"/>
            <w:tcBorders>
              <w:tl2br w:val="nil"/>
              <w:tr2bl w:val="nil"/>
            </w:tcBorders>
            <w:shd w:val="clear" w:color="auto" w:fill="auto"/>
            <w:vAlign w:val="center"/>
          </w:tcPr>
          <w:p w14:paraId="4E2CFB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圆洞障碍软包</w:t>
            </w:r>
          </w:p>
        </w:tc>
        <w:tc>
          <w:tcPr>
            <w:tcW w:w="6813" w:type="dxa"/>
            <w:tcBorders>
              <w:tl2br w:val="nil"/>
              <w:tr2bl w:val="nil"/>
            </w:tcBorders>
            <w:shd w:val="clear" w:color="auto" w:fill="auto"/>
            <w:vAlign w:val="center"/>
          </w:tcPr>
          <w:p w14:paraId="027C6AA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规格：L120xW60xH18cm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（1）搭配托育产品做情景搭建，圆形认知软包设计，可适用不同场景，多功能使用，触感舒适，安全牢固。填充物为高回弹海绵，柔软亲肤。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999" w:type="dxa"/>
            <w:tcBorders>
              <w:tl2br w:val="nil"/>
              <w:tr2bl w:val="nil"/>
            </w:tcBorders>
            <w:shd w:val="clear" w:color="auto" w:fill="auto"/>
            <w:vAlign w:val="center"/>
          </w:tcPr>
          <w:p w14:paraId="22D45E3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128270</wp:posOffset>
                  </wp:positionH>
                  <wp:positionV relativeFrom="paragraph">
                    <wp:posOffset>118110</wp:posOffset>
                  </wp:positionV>
                  <wp:extent cx="983615" cy="487680"/>
                  <wp:effectExtent l="0" t="0" r="6985" b="7620"/>
                  <wp:wrapNone/>
                  <wp:docPr id="157" name="ID_CA6E6BC0B1214BECA00F39A5037C51FD"/>
                  <wp:cNvGraphicFramePr/>
                  <a:graphic xmlns:a="http://schemas.openxmlformats.org/drawingml/2006/main">
                    <a:graphicData uri="http://schemas.openxmlformats.org/drawingml/2006/picture">
                      <pic:pic xmlns:pic="http://schemas.openxmlformats.org/drawingml/2006/picture">
                        <pic:nvPicPr>
                          <pic:cNvPr id="157" name="ID_CA6E6BC0B1214BECA00F39A5037C51FD"/>
                          <pic:cNvPicPr/>
                        </pic:nvPicPr>
                        <pic:blipFill>
                          <a:blip r:embed="rId49"/>
                          <a:stretch>
                            <a:fillRect/>
                          </a:stretch>
                        </pic:blipFill>
                        <pic:spPr>
                          <a:xfrm>
                            <a:off x="0" y="0"/>
                            <a:ext cx="983615" cy="487680"/>
                          </a:xfrm>
                          <a:prstGeom prst="rect">
                            <a:avLst/>
                          </a:prstGeom>
                          <a:noFill/>
                          <a:ln>
                            <a:noFill/>
                          </a:ln>
                        </pic:spPr>
                      </pic:pic>
                    </a:graphicData>
                  </a:graphic>
                </wp:anchor>
              </w:drawing>
            </w:r>
          </w:p>
        </w:tc>
      </w:tr>
      <w:tr w14:paraId="30186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88242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1701" w:type="dxa"/>
            <w:tcBorders>
              <w:tl2br w:val="nil"/>
              <w:tr2bl w:val="nil"/>
            </w:tcBorders>
            <w:shd w:val="clear" w:color="auto" w:fill="auto"/>
            <w:vAlign w:val="center"/>
          </w:tcPr>
          <w:p w14:paraId="52BE3C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42格茶杯架.落地款</w:t>
            </w:r>
          </w:p>
        </w:tc>
        <w:tc>
          <w:tcPr>
            <w:tcW w:w="6813" w:type="dxa"/>
            <w:tcBorders>
              <w:tl2br w:val="nil"/>
              <w:tr2bl w:val="nil"/>
            </w:tcBorders>
            <w:shd w:val="clear" w:color="auto" w:fill="auto"/>
            <w:vAlign w:val="center"/>
          </w:tcPr>
          <w:p w14:paraId="4FED342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规格：L73xW30xH102cm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（1）大容量收纳设计，配透气防虫纱网，适合每个班级使用。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（1）采用厚度15mm与9mm的环保实木多层板，背板采用厚度5mm的饰面环保实木纤维板。下柜：尺寸：730x300x270mm，左右格内空尺寸：340x260x190mm，双开门。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（2）上柜：尺寸：700x160x750mm,上柜共42格，格内空95x95x100mm,双开门，门板尺寸：745x350mm；上门板采用了加厚不锈钢防蚊虫纱网，透气散味可防蚊虫。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（3）门板内装缓冲铰链，能实现门板开合；4个拉手采用深咖色环保塑料一次成型，尺寸：L104.5xW32mm。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（4）围脚高度：40mm，底部安装塑料脚垫，高度为H10mm，直径17mm，软性防滑。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p>
        </w:tc>
        <w:tc>
          <w:tcPr>
            <w:tcW w:w="1999" w:type="dxa"/>
            <w:tcBorders>
              <w:tl2br w:val="nil"/>
              <w:tr2bl w:val="nil"/>
            </w:tcBorders>
            <w:shd w:val="clear" w:color="auto" w:fill="auto"/>
            <w:vAlign w:val="center"/>
          </w:tcPr>
          <w:p w14:paraId="032BB87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374650</wp:posOffset>
                  </wp:positionH>
                  <wp:positionV relativeFrom="paragraph">
                    <wp:posOffset>20320</wp:posOffset>
                  </wp:positionV>
                  <wp:extent cx="490855" cy="683260"/>
                  <wp:effectExtent l="0" t="0" r="4445" b="2540"/>
                  <wp:wrapNone/>
                  <wp:docPr id="158" name="ID_391FCB0F8ADF486A980112EEDEF1FF92"/>
                  <wp:cNvGraphicFramePr/>
                  <a:graphic xmlns:a="http://schemas.openxmlformats.org/drawingml/2006/main">
                    <a:graphicData uri="http://schemas.openxmlformats.org/drawingml/2006/picture">
                      <pic:pic xmlns:pic="http://schemas.openxmlformats.org/drawingml/2006/picture">
                        <pic:nvPicPr>
                          <pic:cNvPr id="158" name="ID_391FCB0F8ADF486A980112EEDEF1FF92"/>
                          <pic:cNvPicPr/>
                        </pic:nvPicPr>
                        <pic:blipFill>
                          <a:blip r:embed="rId50"/>
                          <a:stretch>
                            <a:fillRect/>
                          </a:stretch>
                        </pic:blipFill>
                        <pic:spPr>
                          <a:xfrm>
                            <a:off x="0" y="0"/>
                            <a:ext cx="490855" cy="683260"/>
                          </a:xfrm>
                          <a:prstGeom prst="rect">
                            <a:avLst/>
                          </a:prstGeom>
                          <a:noFill/>
                          <a:ln>
                            <a:noFill/>
                          </a:ln>
                        </pic:spPr>
                      </pic:pic>
                    </a:graphicData>
                  </a:graphic>
                </wp:anchor>
              </w:drawing>
            </w:r>
          </w:p>
        </w:tc>
      </w:tr>
      <w:tr w14:paraId="51097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52923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1701" w:type="dxa"/>
            <w:tcBorders>
              <w:tl2br w:val="nil"/>
              <w:tr2bl w:val="nil"/>
            </w:tcBorders>
            <w:shd w:val="clear" w:color="auto" w:fill="auto"/>
            <w:vAlign w:val="center"/>
          </w:tcPr>
          <w:p w14:paraId="00462D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托育婴幼儿活动床1.24m</w:t>
            </w:r>
          </w:p>
        </w:tc>
        <w:tc>
          <w:tcPr>
            <w:tcW w:w="6813" w:type="dxa"/>
            <w:tcBorders>
              <w:tl2br w:val="nil"/>
              <w:tr2bl w:val="nil"/>
            </w:tcBorders>
            <w:shd w:val="clear" w:color="auto" w:fill="auto"/>
            <w:vAlign w:val="center"/>
          </w:tcPr>
          <w:p w14:paraId="0C996AE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规格：L124xW58xH22.5cm(不含轮)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（1）塑料注塑脚柱设计，嵌套紧密，安全不易跌落。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（2）活动床可堆叠构造，节省空间。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边框采用厚度18mm的桦木纹饰面环保橡胶木拼板，床板采用厚度9mm的白色饰面环保实木多层板。床内空尺寸：1197x544mm，床板增加安全透气孔，床板两段拼接；不装轮子时，床板离地高度140mm(含脚垫)，扶手上边沿离床边85mm，扶手高度：117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脚柱：采用环保塑料注塑脚，呈浅咖色，呈“T”形，圆滑无毛刺，一体成型设计，结构稳固不走位，床脚之间接口吻合，可便于层层套叠堆放。尺寸L180xH210mm，凹陷的卡扣位置孔深190mm,最大长度105mm，宽度45mm，可牢固承接床脚，不易倾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（3）可选配2寸静音万向带刹车脚轮安装在注塑脚底部，便于叠放推动（建议8-10张配1张带轮）。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（4）水性漆：采用环保的水性漆封边，全封闭涂装工艺，漆面光泽高透，颜色均匀。</w:t>
            </w:r>
          </w:p>
        </w:tc>
        <w:tc>
          <w:tcPr>
            <w:tcW w:w="1999" w:type="dxa"/>
            <w:tcBorders>
              <w:tl2br w:val="nil"/>
              <w:tr2bl w:val="nil"/>
            </w:tcBorders>
            <w:shd w:val="clear" w:color="auto" w:fill="auto"/>
            <w:vAlign w:val="center"/>
          </w:tcPr>
          <w:p w14:paraId="442F7DF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26035</wp:posOffset>
                  </wp:positionH>
                  <wp:positionV relativeFrom="paragraph">
                    <wp:posOffset>161925</wp:posOffset>
                  </wp:positionV>
                  <wp:extent cx="1187450" cy="400685"/>
                  <wp:effectExtent l="0" t="0" r="6350" b="5715"/>
                  <wp:wrapNone/>
                  <wp:docPr id="159" name="ID_68FD073C853641E6A63D4E93A4BC9E5A"/>
                  <wp:cNvGraphicFramePr/>
                  <a:graphic xmlns:a="http://schemas.openxmlformats.org/drawingml/2006/main">
                    <a:graphicData uri="http://schemas.openxmlformats.org/drawingml/2006/picture">
                      <pic:pic xmlns:pic="http://schemas.openxmlformats.org/drawingml/2006/picture">
                        <pic:nvPicPr>
                          <pic:cNvPr id="159" name="ID_68FD073C853641E6A63D4E93A4BC9E5A"/>
                          <pic:cNvPicPr/>
                        </pic:nvPicPr>
                        <pic:blipFill>
                          <a:blip r:embed="rId51"/>
                          <a:stretch>
                            <a:fillRect/>
                          </a:stretch>
                        </pic:blipFill>
                        <pic:spPr>
                          <a:xfrm>
                            <a:off x="0" y="0"/>
                            <a:ext cx="1187450" cy="400685"/>
                          </a:xfrm>
                          <a:prstGeom prst="rect">
                            <a:avLst/>
                          </a:prstGeom>
                          <a:noFill/>
                          <a:ln>
                            <a:noFill/>
                          </a:ln>
                        </pic:spPr>
                      </pic:pic>
                    </a:graphicData>
                  </a:graphic>
                </wp:anchor>
              </w:drawing>
            </w:r>
          </w:p>
        </w:tc>
      </w:tr>
      <w:tr w14:paraId="62883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EE729E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40</w:t>
            </w:r>
          </w:p>
        </w:tc>
        <w:tc>
          <w:tcPr>
            <w:tcW w:w="1701" w:type="dxa"/>
            <w:tcBorders>
              <w:tl2br w:val="nil"/>
              <w:tr2bl w:val="nil"/>
            </w:tcBorders>
            <w:shd w:val="clear" w:color="auto" w:fill="auto"/>
            <w:vAlign w:val="center"/>
          </w:tcPr>
          <w:p w14:paraId="1EB2356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丝杆万向脚轮(适配叠床)</w:t>
            </w:r>
          </w:p>
        </w:tc>
        <w:tc>
          <w:tcPr>
            <w:tcW w:w="6813" w:type="dxa"/>
            <w:tcBorders>
              <w:tl2br w:val="nil"/>
              <w:tr2bl w:val="nil"/>
            </w:tcBorders>
            <w:shd w:val="clear" w:color="auto" w:fill="auto"/>
            <w:vAlign w:val="center"/>
          </w:tcPr>
          <w:p w14:paraId="21E77EF8">
            <w:pPr>
              <w:keepNext w:val="0"/>
              <w:keepLines w:val="0"/>
              <w:widowControl/>
              <w:suppressLineNumbers w:val="0"/>
              <w:jc w:val="both"/>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规格：φ6xH8cm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1.优质平底万向脚轮，高度为80mm，主要为塑料材质。脚轮运行平稳无声，可360°旋转，转动顺滑，刹车灵敏，踏板不易断裂。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2.脚轮：H80mm平底万向脚轮，轮面光洁，无裂纹、伤痕、毛边等缺陷；金属件表面光滑平整。</w:t>
            </w:r>
          </w:p>
        </w:tc>
        <w:tc>
          <w:tcPr>
            <w:tcW w:w="1999" w:type="dxa"/>
            <w:tcBorders>
              <w:tl2br w:val="nil"/>
              <w:tr2bl w:val="nil"/>
            </w:tcBorders>
            <w:shd w:val="clear" w:color="auto" w:fill="auto"/>
            <w:vAlign w:val="center"/>
          </w:tcPr>
          <w:p w14:paraId="4EB22CA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color w:val="auto"/>
                <w:highlight w:val="none"/>
              </w:rPr>
              <w:drawing>
                <wp:inline distT="0" distB="0" distL="114300" distR="114300">
                  <wp:extent cx="683260" cy="669290"/>
                  <wp:effectExtent l="0" t="0" r="2540" b="3810"/>
                  <wp:docPr id="50" name="ID_4D27D5870C244F3A83DE241F18175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4D27D5870C244F3A83DE241F181752B7"/>
                          <pic:cNvPicPr>
                            <a:picLocks noChangeAspect="1"/>
                          </pic:cNvPicPr>
                        </pic:nvPicPr>
                        <pic:blipFill>
                          <a:blip r:embed="rId52"/>
                          <a:srcRect t="22951" r="24286"/>
                          <a:stretch>
                            <a:fillRect/>
                          </a:stretch>
                        </pic:blipFill>
                        <pic:spPr>
                          <a:xfrm>
                            <a:off x="0" y="0"/>
                            <a:ext cx="683260" cy="669290"/>
                          </a:xfrm>
                          <a:prstGeom prst="rect">
                            <a:avLst/>
                          </a:prstGeom>
                        </pic:spPr>
                      </pic:pic>
                    </a:graphicData>
                  </a:graphic>
                </wp:inline>
              </w:drawing>
            </w:r>
          </w:p>
        </w:tc>
      </w:tr>
      <w:tr w14:paraId="72667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6A14D3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41</w:t>
            </w:r>
          </w:p>
        </w:tc>
        <w:tc>
          <w:tcPr>
            <w:tcW w:w="1701" w:type="dxa"/>
            <w:tcBorders>
              <w:tl2br w:val="nil"/>
              <w:tr2bl w:val="nil"/>
            </w:tcBorders>
            <w:shd w:val="clear" w:color="auto" w:fill="auto"/>
            <w:vAlign w:val="center"/>
          </w:tcPr>
          <w:p w14:paraId="154A74E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原木6人桌.49cm</w:t>
            </w:r>
          </w:p>
        </w:tc>
        <w:tc>
          <w:tcPr>
            <w:tcW w:w="6813" w:type="dxa"/>
            <w:tcBorders>
              <w:tl2br w:val="nil"/>
              <w:tr2bl w:val="nil"/>
            </w:tcBorders>
            <w:shd w:val="clear" w:color="auto" w:fill="auto"/>
            <w:vAlign w:val="center"/>
          </w:tcPr>
          <w:p w14:paraId="2A04423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规格：L120xW60xH49cm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（1）采用立水工艺，结构支撑性强，防止桌面下沉。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（2）所有螺丝位无毛刺不刮手，桌角及边沿采用R30mm圆角/圆边处理以及安全防撞设计</w:t>
            </w:r>
            <w:r>
              <w:rPr>
                <w:rFonts w:hint="eastAsia" w:ascii="宋体" w:hAnsi="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（1）桌面：采用厚度30mm的优质橡胶木拼板搭配防火板贴面加工而成，耐刮耐磨，长时间使用不褪色、不容易开裂；长立水尺寸：L1062xW60xH18mm，短立水尺寸：L462xW60xH18mm。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（2）桌脚：采橡胶木实木，厚实纹路清晰，尺寸为48x48mm，边沿均采用圆边处理（外侧边R25mm,其他三边R10mm）；底部安装塑料脚垫，软性防滑。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（3）产品整体采用环保的水性漆，全封闭涂装工艺，漆面光泽高透，颜色均匀，附着能力强，通透度高。桌面封边采用环保的水性木蜡油封边，成分天然，分子机构细小，成膜牢固，密封性好。</w:t>
            </w:r>
          </w:p>
        </w:tc>
        <w:tc>
          <w:tcPr>
            <w:tcW w:w="1999" w:type="dxa"/>
            <w:tcBorders>
              <w:tl2br w:val="nil"/>
              <w:tr2bl w:val="nil"/>
            </w:tcBorders>
            <w:shd w:val="clear" w:color="auto" w:fill="auto"/>
            <w:vAlign w:val="center"/>
          </w:tcPr>
          <w:p w14:paraId="01DE7DE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76200</wp:posOffset>
                  </wp:positionH>
                  <wp:positionV relativeFrom="paragraph">
                    <wp:posOffset>20320</wp:posOffset>
                  </wp:positionV>
                  <wp:extent cx="1087755" cy="683260"/>
                  <wp:effectExtent l="0" t="0" r="4445" b="2540"/>
                  <wp:wrapNone/>
                  <wp:docPr id="187" name="ID_2D6E71EC8F944FB28EB5845EFB8FC702"/>
                  <wp:cNvGraphicFramePr/>
                  <a:graphic xmlns:a="http://schemas.openxmlformats.org/drawingml/2006/main">
                    <a:graphicData uri="http://schemas.openxmlformats.org/drawingml/2006/picture">
                      <pic:pic xmlns:pic="http://schemas.openxmlformats.org/drawingml/2006/picture">
                        <pic:nvPicPr>
                          <pic:cNvPr id="187" name="ID_2D6E71EC8F944FB28EB5845EFB8FC702"/>
                          <pic:cNvPicPr/>
                        </pic:nvPicPr>
                        <pic:blipFill>
                          <a:blip r:embed="rId53"/>
                          <a:stretch>
                            <a:fillRect/>
                          </a:stretch>
                        </pic:blipFill>
                        <pic:spPr>
                          <a:xfrm>
                            <a:off x="0" y="0"/>
                            <a:ext cx="1087755" cy="683260"/>
                          </a:xfrm>
                          <a:prstGeom prst="rect">
                            <a:avLst/>
                          </a:prstGeom>
                          <a:noFill/>
                          <a:ln>
                            <a:noFill/>
                          </a:ln>
                        </pic:spPr>
                      </pic:pic>
                    </a:graphicData>
                  </a:graphic>
                </wp:anchor>
              </w:drawing>
            </w:r>
          </w:p>
        </w:tc>
      </w:tr>
      <w:tr w14:paraId="56AF7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70890A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42</w:t>
            </w:r>
          </w:p>
        </w:tc>
        <w:tc>
          <w:tcPr>
            <w:tcW w:w="1701" w:type="dxa"/>
            <w:tcBorders>
              <w:tl2br w:val="nil"/>
              <w:tr2bl w:val="nil"/>
            </w:tcBorders>
            <w:shd w:val="clear" w:color="auto" w:fill="auto"/>
            <w:vAlign w:val="center"/>
          </w:tcPr>
          <w:p w14:paraId="3AB5C9B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原木4人桌.49cm</w:t>
            </w:r>
          </w:p>
        </w:tc>
        <w:tc>
          <w:tcPr>
            <w:tcW w:w="6813" w:type="dxa"/>
            <w:tcBorders>
              <w:tl2br w:val="nil"/>
              <w:tr2bl w:val="nil"/>
            </w:tcBorders>
            <w:shd w:val="clear" w:color="auto" w:fill="auto"/>
            <w:vAlign w:val="center"/>
          </w:tcPr>
          <w:p w14:paraId="0F3FF09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规格：L60xW60xH49cm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（1）采用立水工艺，结构支撑性强，防止桌面下沉。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（1）桌面：采用厚度30mm的优质橡胶木拼板搭配防火板贴面加工而成，耐刮耐磨，长时间使用不褪色、不容易开裂；立水尺寸L462xW60xH18mm结构稳固。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（2）桌脚：采橡胶木实木，厚实纹路清晰，尺寸为48x48mm，边沿均采用圆边处理（外侧边R25mm,其他三边R10mm）；底部安装塑料脚垫，软性防滑。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（3）产品整体采用环保的水性漆，全封闭涂装工艺，漆面光泽高透，颜色均匀，附着能力强，通透度高。桌面封边采用环保的水性木蜡油封边，成分天然，分子机构细小，成膜牢固，密封性好。</w:t>
            </w:r>
          </w:p>
        </w:tc>
        <w:tc>
          <w:tcPr>
            <w:tcW w:w="1999" w:type="dxa"/>
            <w:tcBorders>
              <w:tl2br w:val="nil"/>
              <w:tr2bl w:val="nil"/>
            </w:tcBorders>
            <w:shd w:val="clear" w:color="auto" w:fill="auto"/>
            <w:vAlign w:val="center"/>
          </w:tcPr>
          <w:p w14:paraId="27B4BF6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233045</wp:posOffset>
                  </wp:positionH>
                  <wp:positionV relativeFrom="paragraph">
                    <wp:posOffset>20320</wp:posOffset>
                  </wp:positionV>
                  <wp:extent cx="773430" cy="683895"/>
                  <wp:effectExtent l="0" t="0" r="1270" b="1905"/>
                  <wp:wrapNone/>
                  <wp:docPr id="188" name="ID_8508EBDD292C4FAA8D0E1106816F5A44"/>
                  <wp:cNvGraphicFramePr/>
                  <a:graphic xmlns:a="http://schemas.openxmlformats.org/drawingml/2006/main">
                    <a:graphicData uri="http://schemas.openxmlformats.org/drawingml/2006/picture">
                      <pic:pic xmlns:pic="http://schemas.openxmlformats.org/drawingml/2006/picture">
                        <pic:nvPicPr>
                          <pic:cNvPr id="188" name="ID_8508EBDD292C4FAA8D0E1106816F5A44"/>
                          <pic:cNvPicPr/>
                        </pic:nvPicPr>
                        <pic:blipFill>
                          <a:blip r:embed="rId54"/>
                          <a:stretch>
                            <a:fillRect/>
                          </a:stretch>
                        </pic:blipFill>
                        <pic:spPr>
                          <a:xfrm>
                            <a:off x="0" y="0"/>
                            <a:ext cx="773430" cy="683895"/>
                          </a:xfrm>
                          <a:prstGeom prst="rect">
                            <a:avLst/>
                          </a:prstGeom>
                          <a:noFill/>
                          <a:ln>
                            <a:noFill/>
                          </a:ln>
                        </pic:spPr>
                      </pic:pic>
                    </a:graphicData>
                  </a:graphic>
                </wp:anchor>
              </w:drawing>
            </w:r>
          </w:p>
        </w:tc>
      </w:tr>
      <w:tr w14:paraId="6D8B4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EA80A6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43</w:t>
            </w:r>
          </w:p>
        </w:tc>
        <w:tc>
          <w:tcPr>
            <w:tcW w:w="1701" w:type="dxa"/>
            <w:tcBorders>
              <w:tl2br w:val="nil"/>
              <w:tr2bl w:val="nil"/>
            </w:tcBorders>
            <w:shd w:val="clear" w:color="auto" w:fill="auto"/>
            <w:vAlign w:val="center"/>
          </w:tcPr>
          <w:p w14:paraId="07F9B04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原木椅.25cm</w:t>
            </w:r>
          </w:p>
        </w:tc>
        <w:tc>
          <w:tcPr>
            <w:tcW w:w="6813" w:type="dxa"/>
            <w:tcBorders>
              <w:tl2br w:val="nil"/>
              <w:tr2bl w:val="nil"/>
            </w:tcBorders>
            <w:shd w:val="clear" w:color="auto" w:fill="auto"/>
            <w:vAlign w:val="center"/>
          </w:tcPr>
          <w:p w14:paraId="5965A6E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规格：L30xW30xH47cm（座高25cm）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（1）整体为工字框架，使用木梢做榫孔定位加固安装，使用二合一、自攻丝进行连接，组搭安装便捷。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（1）座板：采用厚度12mm的饰面环保实木多层板双贴橡胶木纹皮,座高:250mm；座深:270mm；座宽:290mm。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（2）椅背：采用厚度20mm的环保橡胶木拼板，靠背呈波浪造型，最大高度97mm最小高度79mm,底部横梁尺寸宽35mm，背板加宽，弧形修饰，使坐姿靠背更舒适。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（3）椅脚：椅脚厚度22mm、其余框架厚度18mm的环保橡胶木拼板，底部安装塑料脚垫，高度为H6.5mm，直径19mm,软性防滑。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(4)产品整体采用环保的水性漆，全封闭涂装工艺，漆面光泽高透，颜色均匀，附着能力强，通透度高。座板采用环保的水性木蜡油封边，成分天然，分子机构细小，成膜牢固，密封性好。</w:t>
            </w:r>
          </w:p>
        </w:tc>
        <w:tc>
          <w:tcPr>
            <w:tcW w:w="1999" w:type="dxa"/>
            <w:tcBorders>
              <w:tl2br w:val="nil"/>
              <w:tr2bl w:val="nil"/>
            </w:tcBorders>
            <w:shd w:val="clear" w:color="auto" w:fill="auto"/>
            <w:vAlign w:val="center"/>
          </w:tcPr>
          <w:p w14:paraId="5C2778B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376555</wp:posOffset>
                  </wp:positionH>
                  <wp:positionV relativeFrom="paragraph">
                    <wp:posOffset>20320</wp:posOffset>
                  </wp:positionV>
                  <wp:extent cx="486410" cy="683895"/>
                  <wp:effectExtent l="0" t="0" r="8890" b="1905"/>
                  <wp:wrapNone/>
                  <wp:docPr id="189" name="ID_C3607639F6D048D6A51D987AF5230E22"/>
                  <wp:cNvGraphicFramePr/>
                  <a:graphic xmlns:a="http://schemas.openxmlformats.org/drawingml/2006/main">
                    <a:graphicData uri="http://schemas.openxmlformats.org/drawingml/2006/picture">
                      <pic:pic xmlns:pic="http://schemas.openxmlformats.org/drawingml/2006/picture">
                        <pic:nvPicPr>
                          <pic:cNvPr id="189" name="ID_C3607639F6D048D6A51D987AF5230E22"/>
                          <pic:cNvPicPr/>
                        </pic:nvPicPr>
                        <pic:blipFill>
                          <a:blip r:embed="rId55"/>
                          <a:stretch>
                            <a:fillRect/>
                          </a:stretch>
                        </pic:blipFill>
                        <pic:spPr>
                          <a:xfrm>
                            <a:off x="0" y="0"/>
                            <a:ext cx="486410" cy="683895"/>
                          </a:xfrm>
                          <a:prstGeom prst="rect">
                            <a:avLst/>
                          </a:prstGeom>
                          <a:noFill/>
                          <a:ln>
                            <a:noFill/>
                          </a:ln>
                        </pic:spPr>
                      </pic:pic>
                    </a:graphicData>
                  </a:graphic>
                </wp:anchor>
              </w:drawing>
            </w:r>
          </w:p>
        </w:tc>
      </w:tr>
      <w:tr w14:paraId="7E15B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B4FF81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44</w:t>
            </w:r>
          </w:p>
        </w:tc>
        <w:tc>
          <w:tcPr>
            <w:tcW w:w="1701" w:type="dxa"/>
            <w:tcBorders>
              <w:tl2br w:val="nil"/>
              <w:tr2bl w:val="nil"/>
            </w:tcBorders>
            <w:shd w:val="clear" w:color="auto" w:fill="auto"/>
            <w:vAlign w:val="center"/>
          </w:tcPr>
          <w:p w14:paraId="39A7FD7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美术储物双面画架</w:t>
            </w:r>
          </w:p>
        </w:tc>
        <w:tc>
          <w:tcPr>
            <w:tcW w:w="6813" w:type="dxa"/>
            <w:tcBorders>
              <w:tl2br w:val="nil"/>
              <w:tr2bl w:val="nil"/>
            </w:tcBorders>
            <w:shd w:val="clear" w:color="auto" w:fill="auto"/>
            <w:vAlign w:val="center"/>
          </w:tcPr>
          <w:p w14:paraId="24F2E94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规格：L62xW45xH124cm（含轮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（1）画板双面使用、带磁吸设计，能满足不同的教学需要。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（2）多功能带轮带刹车画架，移动/固定便捷。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（3）底部与中间大空间收纳设计，兼具教学与收纳功能。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画板芯材采用厚度9mm的环保实木纤维板配黑白磁铁皮书写面材。柜体上隔层内空高度：397mm，中隔层内空高度：472mm；柜体下层分2格，左右格内空尺寸：287.5x450x160mm。侧板两侧为几何图形镂空造型，大空间方便拿取物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（2）画板：正反面安装2块方形可吸附磁铁的黑板白板，白板可使用水性笔进行擦写，黑板可使用粉笔进行擦写，画板尺寸：885x590mm。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（3）配件：搭配圆形包塑磁碰，能紧紧吸附在画板上，尺寸为φ42xH11.5mm；顶部安装圆形不锈钢管尺寸Ф19x594mm,配合槽位其中2个根圆棒的一端可根据实际情况调节高度，用以挂装常规画纸纸卷。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（4）底部安装4个1.5寸TPR静音万向脚轮，脚轮运行平稳无声，可360°旋转，转动顺滑，其中2个脚轮带刹车功能，刹车灵敏，踏板不易断裂。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p>
        </w:tc>
        <w:tc>
          <w:tcPr>
            <w:tcW w:w="1999" w:type="dxa"/>
            <w:tcBorders>
              <w:tl2br w:val="nil"/>
              <w:tr2bl w:val="nil"/>
            </w:tcBorders>
            <w:shd w:val="clear" w:color="auto" w:fill="auto"/>
            <w:vAlign w:val="center"/>
          </w:tcPr>
          <w:p w14:paraId="5D7CABA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414020</wp:posOffset>
                  </wp:positionH>
                  <wp:positionV relativeFrom="paragraph">
                    <wp:posOffset>20320</wp:posOffset>
                  </wp:positionV>
                  <wp:extent cx="412115" cy="683895"/>
                  <wp:effectExtent l="0" t="0" r="6985" b="1905"/>
                  <wp:wrapNone/>
                  <wp:docPr id="191" name="ID_198CE01C0B2044EAAC15A4C5CC669074"/>
                  <wp:cNvGraphicFramePr/>
                  <a:graphic xmlns:a="http://schemas.openxmlformats.org/drawingml/2006/main">
                    <a:graphicData uri="http://schemas.openxmlformats.org/drawingml/2006/picture">
                      <pic:pic xmlns:pic="http://schemas.openxmlformats.org/drawingml/2006/picture">
                        <pic:nvPicPr>
                          <pic:cNvPr id="191" name="ID_198CE01C0B2044EAAC15A4C5CC669074"/>
                          <pic:cNvPicPr/>
                        </pic:nvPicPr>
                        <pic:blipFill>
                          <a:blip r:embed="rId56"/>
                          <a:stretch>
                            <a:fillRect/>
                          </a:stretch>
                        </pic:blipFill>
                        <pic:spPr>
                          <a:xfrm>
                            <a:off x="0" y="0"/>
                            <a:ext cx="412115" cy="683895"/>
                          </a:xfrm>
                          <a:prstGeom prst="rect">
                            <a:avLst/>
                          </a:prstGeom>
                          <a:noFill/>
                          <a:ln>
                            <a:noFill/>
                          </a:ln>
                        </pic:spPr>
                      </pic:pic>
                    </a:graphicData>
                  </a:graphic>
                </wp:anchor>
              </w:drawing>
            </w:r>
          </w:p>
        </w:tc>
      </w:tr>
      <w:tr w14:paraId="76169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262B68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45</w:t>
            </w:r>
          </w:p>
        </w:tc>
        <w:tc>
          <w:tcPr>
            <w:tcW w:w="1701" w:type="dxa"/>
            <w:tcBorders>
              <w:tl2br w:val="nil"/>
              <w:tr2bl w:val="nil"/>
            </w:tcBorders>
            <w:shd w:val="clear" w:color="auto" w:fill="auto"/>
            <w:vAlign w:val="center"/>
          </w:tcPr>
          <w:p w14:paraId="1100AE6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美术作品晾干柜</w:t>
            </w:r>
          </w:p>
        </w:tc>
        <w:tc>
          <w:tcPr>
            <w:tcW w:w="6813" w:type="dxa"/>
            <w:tcBorders>
              <w:tl2br w:val="nil"/>
              <w:tr2bl w:val="nil"/>
            </w:tcBorders>
            <w:shd w:val="clear" w:color="auto" w:fill="auto"/>
            <w:vAlign w:val="center"/>
          </w:tcPr>
          <w:p w14:paraId="37EAD0D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规格：L50xW40xH76cm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（1）卡槽定位设计，分布均匀，实现作品晾干网抽拉式取放，不易走位。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（2）铁网表面采用静电粉末喷涂工艺，圆润光滑，防腐抗锈，坚固耐用。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双贴桦木纹饰面的环保橡胶木拼板。顶部收纳格内空尺寸：470x354x40mm；柜体内包含9个铁质晾干网，尺寸：L461xW388xH8mm，铁网每层均匀分布，层间距为：64mm；柜内安装9个塑料材质U型槽，呈卡其色，尺寸为L370mm，有利于柜体空间合理分布，铁网能准确滑入槽中，取放便捷。底部安装4个1.5寸静音带刹车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（2）采用环保的水性木蜡油封边，成分天然，分子机构细小，成膜牢固，密封性好，环保无毒。</w:t>
            </w:r>
          </w:p>
        </w:tc>
        <w:tc>
          <w:tcPr>
            <w:tcW w:w="1999" w:type="dxa"/>
            <w:tcBorders>
              <w:tl2br w:val="nil"/>
              <w:tr2bl w:val="nil"/>
            </w:tcBorders>
            <w:shd w:val="clear" w:color="auto" w:fill="auto"/>
            <w:vAlign w:val="center"/>
          </w:tcPr>
          <w:p w14:paraId="6A3EC46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387350</wp:posOffset>
                  </wp:positionH>
                  <wp:positionV relativeFrom="paragraph">
                    <wp:posOffset>20320</wp:posOffset>
                  </wp:positionV>
                  <wp:extent cx="465455" cy="683895"/>
                  <wp:effectExtent l="0" t="0" r="4445" b="1905"/>
                  <wp:wrapNone/>
                  <wp:docPr id="192" name="ID_E9F672AE7C154967BBB88C58FA656893"/>
                  <wp:cNvGraphicFramePr/>
                  <a:graphic xmlns:a="http://schemas.openxmlformats.org/drawingml/2006/main">
                    <a:graphicData uri="http://schemas.openxmlformats.org/drawingml/2006/picture">
                      <pic:pic xmlns:pic="http://schemas.openxmlformats.org/drawingml/2006/picture">
                        <pic:nvPicPr>
                          <pic:cNvPr id="192" name="ID_E9F672AE7C154967BBB88C58FA656893"/>
                          <pic:cNvPicPr/>
                        </pic:nvPicPr>
                        <pic:blipFill>
                          <a:blip r:embed="rId57"/>
                          <a:stretch>
                            <a:fillRect/>
                          </a:stretch>
                        </pic:blipFill>
                        <pic:spPr>
                          <a:xfrm>
                            <a:off x="0" y="0"/>
                            <a:ext cx="465455" cy="683895"/>
                          </a:xfrm>
                          <a:prstGeom prst="rect">
                            <a:avLst/>
                          </a:prstGeom>
                          <a:noFill/>
                          <a:ln>
                            <a:noFill/>
                          </a:ln>
                        </pic:spPr>
                      </pic:pic>
                    </a:graphicData>
                  </a:graphic>
                </wp:anchor>
              </w:drawing>
            </w:r>
          </w:p>
        </w:tc>
      </w:tr>
      <w:tr w14:paraId="06D0B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772694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46</w:t>
            </w:r>
          </w:p>
        </w:tc>
        <w:tc>
          <w:tcPr>
            <w:tcW w:w="1701" w:type="dxa"/>
            <w:tcBorders>
              <w:tl2br w:val="nil"/>
              <w:tr2bl w:val="nil"/>
            </w:tcBorders>
            <w:shd w:val="clear" w:color="auto" w:fill="auto"/>
            <w:vAlign w:val="center"/>
          </w:tcPr>
          <w:p w14:paraId="0A96F9E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美术用品收纳柜</w:t>
            </w:r>
          </w:p>
        </w:tc>
        <w:tc>
          <w:tcPr>
            <w:tcW w:w="6813" w:type="dxa"/>
            <w:tcBorders>
              <w:tl2br w:val="nil"/>
              <w:tr2bl w:val="nil"/>
            </w:tcBorders>
            <w:shd w:val="clear" w:color="auto" w:fill="auto"/>
            <w:vAlign w:val="center"/>
          </w:tcPr>
          <w:p w14:paraId="38D5DCA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规格：L100xW40xH61.5cm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（1）卡槽定位设计，分布均匀，实现作品晾干架抽拉式取放，不易走位。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（2）铁网表面采用静电粉末喷涂工艺，圆润光滑，防腐抗锈，坚固耐用。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（3）配套塑料收纳盒，可满足不同类型材料的分类储存。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12mm的桦木纹饰面环保橡胶木拼板。柜体中间是两层无背板设计，内控600x400x185mm。上层格子安装塑料材质U型槽，呈卡其色，尺寸为L370mm，有利于铁网能准确滑入槽中，左右两侧设有纸卷放置格1格，尺寸176x150mm， 短背板设计，背板尺寸487x176x12mm；2层2格颜料收纳格，内控208x176mm,层板镂空设计尺寸178x158mm 通透自然教具存放一目了然。顶部中间收纳槽尺寸：600x370x95mm。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搭配：4个大收纳盒尺寸：L245xW150xH60mm，4个小收纳盒尺寸：L150xW120xH60mm，教具收纳更轻松。收纳盒采用环保塑料材质，呈浅咖色，圆滑无毛刺，一体成型设计，结构稳固。1块铁质晾干网，尺寸：L590xW350xH8mm，铁网表面采用静电粉末喷涂工艺，圆润光滑，防腐抗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（3）采用环保的水性木蜡油封边，成分天然，分子机构细小，成膜牢固，密封性好，环保无毒。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（4）柜子底部安装4个1.5寸静音带刹车万向脚轮，1个1.5寸静音万向脚轮，脚轮运行平稳无声，可360°旋转，转动顺滑。</w:t>
            </w:r>
          </w:p>
        </w:tc>
        <w:tc>
          <w:tcPr>
            <w:tcW w:w="1999" w:type="dxa"/>
            <w:tcBorders>
              <w:tl2br w:val="nil"/>
              <w:tr2bl w:val="nil"/>
            </w:tcBorders>
            <w:shd w:val="clear" w:color="auto" w:fill="auto"/>
            <w:vAlign w:val="center"/>
          </w:tcPr>
          <w:p w14:paraId="6F70323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98425</wp:posOffset>
                  </wp:positionH>
                  <wp:positionV relativeFrom="paragraph">
                    <wp:posOffset>134620</wp:posOffset>
                  </wp:positionV>
                  <wp:extent cx="890905" cy="683260"/>
                  <wp:effectExtent l="0" t="0" r="10795" b="2540"/>
                  <wp:wrapNone/>
                  <wp:docPr id="193" name="ID_116613AE358A4093B6937FDBD178B7F1"/>
                  <wp:cNvGraphicFramePr/>
                  <a:graphic xmlns:a="http://schemas.openxmlformats.org/drawingml/2006/main">
                    <a:graphicData uri="http://schemas.openxmlformats.org/drawingml/2006/picture">
                      <pic:pic xmlns:pic="http://schemas.openxmlformats.org/drawingml/2006/picture">
                        <pic:nvPicPr>
                          <pic:cNvPr id="193" name="ID_116613AE358A4093B6937FDBD178B7F1"/>
                          <pic:cNvPicPr/>
                        </pic:nvPicPr>
                        <pic:blipFill>
                          <a:blip r:embed="rId58"/>
                          <a:stretch>
                            <a:fillRect/>
                          </a:stretch>
                        </pic:blipFill>
                        <pic:spPr>
                          <a:xfrm>
                            <a:off x="0" y="0"/>
                            <a:ext cx="890905" cy="683260"/>
                          </a:xfrm>
                          <a:prstGeom prst="rect">
                            <a:avLst/>
                          </a:prstGeom>
                          <a:noFill/>
                          <a:ln>
                            <a:noFill/>
                          </a:ln>
                        </pic:spPr>
                      </pic:pic>
                    </a:graphicData>
                  </a:graphic>
                </wp:anchor>
              </w:drawing>
            </w:r>
          </w:p>
        </w:tc>
      </w:tr>
      <w:tr w14:paraId="59DFC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8B69DA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47</w:t>
            </w:r>
          </w:p>
        </w:tc>
        <w:tc>
          <w:tcPr>
            <w:tcW w:w="1701" w:type="dxa"/>
            <w:tcBorders>
              <w:tl2br w:val="nil"/>
              <w:tr2bl w:val="nil"/>
            </w:tcBorders>
            <w:shd w:val="clear" w:color="auto" w:fill="auto"/>
            <w:vAlign w:val="center"/>
          </w:tcPr>
          <w:p w14:paraId="325EB92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三层教具篮收纳柜</w:t>
            </w:r>
          </w:p>
        </w:tc>
        <w:tc>
          <w:tcPr>
            <w:tcW w:w="6813" w:type="dxa"/>
            <w:tcBorders>
              <w:tl2br w:val="nil"/>
              <w:tr2bl w:val="nil"/>
            </w:tcBorders>
            <w:shd w:val="clear" w:color="auto" w:fill="auto"/>
            <w:vAlign w:val="center"/>
          </w:tcPr>
          <w:p w14:paraId="3814940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15mm的环保橡胶木拼板。柜子长度内空：884mm，整体为3层，共安装8个浅咖色铁质圆管用于固定教具篮，铁管尺寸为：φ19mm长度884mm；包含9个教具篮，尺寸：L280xW260xH100mm，用于收纳各种教玩具物品，教具篮采用环保塑料材质，呈浅咖色，圆滑无毛刺，一体成型设计，结构稳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999" w:type="dxa"/>
            <w:tcBorders>
              <w:tl2br w:val="nil"/>
              <w:tr2bl w:val="nil"/>
            </w:tcBorders>
            <w:shd w:val="clear" w:color="auto" w:fill="auto"/>
            <w:vAlign w:val="center"/>
          </w:tcPr>
          <w:p w14:paraId="27D8FC5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191135</wp:posOffset>
                  </wp:positionH>
                  <wp:positionV relativeFrom="paragraph">
                    <wp:posOffset>20320</wp:posOffset>
                  </wp:positionV>
                  <wp:extent cx="857885" cy="683895"/>
                  <wp:effectExtent l="0" t="0" r="5715" b="1905"/>
                  <wp:wrapNone/>
                  <wp:docPr id="194" name="ID_2C5088D0754B4756A0C2CD8E016908D9"/>
                  <wp:cNvGraphicFramePr/>
                  <a:graphic xmlns:a="http://schemas.openxmlformats.org/drawingml/2006/main">
                    <a:graphicData uri="http://schemas.openxmlformats.org/drawingml/2006/picture">
                      <pic:pic xmlns:pic="http://schemas.openxmlformats.org/drawingml/2006/picture">
                        <pic:nvPicPr>
                          <pic:cNvPr id="194" name="ID_2C5088D0754B4756A0C2CD8E016908D9"/>
                          <pic:cNvPicPr/>
                        </pic:nvPicPr>
                        <pic:blipFill>
                          <a:blip r:embed="rId59"/>
                          <a:stretch>
                            <a:fillRect/>
                          </a:stretch>
                        </pic:blipFill>
                        <pic:spPr>
                          <a:xfrm>
                            <a:off x="0" y="0"/>
                            <a:ext cx="857885" cy="683895"/>
                          </a:xfrm>
                          <a:prstGeom prst="rect">
                            <a:avLst/>
                          </a:prstGeom>
                          <a:noFill/>
                          <a:ln>
                            <a:noFill/>
                          </a:ln>
                        </pic:spPr>
                      </pic:pic>
                    </a:graphicData>
                  </a:graphic>
                </wp:anchor>
              </w:drawing>
            </w:r>
          </w:p>
        </w:tc>
      </w:tr>
      <w:tr w14:paraId="25834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3E6608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1701" w:type="dxa"/>
            <w:tcBorders>
              <w:tl2br w:val="nil"/>
              <w:tr2bl w:val="nil"/>
            </w:tcBorders>
            <w:shd w:val="clear" w:color="auto" w:fill="auto"/>
            <w:vAlign w:val="center"/>
          </w:tcPr>
          <w:p w14:paraId="0397986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互动展示柜</w:t>
            </w:r>
          </w:p>
        </w:tc>
        <w:tc>
          <w:tcPr>
            <w:tcW w:w="6813" w:type="dxa"/>
            <w:tcBorders>
              <w:tl2br w:val="nil"/>
              <w:tr2bl w:val="nil"/>
            </w:tcBorders>
            <w:shd w:val="clear" w:color="auto" w:fill="auto"/>
            <w:vAlign w:val="center"/>
          </w:tcPr>
          <w:p w14:paraId="3331427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规格：L91.5xW30xH114cm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（1）可收纳、可书写、可钉设计，兼具多方式展示与收纳功能。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（3）所有螺丝位无毛刺不刮手，边角采用圆边/圆角处理以及安全防撞设计，不易倾倒，安全缝隙和孔洞均符合《GB28007-2011儿童家具通用技术条件》的要求。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画板框采用厚度24mm的环保实木多层板。柜体格子内空尺寸分别为292x300x240mm和270x300x490mm；柜体面板离地高度：590mm，面共四个φ70mm开孔，用于笔筒杯放置；中间格子内置6条环保塑料一次成型L270mm的U型槽，呈卡其色，有利于柜体空间合理分布，教具篮能准确滑入槽中，取放便捷。画板尺寸为双面设计；一面白色书写磁铁皮；一面为吸音板展示板；可使用尺寸均为712x430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（2）搭配L26xW28xH19cm浅咖色教具盒2个，L26xW28xH10cm浅咖色教具盒2个，L26xW28xH10cm透明教具盒4个；配套4个φ79x95mm烟灰橄榄绿颜料杯/笔筒。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柜体与底部围脚采用环保材质的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聚酯纤维吸音板:选用环保安全聚酯纤维材质厚度9mm的吸音板，对中高频噪声的吸声效果优异，适合吸收乐器声、户外声等中高频噪声，提升语音清晰度并降低噪声干扰；低频声音并无明显吸声，不影响正常的活动交流；中高低频声音智能吸纳，符合幼儿区角活动课室使用。</w:t>
            </w:r>
          </w:p>
        </w:tc>
        <w:tc>
          <w:tcPr>
            <w:tcW w:w="1999" w:type="dxa"/>
            <w:tcBorders>
              <w:tl2br w:val="nil"/>
              <w:tr2bl w:val="nil"/>
            </w:tcBorders>
            <w:shd w:val="clear" w:color="auto" w:fill="auto"/>
            <w:vAlign w:val="center"/>
          </w:tcPr>
          <w:p w14:paraId="3977042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361950</wp:posOffset>
                  </wp:positionH>
                  <wp:positionV relativeFrom="paragraph">
                    <wp:posOffset>20320</wp:posOffset>
                  </wp:positionV>
                  <wp:extent cx="516255" cy="683895"/>
                  <wp:effectExtent l="0" t="0" r="4445" b="1905"/>
                  <wp:wrapNone/>
                  <wp:docPr id="195" name="ID_E47AD89CCFC54B00B874733763F03965"/>
                  <wp:cNvGraphicFramePr/>
                  <a:graphic xmlns:a="http://schemas.openxmlformats.org/drawingml/2006/main">
                    <a:graphicData uri="http://schemas.openxmlformats.org/drawingml/2006/picture">
                      <pic:pic xmlns:pic="http://schemas.openxmlformats.org/drawingml/2006/picture">
                        <pic:nvPicPr>
                          <pic:cNvPr id="195" name="ID_E47AD89CCFC54B00B874733763F03965"/>
                          <pic:cNvPicPr/>
                        </pic:nvPicPr>
                        <pic:blipFill>
                          <a:blip r:embed="rId60"/>
                          <a:stretch>
                            <a:fillRect/>
                          </a:stretch>
                        </pic:blipFill>
                        <pic:spPr>
                          <a:xfrm>
                            <a:off x="0" y="0"/>
                            <a:ext cx="516255" cy="683895"/>
                          </a:xfrm>
                          <a:prstGeom prst="rect">
                            <a:avLst/>
                          </a:prstGeom>
                          <a:noFill/>
                          <a:ln>
                            <a:noFill/>
                          </a:ln>
                        </pic:spPr>
                      </pic:pic>
                    </a:graphicData>
                  </a:graphic>
                </wp:anchor>
              </w:drawing>
            </w:r>
          </w:p>
        </w:tc>
      </w:tr>
      <w:tr w14:paraId="6D94D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6E12C8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49</w:t>
            </w:r>
          </w:p>
        </w:tc>
        <w:tc>
          <w:tcPr>
            <w:tcW w:w="1701" w:type="dxa"/>
            <w:tcBorders>
              <w:tl2br w:val="nil"/>
              <w:tr2bl w:val="nil"/>
            </w:tcBorders>
            <w:shd w:val="clear" w:color="auto" w:fill="auto"/>
            <w:vAlign w:val="center"/>
          </w:tcPr>
          <w:p w14:paraId="446CE07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原木3层高柜.全背板</w:t>
            </w:r>
          </w:p>
        </w:tc>
        <w:tc>
          <w:tcPr>
            <w:tcW w:w="6813" w:type="dxa"/>
            <w:tcBorders>
              <w:tl2br w:val="nil"/>
              <w:tr2bl w:val="nil"/>
            </w:tcBorders>
            <w:shd w:val="clear" w:color="auto" w:fill="auto"/>
            <w:vAlign w:val="center"/>
          </w:tcPr>
          <w:p w14:paraId="1108D50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（1）柜体：采用16mm的环保橡胶木拼板。三层无竖板，层格内空均为：884x280x222mm，满足较大型玩教具收纳。背板采用厚度5mm的饰面环保实木纤维板。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3025CEB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251460</wp:posOffset>
                  </wp:positionH>
                  <wp:positionV relativeFrom="paragraph">
                    <wp:posOffset>20320</wp:posOffset>
                  </wp:positionV>
                  <wp:extent cx="736600" cy="683260"/>
                  <wp:effectExtent l="0" t="0" r="0" b="2540"/>
                  <wp:wrapNone/>
                  <wp:docPr id="196" name="ID_69847B26F5D94F51AD58F45A2017A565"/>
                  <wp:cNvGraphicFramePr/>
                  <a:graphic xmlns:a="http://schemas.openxmlformats.org/drawingml/2006/main">
                    <a:graphicData uri="http://schemas.openxmlformats.org/drawingml/2006/picture">
                      <pic:pic xmlns:pic="http://schemas.openxmlformats.org/drawingml/2006/picture">
                        <pic:nvPicPr>
                          <pic:cNvPr id="196" name="ID_69847B26F5D94F51AD58F45A2017A565"/>
                          <pic:cNvPicPr/>
                        </pic:nvPicPr>
                        <pic:blipFill>
                          <a:blip r:embed="rId61"/>
                          <a:stretch>
                            <a:fillRect/>
                          </a:stretch>
                        </pic:blipFill>
                        <pic:spPr>
                          <a:xfrm>
                            <a:off x="0" y="0"/>
                            <a:ext cx="736600" cy="683260"/>
                          </a:xfrm>
                          <a:prstGeom prst="rect">
                            <a:avLst/>
                          </a:prstGeom>
                          <a:noFill/>
                          <a:ln>
                            <a:noFill/>
                          </a:ln>
                        </pic:spPr>
                      </pic:pic>
                    </a:graphicData>
                  </a:graphic>
                </wp:anchor>
              </w:drawing>
            </w:r>
          </w:p>
        </w:tc>
      </w:tr>
      <w:tr w14:paraId="6A0E0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D66DDF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50</w:t>
            </w:r>
          </w:p>
        </w:tc>
        <w:tc>
          <w:tcPr>
            <w:tcW w:w="1701" w:type="dxa"/>
            <w:tcBorders>
              <w:tl2br w:val="nil"/>
              <w:tr2bl w:val="nil"/>
            </w:tcBorders>
            <w:shd w:val="clear" w:color="auto" w:fill="auto"/>
            <w:vAlign w:val="center"/>
          </w:tcPr>
          <w:p w14:paraId="496E642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原木2层90°弧形矮柜</w:t>
            </w:r>
          </w:p>
        </w:tc>
        <w:tc>
          <w:tcPr>
            <w:tcW w:w="6813" w:type="dxa"/>
            <w:tcBorders>
              <w:tl2br w:val="nil"/>
              <w:tr2bl w:val="nil"/>
            </w:tcBorders>
            <w:shd w:val="clear" w:color="auto" w:fill="auto"/>
            <w:vAlign w:val="center"/>
          </w:tcPr>
          <w:p w14:paraId="164BA30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规格：L84xW38.5xH59cm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（1）90°弧形设计，可搭配区角使用作转角连接。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（1）柜体：采用16mm的环保橡胶木拼板。通透2层矮柜，上下内空高度为236mm，柜体呈90°弧形。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0ADF3BA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179070</wp:posOffset>
                  </wp:positionH>
                  <wp:positionV relativeFrom="paragraph">
                    <wp:posOffset>20320</wp:posOffset>
                  </wp:positionV>
                  <wp:extent cx="881380" cy="683895"/>
                  <wp:effectExtent l="0" t="0" r="7620" b="1905"/>
                  <wp:wrapNone/>
                  <wp:docPr id="197" name="ID_2F1E8BCAC51341D7B6047E7E82B5A644"/>
                  <wp:cNvGraphicFramePr/>
                  <a:graphic xmlns:a="http://schemas.openxmlformats.org/drawingml/2006/main">
                    <a:graphicData uri="http://schemas.openxmlformats.org/drawingml/2006/picture">
                      <pic:pic xmlns:pic="http://schemas.openxmlformats.org/drawingml/2006/picture">
                        <pic:nvPicPr>
                          <pic:cNvPr id="197" name="ID_2F1E8BCAC51341D7B6047E7E82B5A644"/>
                          <pic:cNvPicPr/>
                        </pic:nvPicPr>
                        <pic:blipFill>
                          <a:blip r:embed="rId62"/>
                          <a:stretch>
                            <a:fillRect/>
                          </a:stretch>
                        </pic:blipFill>
                        <pic:spPr>
                          <a:xfrm>
                            <a:off x="0" y="0"/>
                            <a:ext cx="881380" cy="683895"/>
                          </a:xfrm>
                          <a:prstGeom prst="rect">
                            <a:avLst/>
                          </a:prstGeom>
                          <a:noFill/>
                          <a:ln>
                            <a:noFill/>
                          </a:ln>
                        </pic:spPr>
                      </pic:pic>
                    </a:graphicData>
                  </a:graphic>
                </wp:anchor>
              </w:drawing>
            </w:r>
          </w:p>
        </w:tc>
      </w:tr>
      <w:tr w14:paraId="2637A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77D040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51</w:t>
            </w:r>
          </w:p>
        </w:tc>
        <w:tc>
          <w:tcPr>
            <w:tcW w:w="1701" w:type="dxa"/>
            <w:tcBorders>
              <w:tl2br w:val="nil"/>
              <w:tr2bl w:val="nil"/>
            </w:tcBorders>
            <w:shd w:val="clear" w:color="auto" w:fill="auto"/>
            <w:vAlign w:val="center"/>
          </w:tcPr>
          <w:p w14:paraId="3AF27C6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山峰小屋收纳柜</w:t>
            </w:r>
          </w:p>
        </w:tc>
        <w:tc>
          <w:tcPr>
            <w:tcW w:w="6813" w:type="dxa"/>
            <w:tcBorders>
              <w:tl2br w:val="nil"/>
              <w:tr2bl w:val="nil"/>
            </w:tcBorders>
            <w:shd w:val="clear" w:color="auto" w:fill="auto"/>
            <w:vAlign w:val="center"/>
          </w:tcPr>
          <w:p w14:paraId="1E08871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规格：L50xW30xH110.5cm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（1）小屋造型设计，兼具装饰与收纳功能。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（3）底格收纳抽斗采用可移动带滑轮设计，便于教玩具的转移与储藏。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（1）柜体：用厚度15mm的桦木纹饰面环保橡胶木拼板。柜体顶部屋顶造型，2层通透，顶层内空尺寸：470x300x303mm，中层内控尺寸470x300x224mm；下层带背板内空尺寸：470x280x224mm。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子最底格为移动式收纳抽斗，抽斗内空尺寸：420x249x178mm，抽斗底部安装4个1.5寸静音万向脚轮，脚轮运行平稳无声，可360°旋转，转动顺滑。抽斗面板中间凹20mm，手握弧度舒适面板增加几何造型图案。造型部分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（5）油墨：采用环保水性油墨，颜色饱满，无毒无异味。</w:t>
            </w:r>
          </w:p>
        </w:tc>
        <w:tc>
          <w:tcPr>
            <w:tcW w:w="1999" w:type="dxa"/>
            <w:tcBorders>
              <w:tl2br w:val="nil"/>
              <w:tr2bl w:val="nil"/>
            </w:tcBorders>
            <w:shd w:val="clear" w:color="auto" w:fill="auto"/>
            <w:vAlign w:val="center"/>
          </w:tcPr>
          <w:p w14:paraId="188F6AC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437515</wp:posOffset>
                  </wp:positionH>
                  <wp:positionV relativeFrom="paragraph">
                    <wp:posOffset>20320</wp:posOffset>
                  </wp:positionV>
                  <wp:extent cx="365125" cy="683260"/>
                  <wp:effectExtent l="0" t="0" r="3175" b="2540"/>
                  <wp:wrapNone/>
                  <wp:docPr id="198" name="ID_39DD75BC21D146CE999DA295290AB817"/>
                  <wp:cNvGraphicFramePr/>
                  <a:graphic xmlns:a="http://schemas.openxmlformats.org/drawingml/2006/main">
                    <a:graphicData uri="http://schemas.openxmlformats.org/drawingml/2006/picture">
                      <pic:pic xmlns:pic="http://schemas.openxmlformats.org/drawingml/2006/picture">
                        <pic:nvPicPr>
                          <pic:cNvPr id="198" name="ID_39DD75BC21D146CE999DA295290AB817"/>
                          <pic:cNvPicPr/>
                        </pic:nvPicPr>
                        <pic:blipFill>
                          <a:blip r:embed="rId63"/>
                          <a:stretch>
                            <a:fillRect/>
                          </a:stretch>
                        </pic:blipFill>
                        <pic:spPr>
                          <a:xfrm>
                            <a:off x="0" y="0"/>
                            <a:ext cx="365125" cy="683260"/>
                          </a:xfrm>
                          <a:prstGeom prst="rect">
                            <a:avLst/>
                          </a:prstGeom>
                          <a:noFill/>
                          <a:ln>
                            <a:noFill/>
                          </a:ln>
                        </pic:spPr>
                      </pic:pic>
                    </a:graphicData>
                  </a:graphic>
                </wp:anchor>
              </w:drawing>
            </w:r>
          </w:p>
        </w:tc>
      </w:tr>
      <w:tr w14:paraId="0ECD9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A470ED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52</w:t>
            </w:r>
          </w:p>
        </w:tc>
        <w:tc>
          <w:tcPr>
            <w:tcW w:w="1701" w:type="dxa"/>
            <w:tcBorders>
              <w:tl2br w:val="nil"/>
              <w:tr2bl w:val="nil"/>
            </w:tcBorders>
            <w:shd w:val="clear" w:color="auto" w:fill="auto"/>
            <w:vAlign w:val="center"/>
          </w:tcPr>
          <w:p w14:paraId="1F99D41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简约书架</w:t>
            </w:r>
          </w:p>
        </w:tc>
        <w:tc>
          <w:tcPr>
            <w:tcW w:w="6813" w:type="dxa"/>
            <w:tcBorders>
              <w:tl2br w:val="nil"/>
              <w:tr2bl w:val="nil"/>
            </w:tcBorders>
            <w:shd w:val="clear" w:color="auto" w:fill="auto"/>
            <w:vAlign w:val="center"/>
          </w:tcPr>
          <w:p w14:paraId="66224CC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规格：L93xW30xH81cm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（1）书架与收纳柜结合，兼具收纳与学习功能。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（1）架体：采用厚度16mm的桦木纹环保双饰面浸渍胶膜纸饰面刨花板。共四层书本搁置槽，内空长900mm，内空宽分别40mm和38mm；底层空间：900x300x196mm。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（3）封边条：采用PVC封边条，表面光滑平整，封边细腻硬度高，线条均匀，转角过渡自然，无脱胶，表面光滑平整无胶渍。</w:t>
            </w:r>
          </w:p>
        </w:tc>
        <w:tc>
          <w:tcPr>
            <w:tcW w:w="1999" w:type="dxa"/>
            <w:tcBorders>
              <w:tl2br w:val="nil"/>
              <w:tr2bl w:val="nil"/>
            </w:tcBorders>
            <w:shd w:val="clear" w:color="auto" w:fill="auto"/>
            <w:vAlign w:val="center"/>
          </w:tcPr>
          <w:p w14:paraId="0EC1DDC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226695</wp:posOffset>
                  </wp:positionH>
                  <wp:positionV relativeFrom="paragraph">
                    <wp:posOffset>20320</wp:posOffset>
                  </wp:positionV>
                  <wp:extent cx="786130" cy="683895"/>
                  <wp:effectExtent l="0" t="0" r="1270" b="1905"/>
                  <wp:wrapNone/>
                  <wp:docPr id="199" name="ID_8C7FBEA11C0F4EF18173100850D9E298"/>
                  <wp:cNvGraphicFramePr/>
                  <a:graphic xmlns:a="http://schemas.openxmlformats.org/drawingml/2006/main">
                    <a:graphicData uri="http://schemas.openxmlformats.org/drawingml/2006/picture">
                      <pic:pic xmlns:pic="http://schemas.openxmlformats.org/drawingml/2006/picture">
                        <pic:nvPicPr>
                          <pic:cNvPr id="199" name="ID_8C7FBEA11C0F4EF18173100850D9E298"/>
                          <pic:cNvPicPr/>
                        </pic:nvPicPr>
                        <pic:blipFill>
                          <a:blip r:embed="rId64"/>
                          <a:stretch>
                            <a:fillRect/>
                          </a:stretch>
                        </pic:blipFill>
                        <pic:spPr>
                          <a:xfrm>
                            <a:off x="0" y="0"/>
                            <a:ext cx="786130" cy="683895"/>
                          </a:xfrm>
                          <a:prstGeom prst="rect">
                            <a:avLst/>
                          </a:prstGeom>
                          <a:noFill/>
                          <a:ln>
                            <a:noFill/>
                          </a:ln>
                        </pic:spPr>
                      </pic:pic>
                    </a:graphicData>
                  </a:graphic>
                </wp:anchor>
              </w:drawing>
            </w:r>
          </w:p>
        </w:tc>
      </w:tr>
      <w:tr w14:paraId="660A6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EA9294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53</w:t>
            </w:r>
          </w:p>
        </w:tc>
        <w:tc>
          <w:tcPr>
            <w:tcW w:w="1701" w:type="dxa"/>
            <w:tcBorders>
              <w:tl2br w:val="nil"/>
              <w:tr2bl w:val="nil"/>
            </w:tcBorders>
            <w:shd w:val="clear" w:color="auto" w:fill="auto"/>
            <w:vAlign w:val="center"/>
          </w:tcPr>
          <w:p w14:paraId="371B05E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原木3层短柜高柜.半背板</w:t>
            </w:r>
          </w:p>
        </w:tc>
        <w:tc>
          <w:tcPr>
            <w:tcW w:w="6813" w:type="dxa"/>
            <w:tcBorders>
              <w:tl2br w:val="nil"/>
              <w:tr2bl w:val="nil"/>
            </w:tcBorders>
            <w:shd w:val="clear" w:color="auto" w:fill="auto"/>
            <w:vAlign w:val="center"/>
          </w:tcPr>
          <w:p w14:paraId="7DA9EAD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规格：L61.5xW30xH80cm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（1）柜体：采用16mm的环保橡胶木拼板。共三层，属于短柜高柜，可用于补充区角空间，增加层次；上二层格子内空：586x300x222mm，下层格子内空：586x280x222mm。背板采用厚度5mm的饰面环保实木纤维板。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3242629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358140</wp:posOffset>
                  </wp:positionH>
                  <wp:positionV relativeFrom="paragraph">
                    <wp:posOffset>20955</wp:posOffset>
                  </wp:positionV>
                  <wp:extent cx="523240" cy="683260"/>
                  <wp:effectExtent l="0" t="0" r="10160" b="2540"/>
                  <wp:wrapNone/>
                  <wp:docPr id="200" name="ID_2745B9EB0747468589A11570621A0813"/>
                  <wp:cNvGraphicFramePr/>
                  <a:graphic xmlns:a="http://schemas.openxmlformats.org/drawingml/2006/main">
                    <a:graphicData uri="http://schemas.openxmlformats.org/drawingml/2006/picture">
                      <pic:pic xmlns:pic="http://schemas.openxmlformats.org/drawingml/2006/picture">
                        <pic:nvPicPr>
                          <pic:cNvPr id="200" name="ID_2745B9EB0747468589A11570621A0813"/>
                          <pic:cNvPicPr/>
                        </pic:nvPicPr>
                        <pic:blipFill>
                          <a:blip r:embed="rId65"/>
                          <a:stretch>
                            <a:fillRect/>
                          </a:stretch>
                        </pic:blipFill>
                        <pic:spPr>
                          <a:xfrm>
                            <a:off x="0" y="0"/>
                            <a:ext cx="523240" cy="683260"/>
                          </a:xfrm>
                          <a:prstGeom prst="rect">
                            <a:avLst/>
                          </a:prstGeom>
                          <a:noFill/>
                          <a:ln>
                            <a:noFill/>
                          </a:ln>
                        </pic:spPr>
                      </pic:pic>
                    </a:graphicData>
                  </a:graphic>
                </wp:anchor>
              </w:drawing>
            </w:r>
          </w:p>
        </w:tc>
      </w:tr>
      <w:tr w14:paraId="07DC4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E5848D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54</w:t>
            </w:r>
          </w:p>
        </w:tc>
        <w:tc>
          <w:tcPr>
            <w:tcW w:w="1701" w:type="dxa"/>
            <w:tcBorders>
              <w:tl2br w:val="nil"/>
              <w:tr2bl w:val="nil"/>
            </w:tcBorders>
            <w:shd w:val="clear" w:color="auto" w:fill="auto"/>
            <w:vAlign w:val="center"/>
          </w:tcPr>
          <w:p w14:paraId="3C73790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方块百宝箱.4个</w:t>
            </w:r>
          </w:p>
        </w:tc>
        <w:tc>
          <w:tcPr>
            <w:tcW w:w="6813" w:type="dxa"/>
            <w:tcBorders>
              <w:tl2br w:val="nil"/>
              <w:tr2bl w:val="nil"/>
            </w:tcBorders>
            <w:shd w:val="clear" w:color="auto" w:fill="auto"/>
            <w:vAlign w:val="center"/>
          </w:tcPr>
          <w:p w14:paraId="5053191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规格：L132xW33xH28cm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（1）储物式建构箱，收纳空间大，箱体可自由堆叠，通过旋钮塑料开关可横向延伸拼搭，可收纳，可坐；可搭配脚轮带刹车设计，操作便捷。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（2）所有螺丝位无毛刺不刮手，边角采用圆边/圆角处理以及安全防撞设计，不易倾倒。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（1）采用厚度12mm的实木多层板，12mm乳白饰面实木多层板。4个独立储物盒，搭配塑料件可以进行建构搭配，面板为活动面板。箱体内控299x299x237mm，3面椭圆形提手孔尺寸：89x26mm，拱门大小:206x206mm。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（2）底部可选配安装4个平底万向脚轮，脚轮运行平稳无声，可360°旋转，转动顺滑，刹车灵敏，踏板不易断裂。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（3）单个箱体之间的面板链接采用4条塑料一次成型的链接条，呈浅咖色，尺寸为39x39x250mm；塑料一次成型的卡扣件，呈浅咖色，尺寸为39x39x18.5mm共8个；塑料一次成型的链接开关件，呈浅咖色，尺寸88x25x52mm。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p>
        </w:tc>
        <w:tc>
          <w:tcPr>
            <w:tcW w:w="1999" w:type="dxa"/>
            <w:tcBorders>
              <w:tl2br w:val="nil"/>
              <w:tr2bl w:val="nil"/>
            </w:tcBorders>
            <w:shd w:val="clear" w:color="auto" w:fill="auto"/>
            <w:vAlign w:val="center"/>
          </w:tcPr>
          <w:p w14:paraId="0F5E251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20320</wp:posOffset>
                  </wp:positionH>
                  <wp:positionV relativeFrom="paragraph">
                    <wp:posOffset>23495</wp:posOffset>
                  </wp:positionV>
                  <wp:extent cx="1199515" cy="676275"/>
                  <wp:effectExtent l="0" t="0" r="6985" b="9525"/>
                  <wp:wrapNone/>
                  <wp:docPr id="201" name="ID_F744BB4EA81546F1998E7582D5FECB4A"/>
                  <wp:cNvGraphicFramePr/>
                  <a:graphic xmlns:a="http://schemas.openxmlformats.org/drawingml/2006/main">
                    <a:graphicData uri="http://schemas.openxmlformats.org/drawingml/2006/picture">
                      <pic:pic xmlns:pic="http://schemas.openxmlformats.org/drawingml/2006/picture">
                        <pic:nvPicPr>
                          <pic:cNvPr id="201" name="ID_F744BB4EA81546F1998E7582D5FECB4A"/>
                          <pic:cNvPicPr/>
                        </pic:nvPicPr>
                        <pic:blipFill>
                          <a:blip r:embed="rId66"/>
                          <a:stretch>
                            <a:fillRect/>
                          </a:stretch>
                        </pic:blipFill>
                        <pic:spPr>
                          <a:xfrm>
                            <a:off x="0" y="0"/>
                            <a:ext cx="1199515" cy="676275"/>
                          </a:xfrm>
                          <a:prstGeom prst="rect">
                            <a:avLst/>
                          </a:prstGeom>
                          <a:noFill/>
                          <a:ln>
                            <a:noFill/>
                          </a:ln>
                        </pic:spPr>
                      </pic:pic>
                    </a:graphicData>
                  </a:graphic>
                </wp:anchor>
              </w:drawing>
            </w:r>
          </w:p>
        </w:tc>
      </w:tr>
      <w:tr w14:paraId="216FC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5D3A80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55</w:t>
            </w:r>
          </w:p>
        </w:tc>
        <w:tc>
          <w:tcPr>
            <w:tcW w:w="1701" w:type="dxa"/>
            <w:tcBorders>
              <w:tl2br w:val="nil"/>
              <w:tr2bl w:val="nil"/>
            </w:tcBorders>
            <w:shd w:val="clear" w:color="auto" w:fill="auto"/>
            <w:vAlign w:val="center"/>
          </w:tcPr>
          <w:p w14:paraId="41DFD32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怀抱双人布艺沙发.米白</w:t>
            </w:r>
          </w:p>
        </w:tc>
        <w:tc>
          <w:tcPr>
            <w:tcW w:w="6813" w:type="dxa"/>
            <w:tcBorders>
              <w:tl2br w:val="nil"/>
              <w:tr2bl w:val="nil"/>
            </w:tcBorders>
            <w:shd w:val="clear" w:color="auto" w:fill="auto"/>
            <w:vAlign w:val="center"/>
          </w:tcPr>
          <w:p w14:paraId="786FE54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规格：L97xW50xH61cm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1.面料材质：采用优质环保的涤纶纤维织造布料，颜色米白色，仿棉麻材质，耐磨，免洗。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3.产品特点：双人座，脚柱采用原木，经抛光上透明清漆。</w:t>
            </w:r>
          </w:p>
        </w:tc>
        <w:tc>
          <w:tcPr>
            <w:tcW w:w="1999" w:type="dxa"/>
            <w:tcBorders>
              <w:tl2br w:val="nil"/>
              <w:tr2bl w:val="nil"/>
            </w:tcBorders>
            <w:shd w:val="clear" w:color="auto" w:fill="auto"/>
            <w:vAlign w:val="center"/>
          </w:tcPr>
          <w:p w14:paraId="03D249F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203835</wp:posOffset>
                  </wp:positionH>
                  <wp:positionV relativeFrom="paragraph">
                    <wp:posOffset>20320</wp:posOffset>
                  </wp:positionV>
                  <wp:extent cx="832485" cy="683260"/>
                  <wp:effectExtent l="0" t="0" r="5715" b="2540"/>
                  <wp:wrapNone/>
                  <wp:docPr id="202" name="ID_6249AE4F2A9D4800BAA6A54BEC6230B4"/>
                  <wp:cNvGraphicFramePr/>
                  <a:graphic xmlns:a="http://schemas.openxmlformats.org/drawingml/2006/main">
                    <a:graphicData uri="http://schemas.openxmlformats.org/drawingml/2006/picture">
                      <pic:pic xmlns:pic="http://schemas.openxmlformats.org/drawingml/2006/picture">
                        <pic:nvPicPr>
                          <pic:cNvPr id="202" name="ID_6249AE4F2A9D4800BAA6A54BEC6230B4"/>
                          <pic:cNvPicPr/>
                        </pic:nvPicPr>
                        <pic:blipFill>
                          <a:blip r:embed="rId67"/>
                          <a:stretch>
                            <a:fillRect/>
                          </a:stretch>
                        </pic:blipFill>
                        <pic:spPr>
                          <a:xfrm>
                            <a:off x="0" y="0"/>
                            <a:ext cx="832485" cy="683260"/>
                          </a:xfrm>
                          <a:prstGeom prst="rect">
                            <a:avLst/>
                          </a:prstGeom>
                          <a:noFill/>
                          <a:ln>
                            <a:noFill/>
                          </a:ln>
                        </pic:spPr>
                      </pic:pic>
                    </a:graphicData>
                  </a:graphic>
                </wp:anchor>
              </w:drawing>
            </w:r>
          </w:p>
        </w:tc>
      </w:tr>
      <w:tr w14:paraId="4F6C4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3227CE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56</w:t>
            </w:r>
          </w:p>
        </w:tc>
        <w:tc>
          <w:tcPr>
            <w:tcW w:w="1701" w:type="dxa"/>
            <w:tcBorders>
              <w:tl2br w:val="nil"/>
              <w:tr2bl w:val="nil"/>
            </w:tcBorders>
            <w:shd w:val="clear" w:color="auto" w:fill="auto"/>
            <w:vAlign w:val="center"/>
          </w:tcPr>
          <w:p w14:paraId="66F225C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仙人掌书架</w:t>
            </w:r>
          </w:p>
        </w:tc>
        <w:tc>
          <w:tcPr>
            <w:tcW w:w="6813" w:type="dxa"/>
            <w:tcBorders>
              <w:tl2br w:val="nil"/>
              <w:tr2bl w:val="nil"/>
            </w:tcBorders>
            <w:shd w:val="clear" w:color="auto" w:fill="auto"/>
            <w:vAlign w:val="center"/>
          </w:tcPr>
          <w:p w14:paraId="0B70E5F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规格：L100xW44xH80cm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（1）仙人掌元素造型，底部收纳格设计，兼具装饰与收纳功能，能与其他柜体组合搭配使用。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（2）书架与座位一体，方便幼儿阅读，提高专注度。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（1）书架：采用厚度厚度15mm的桦木纹饰面环保橡胶木拼板，左侧板采用厚度18mm的环保实木多层。书架共三层，内空长:558mm,内空宽：52mm；底板收纳空间：558x297x116mm。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右侧为休闲储存空间，顶部为仙人掌造型，座板靠背均设置回高度弹性强海绵的填充物外加环保海蓝色麻面布艺装饰，厚度均为30mm，软坐垫面积400x300mm,靠背面积400x250mm。使用4条魔术贴能轻松拆卸清洗。坐柜下层为1格收纳空间，内空尺寸：385x280x230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（3）围脚：围脚高度60mm；柜子底部安装塑料脚垫，高度为H10mm，直径17mm软性防滑。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p>
        </w:tc>
        <w:tc>
          <w:tcPr>
            <w:tcW w:w="1999" w:type="dxa"/>
            <w:tcBorders>
              <w:tl2br w:val="nil"/>
              <w:tr2bl w:val="nil"/>
            </w:tcBorders>
            <w:shd w:val="clear" w:color="auto" w:fill="auto"/>
            <w:vAlign w:val="center"/>
          </w:tcPr>
          <w:p w14:paraId="227F6AA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171450</wp:posOffset>
                  </wp:positionH>
                  <wp:positionV relativeFrom="paragraph">
                    <wp:posOffset>34925</wp:posOffset>
                  </wp:positionV>
                  <wp:extent cx="825500" cy="607060"/>
                  <wp:effectExtent l="0" t="0" r="0" b="2540"/>
                  <wp:wrapNone/>
                  <wp:docPr id="203" name="图片_3"/>
                  <wp:cNvGraphicFramePr/>
                  <a:graphic xmlns:a="http://schemas.openxmlformats.org/drawingml/2006/main">
                    <a:graphicData uri="http://schemas.openxmlformats.org/drawingml/2006/picture">
                      <pic:pic xmlns:pic="http://schemas.openxmlformats.org/drawingml/2006/picture">
                        <pic:nvPicPr>
                          <pic:cNvPr id="203" name="图片_3"/>
                          <pic:cNvPicPr/>
                        </pic:nvPicPr>
                        <pic:blipFill>
                          <a:blip r:embed="rId68"/>
                          <a:stretch>
                            <a:fillRect/>
                          </a:stretch>
                        </pic:blipFill>
                        <pic:spPr>
                          <a:xfrm>
                            <a:off x="0" y="0"/>
                            <a:ext cx="825500" cy="607060"/>
                          </a:xfrm>
                          <a:prstGeom prst="rect">
                            <a:avLst/>
                          </a:prstGeom>
                          <a:noFill/>
                          <a:ln>
                            <a:noFill/>
                          </a:ln>
                        </pic:spPr>
                      </pic:pic>
                    </a:graphicData>
                  </a:graphic>
                </wp:anchor>
              </w:drawing>
            </w:r>
          </w:p>
        </w:tc>
      </w:tr>
      <w:tr w14:paraId="79A24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07BAD8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57</w:t>
            </w:r>
          </w:p>
        </w:tc>
        <w:tc>
          <w:tcPr>
            <w:tcW w:w="1701" w:type="dxa"/>
            <w:tcBorders>
              <w:tl2br w:val="nil"/>
              <w:tr2bl w:val="nil"/>
            </w:tcBorders>
            <w:shd w:val="clear" w:color="auto" w:fill="auto"/>
            <w:vAlign w:val="center"/>
          </w:tcPr>
          <w:p w14:paraId="148B52C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原木2层矮柜.可调节.无背板</w:t>
            </w:r>
          </w:p>
        </w:tc>
        <w:tc>
          <w:tcPr>
            <w:tcW w:w="6813" w:type="dxa"/>
            <w:tcBorders>
              <w:tl2br w:val="nil"/>
              <w:tr2bl w:val="nil"/>
            </w:tcBorders>
            <w:shd w:val="clear" w:color="auto" w:fill="auto"/>
            <w:vAlign w:val="center"/>
          </w:tcPr>
          <w:p w14:paraId="2A1A7E4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柜子长度内空：884mm，上下两层，中间一块层板。柜子内侧配环保优质塑料一次成型呈浅咖色长度440mm的活动层板支撑条，内嵌式安装嵌入深度≥4.5mm，固定条凸11mm,灵活安全使用层板，不占用空间，共15个挡位、每挡28mm，可实现层板自选放置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0A901C7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190500</wp:posOffset>
                  </wp:positionH>
                  <wp:positionV relativeFrom="paragraph">
                    <wp:posOffset>20320</wp:posOffset>
                  </wp:positionV>
                  <wp:extent cx="858520" cy="683895"/>
                  <wp:effectExtent l="0" t="0" r="5080" b="1905"/>
                  <wp:wrapNone/>
                  <wp:docPr id="204" name="ID_4E4EFDD78D0E4B2689FCAFFD1985378C"/>
                  <wp:cNvGraphicFramePr/>
                  <a:graphic xmlns:a="http://schemas.openxmlformats.org/drawingml/2006/main">
                    <a:graphicData uri="http://schemas.openxmlformats.org/drawingml/2006/picture">
                      <pic:pic xmlns:pic="http://schemas.openxmlformats.org/drawingml/2006/picture">
                        <pic:nvPicPr>
                          <pic:cNvPr id="204" name="ID_4E4EFDD78D0E4B2689FCAFFD1985378C"/>
                          <pic:cNvPicPr/>
                        </pic:nvPicPr>
                        <pic:blipFill>
                          <a:blip r:embed="rId69"/>
                          <a:stretch>
                            <a:fillRect/>
                          </a:stretch>
                        </pic:blipFill>
                        <pic:spPr>
                          <a:xfrm>
                            <a:off x="0" y="0"/>
                            <a:ext cx="858520" cy="683895"/>
                          </a:xfrm>
                          <a:prstGeom prst="rect">
                            <a:avLst/>
                          </a:prstGeom>
                          <a:noFill/>
                          <a:ln>
                            <a:noFill/>
                          </a:ln>
                        </pic:spPr>
                      </pic:pic>
                    </a:graphicData>
                  </a:graphic>
                </wp:anchor>
              </w:drawing>
            </w:r>
          </w:p>
        </w:tc>
      </w:tr>
      <w:tr w14:paraId="5BEDC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D69865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58</w:t>
            </w:r>
          </w:p>
        </w:tc>
        <w:tc>
          <w:tcPr>
            <w:tcW w:w="1701" w:type="dxa"/>
            <w:tcBorders>
              <w:tl2br w:val="nil"/>
              <w:tr2bl w:val="nil"/>
            </w:tcBorders>
            <w:shd w:val="clear" w:color="auto" w:fill="auto"/>
            <w:vAlign w:val="center"/>
          </w:tcPr>
          <w:p w14:paraId="7F64482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拱形造型柜</w:t>
            </w:r>
          </w:p>
        </w:tc>
        <w:tc>
          <w:tcPr>
            <w:tcW w:w="6813" w:type="dxa"/>
            <w:tcBorders>
              <w:tl2br w:val="nil"/>
              <w:tr2bl w:val="nil"/>
            </w:tcBorders>
            <w:shd w:val="clear" w:color="auto" w:fill="auto"/>
            <w:vAlign w:val="center"/>
          </w:tcPr>
          <w:p w14:paraId="1D6EFAC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规格：L48xW32.4xH141cm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（1）拱形镂空造型设计，兼具装饰与收纳功能。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（3）底格收纳抽斗采用可移动带滑轮设计，便于教玩具的转移与储藏。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顶部装饰板采用厚度12mm的环保实木多层板。顶部为拱形镂空造型，使用圆木棒连接，木棒直径为：φ22mm；拱形造型弧度R246mm；上两层内空尺寸：420x300x270mm；带背板中层内空尺寸：420x280x270mm；侧板镂空尺寸分别为：200x160mm，160x160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（2）柜子底格为移动式收纳抽斗，抽斗内空尺寸：370x249x180mm，抽斗底部安装4个1.5寸静音万向脚轮，脚轮运行平稳无声，可360°旋转，转动顺滑。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（6）油墨：采用环保水性油墨，颜色饱满，无毒无异味。</w:t>
            </w:r>
          </w:p>
        </w:tc>
        <w:tc>
          <w:tcPr>
            <w:tcW w:w="1999" w:type="dxa"/>
            <w:tcBorders>
              <w:tl2br w:val="nil"/>
              <w:tr2bl w:val="nil"/>
            </w:tcBorders>
            <w:shd w:val="clear" w:color="auto" w:fill="auto"/>
            <w:vAlign w:val="center"/>
          </w:tcPr>
          <w:p w14:paraId="36D7479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480695</wp:posOffset>
                  </wp:positionH>
                  <wp:positionV relativeFrom="paragraph">
                    <wp:posOffset>20955</wp:posOffset>
                  </wp:positionV>
                  <wp:extent cx="278765" cy="683260"/>
                  <wp:effectExtent l="0" t="0" r="635" b="2540"/>
                  <wp:wrapNone/>
                  <wp:docPr id="205" name="ID_FAFE639264F04C74AB78EC0991F36FFD"/>
                  <wp:cNvGraphicFramePr/>
                  <a:graphic xmlns:a="http://schemas.openxmlformats.org/drawingml/2006/main">
                    <a:graphicData uri="http://schemas.openxmlformats.org/drawingml/2006/picture">
                      <pic:pic xmlns:pic="http://schemas.openxmlformats.org/drawingml/2006/picture">
                        <pic:nvPicPr>
                          <pic:cNvPr id="205" name="ID_FAFE639264F04C74AB78EC0991F36FFD"/>
                          <pic:cNvPicPr/>
                        </pic:nvPicPr>
                        <pic:blipFill>
                          <a:blip r:embed="rId70"/>
                          <a:stretch>
                            <a:fillRect/>
                          </a:stretch>
                        </pic:blipFill>
                        <pic:spPr>
                          <a:xfrm>
                            <a:off x="0" y="0"/>
                            <a:ext cx="278765" cy="683260"/>
                          </a:xfrm>
                          <a:prstGeom prst="rect">
                            <a:avLst/>
                          </a:prstGeom>
                          <a:noFill/>
                          <a:ln>
                            <a:noFill/>
                          </a:ln>
                        </pic:spPr>
                      </pic:pic>
                    </a:graphicData>
                  </a:graphic>
                </wp:anchor>
              </w:drawing>
            </w:r>
          </w:p>
        </w:tc>
      </w:tr>
      <w:tr w14:paraId="0D772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2DE8B8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59</w:t>
            </w:r>
          </w:p>
        </w:tc>
        <w:tc>
          <w:tcPr>
            <w:tcW w:w="1701" w:type="dxa"/>
            <w:tcBorders>
              <w:tl2br w:val="nil"/>
              <w:tr2bl w:val="nil"/>
            </w:tcBorders>
            <w:shd w:val="clear" w:color="auto" w:fill="auto"/>
            <w:vAlign w:val="center"/>
          </w:tcPr>
          <w:p w14:paraId="02CCD34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互动婴儿床</w:t>
            </w:r>
          </w:p>
        </w:tc>
        <w:tc>
          <w:tcPr>
            <w:tcW w:w="6813" w:type="dxa"/>
            <w:tcBorders>
              <w:tl2br w:val="nil"/>
              <w:tr2bl w:val="nil"/>
            </w:tcBorders>
            <w:shd w:val="clear" w:color="auto" w:fill="auto"/>
            <w:vAlign w:val="center"/>
          </w:tcPr>
          <w:p w14:paraId="6B66801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规格：L60xW40xH53.5cm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（1）床边镂空圆孔设计，增强互动性。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（1）采用厚度15mm的桦木纹饰面环保橡胶木拼板。床内空尺寸为：570x360x135mm；床边6个镂空圆形，圆孔直径为：φ75mm。床头床尾下方为拱形设计，内弧R150mm。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（2）床脚使用环保塑料脚套包裹，尺寸为36.5x22.5x44mm(±2mm)。加厚耐磨，防滑不易脱落。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999" w:type="dxa"/>
            <w:tcBorders>
              <w:tl2br w:val="nil"/>
              <w:tr2bl w:val="nil"/>
            </w:tcBorders>
            <w:shd w:val="clear" w:color="auto" w:fill="auto"/>
            <w:vAlign w:val="center"/>
          </w:tcPr>
          <w:p w14:paraId="2467243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255270</wp:posOffset>
                  </wp:positionH>
                  <wp:positionV relativeFrom="paragraph">
                    <wp:posOffset>20320</wp:posOffset>
                  </wp:positionV>
                  <wp:extent cx="728980" cy="683260"/>
                  <wp:effectExtent l="0" t="0" r="7620" b="2540"/>
                  <wp:wrapNone/>
                  <wp:docPr id="206" name="ID_C140C6DF7970436CBD3469D3B7EC483A"/>
                  <wp:cNvGraphicFramePr/>
                  <a:graphic xmlns:a="http://schemas.openxmlformats.org/drawingml/2006/main">
                    <a:graphicData uri="http://schemas.openxmlformats.org/drawingml/2006/picture">
                      <pic:pic xmlns:pic="http://schemas.openxmlformats.org/drawingml/2006/picture">
                        <pic:nvPicPr>
                          <pic:cNvPr id="206" name="ID_C140C6DF7970436CBD3469D3B7EC483A"/>
                          <pic:cNvPicPr/>
                        </pic:nvPicPr>
                        <pic:blipFill>
                          <a:blip r:embed="rId71"/>
                          <a:stretch>
                            <a:fillRect/>
                          </a:stretch>
                        </pic:blipFill>
                        <pic:spPr>
                          <a:xfrm>
                            <a:off x="0" y="0"/>
                            <a:ext cx="728980" cy="683260"/>
                          </a:xfrm>
                          <a:prstGeom prst="rect">
                            <a:avLst/>
                          </a:prstGeom>
                          <a:noFill/>
                          <a:ln>
                            <a:noFill/>
                          </a:ln>
                        </pic:spPr>
                      </pic:pic>
                    </a:graphicData>
                  </a:graphic>
                </wp:anchor>
              </w:drawing>
            </w:r>
          </w:p>
        </w:tc>
      </w:tr>
      <w:tr w14:paraId="56E19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3D58E3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w:t>
            </w:r>
          </w:p>
        </w:tc>
        <w:tc>
          <w:tcPr>
            <w:tcW w:w="1701" w:type="dxa"/>
            <w:tcBorders>
              <w:tl2br w:val="nil"/>
              <w:tr2bl w:val="nil"/>
            </w:tcBorders>
            <w:shd w:val="clear" w:color="auto" w:fill="auto"/>
            <w:vAlign w:val="center"/>
          </w:tcPr>
          <w:p w14:paraId="62FB9A7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原木2层90°转角矮柜</w:t>
            </w:r>
          </w:p>
        </w:tc>
        <w:tc>
          <w:tcPr>
            <w:tcW w:w="6813" w:type="dxa"/>
            <w:tcBorders>
              <w:tl2br w:val="nil"/>
              <w:tr2bl w:val="nil"/>
            </w:tcBorders>
            <w:shd w:val="clear" w:color="auto" w:fill="auto"/>
            <w:vAlign w:val="center"/>
          </w:tcPr>
          <w:p w14:paraId="1B8AFB4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规格：L30xW30xH59cm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（1）90°转角设计，可搭配区角使用作转角连接。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（1）柜体：采用16mm的环保橡胶木拼板。全背板2层矮柜，上下内空高度为236mm，柜体呈90°转角。可搭配L25xW25xH15cm的三角藤编教具篮，实用性更强。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619F509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383540</wp:posOffset>
                  </wp:positionH>
                  <wp:positionV relativeFrom="paragraph">
                    <wp:posOffset>20320</wp:posOffset>
                  </wp:positionV>
                  <wp:extent cx="473075" cy="683260"/>
                  <wp:effectExtent l="0" t="0" r="9525" b="2540"/>
                  <wp:wrapNone/>
                  <wp:docPr id="207" name="ID_562D186FC41A4891B8F508A7824AE73D"/>
                  <wp:cNvGraphicFramePr/>
                  <a:graphic xmlns:a="http://schemas.openxmlformats.org/drawingml/2006/main">
                    <a:graphicData uri="http://schemas.openxmlformats.org/drawingml/2006/picture">
                      <pic:pic xmlns:pic="http://schemas.openxmlformats.org/drawingml/2006/picture">
                        <pic:nvPicPr>
                          <pic:cNvPr id="207" name="ID_562D186FC41A4891B8F508A7824AE73D"/>
                          <pic:cNvPicPr/>
                        </pic:nvPicPr>
                        <pic:blipFill>
                          <a:blip r:embed="rId72"/>
                          <a:stretch>
                            <a:fillRect/>
                          </a:stretch>
                        </pic:blipFill>
                        <pic:spPr>
                          <a:xfrm>
                            <a:off x="0" y="0"/>
                            <a:ext cx="473075" cy="683260"/>
                          </a:xfrm>
                          <a:prstGeom prst="rect">
                            <a:avLst/>
                          </a:prstGeom>
                          <a:noFill/>
                          <a:ln>
                            <a:noFill/>
                          </a:ln>
                        </pic:spPr>
                      </pic:pic>
                    </a:graphicData>
                  </a:graphic>
                </wp:anchor>
              </w:drawing>
            </w:r>
          </w:p>
        </w:tc>
      </w:tr>
      <w:tr w14:paraId="53A00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720059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61</w:t>
            </w:r>
          </w:p>
        </w:tc>
        <w:tc>
          <w:tcPr>
            <w:tcW w:w="1701" w:type="dxa"/>
            <w:tcBorders>
              <w:tl2br w:val="nil"/>
              <w:tr2bl w:val="nil"/>
            </w:tcBorders>
            <w:shd w:val="clear" w:color="auto" w:fill="auto"/>
            <w:vAlign w:val="center"/>
          </w:tcPr>
          <w:p w14:paraId="361C89D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洞洞拱形门</w:t>
            </w:r>
          </w:p>
        </w:tc>
        <w:tc>
          <w:tcPr>
            <w:tcW w:w="6813" w:type="dxa"/>
            <w:tcBorders>
              <w:tl2br w:val="nil"/>
              <w:tr2bl w:val="nil"/>
            </w:tcBorders>
            <w:shd w:val="clear" w:color="auto" w:fill="auto"/>
            <w:vAlign w:val="center"/>
          </w:tcPr>
          <w:p w14:paraId="5F8DE22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规格：L85xW8xH138cm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（1）整体拱形造型设计，几何线条清晰，易于搭配其他产品进行环创。</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（1）立柱板采用厚度24mm的环保实木多层板，顶造型板采用厚度18mm的环保实木多层板。拱门内空宽度：800mm，顶部造型板共7个圆孔镂空，直径为30mm，可悬挂装饰物件。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359A709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367665</wp:posOffset>
                  </wp:positionH>
                  <wp:positionV relativeFrom="paragraph">
                    <wp:posOffset>20320</wp:posOffset>
                  </wp:positionV>
                  <wp:extent cx="504825" cy="683895"/>
                  <wp:effectExtent l="0" t="0" r="3175" b="1905"/>
                  <wp:wrapNone/>
                  <wp:docPr id="208" name="ID_ADB0756125604EDE9E2250D9CCC377AF"/>
                  <wp:cNvGraphicFramePr/>
                  <a:graphic xmlns:a="http://schemas.openxmlformats.org/drawingml/2006/main">
                    <a:graphicData uri="http://schemas.openxmlformats.org/drawingml/2006/picture">
                      <pic:pic xmlns:pic="http://schemas.openxmlformats.org/drawingml/2006/picture">
                        <pic:nvPicPr>
                          <pic:cNvPr id="208" name="ID_ADB0756125604EDE9E2250D9CCC377AF"/>
                          <pic:cNvPicPr/>
                        </pic:nvPicPr>
                        <pic:blipFill>
                          <a:blip r:embed="rId73"/>
                          <a:stretch>
                            <a:fillRect/>
                          </a:stretch>
                        </pic:blipFill>
                        <pic:spPr>
                          <a:xfrm>
                            <a:off x="0" y="0"/>
                            <a:ext cx="504825" cy="683895"/>
                          </a:xfrm>
                          <a:prstGeom prst="rect">
                            <a:avLst/>
                          </a:prstGeom>
                          <a:noFill/>
                          <a:ln>
                            <a:noFill/>
                          </a:ln>
                        </pic:spPr>
                      </pic:pic>
                    </a:graphicData>
                  </a:graphic>
                </wp:anchor>
              </w:drawing>
            </w:r>
          </w:p>
        </w:tc>
      </w:tr>
      <w:tr w14:paraId="420EC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87505B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62</w:t>
            </w:r>
          </w:p>
        </w:tc>
        <w:tc>
          <w:tcPr>
            <w:tcW w:w="1701" w:type="dxa"/>
            <w:tcBorders>
              <w:tl2br w:val="nil"/>
              <w:tr2bl w:val="nil"/>
            </w:tcBorders>
            <w:shd w:val="clear" w:color="auto" w:fill="auto"/>
            <w:vAlign w:val="center"/>
          </w:tcPr>
          <w:p w14:paraId="3491447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原木2层45°弧形矮柜</w:t>
            </w:r>
          </w:p>
        </w:tc>
        <w:tc>
          <w:tcPr>
            <w:tcW w:w="6813" w:type="dxa"/>
            <w:tcBorders>
              <w:tl2br w:val="nil"/>
              <w:tr2bl w:val="nil"/>
            </w:tcBorders>
            <w:shd w:val="clear" w:color="auto" w:fill="auto"/>
            <w:vAlign w:val="center"/>
          </w:tcPr>
          <w:p w14:paraId="3CCD9B9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规格：L60xW33xH59cm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（1）45°弧形设计，可搭配区角使用作转角连接。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（1）柜体：采用16mm的环保橡胶木拼板。通透2层矮柜，上下内空高度为236mm，柜体呈45°弧形。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7230AA2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283210</wp:posOffset>
                  </wp:positionH>
                  <wp:positionV relativeFrom="paragraph">
                    <wp:posOffset>20320</wp:posOffset>
                  </wp:positionV>
                  <wp:extent cx="673735" cy="683260"/>
                  <wp:effectExtent l="0" t="0" r="12065" b="2540"/>
                  <wp:wrapNone/>
                  <wp:docPr id="209" name="ID_5BB2F5221EAB44A9BD69B40E7467A8E4"/>
                  <wp:cNvGraphicFramePr/>
                  <a:graphic xmlns:a="http://schemas.openxmlformats.org/drawingml/2006/main">
                    <a:graphicData uri="http://schemas.openxmlformats.org/drawingml/2006/picture">
                      <pic:pic xmlns:pic="http://schemas.openxmlformats.org/drawingml/2006/picture">
                        <pic:nvPicPr>
                          <pic:cNvPr id="209" name="ID_5BB2F5221EAB44A9BD69B40E7467A8E4"/>
                          <pic:cNvPicPr/>
                        </pic:nvPicPr>
                        <pic:blipFill>
                          <a:blip r:embed="rId74"/>
                          <a:stretch>
                            <a:fillRect/>
                          </a:stretch>
                        </pic:blipFill>
                        <pic:spPr>
                          <a:xfrm>
                            <a:off x="0" y="0"/>
                            <a:ext cx="673735" cy="683260"/>
                          </a:xfrm>
                          <a:prstGeom prst="rect">
                            <a:avLst/>
                          </a:prstGeom>
                          <a:noFill/>
                          <a:ln>
                            <a:noFill/>
                          </a:ln>
                        </pic:spPr>
                      </pic:pic>
                    </a:graphicData>
                  </a:graphic>
                </wp:anchor>
              </w:drawing>
            </w:r>
          </w:p>
        </w:tc>
      </w:tr>
      <w:tr w14:paraId="5D2FE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8E560C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63</w:t>
            </w:r>
          </w:p>
        </w:tc>
        <w:tc>
          <w:tcPr>
            <w:tcW w:w="1701" w:type="dxa"/>
            <w:tcBorders>
              <w:tl2br w:val="nil"/>
              <w:tr2bl w:val="nil"/>
            </w:tcBorders>
            <w:shd w:val="clear" w:color="auto" w:fill="auto"/>
            <w:vAlign w:val="center"/>
          </w:tcPr>
          <w:p w14:paraId="4004DBA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简约互动小厨房</w:t>
            </w:r>
          </w:p>
        </w:tc>
        <w:tc>
          <w:tcPr>
            <w:tcW w:w="6813" w:type="dxa"/>
            <w:tcBorders>
              <w:tl2br w:val="nil"/>
              <w:tr2bl w:val="nil"/>
            </w:tcBorders>
            <w:shd w:val="clear" w:color="auto" w:fill="auto"/>
            <w:vAlign w:val="center"/>
          </w:tcPr>
          <w:p w14:paraId="432C603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规格：L93xW30xH86cm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（1）逼真厨房功能设计。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（3）可旋转按钮仿真功能，可视化按键，增强游戏真实体验感。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（1）柜体采用厚度15mm的桦木纹饰面环保橡胶木拼板，部分采用厚度12mm及15mm的环保实木多层板喷涂水性漆，背板采用厚度5mm的饰面环保实木纤维板。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右侧为冰箱造型，独立一扇门，门板内装缓冲铰链，门板外拉手采用深咖色环保塑料一次成型，尺寸L104.5xW32mm，实现门板开合。柜体侧面与操作面板有5个挂钩，挂钩采用环保塑料一次成型单孔挂，尺寸：L32xW18xH17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左侧为一个塑料一次成型呈奶白色的洗手台，尺寸L218xW218xH78mm；搭配3个可旋转的塑料一次成型2合1外直径35mm内直径18mm的旋转调节开关，一个长度70.5mm内径19mm的旋转水龙头；两个φ124mm的仿真灶炉，搭配2个可旋转的塑料一次成型2合1外直径35mm内直径18mm的旋转调节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体面板离地500mm，柜体下方为2个独立开合门，门板内装缓冲铰链，能实现门板开合；2个拉手采用采用深咖色环保塑料一次成型，尺寸L104.5xW32mm。门板中间采用透明亚克力板做卡通图案，门上方有4个可旋转的塑料一次成型2合1外直径35mm内直径18mm的旋转调节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（5）底部安装塑料脚垫，尺寸为Φ17xH10mm，软性防滑。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（8）油墨：采用环保水性油墨，颜色饱满，无毒无异味。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（9）亚克力板：采用厚度5mm的优质透明亚克力板，表面光滑无缺陷，坚硬耐用，高透光性，环保无毒。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（10）塑料板：采用食品级的环保塑料材质。</w:t>
            </w:r>
          </w:p>
        </w:tc>
        <w:tc>
          <w:tcPr>
            <w:tcW w:w="1999" w:type="dxa"/>
            <w:tcBorders>
              <w:tl2br w:val="nil"/>
              <w:tr2bl w:val="nil"/>
            </w:tcBorders>
            <w:shd w:val="clear" w:color="auto" w:fill="auto"/>
            <w:vAlign w:val="center"/>
          </w:tcPr>
          <w:p w14:paraId="466509F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249555</wp:posOffset>
                  </wp:positionH>
                  <wp:positionV relativeFrom="paragraph">
                    <wp:posOffset>20320</wp:posOffset>
                  </wp:positionV>
                  <wp:extent cx="740410" cy="683895"/>
                  <wp:effectExtent l="0" t="0" r="8890" b="1905"/>
                  <wp:wrapNone/>
                  <wp:docPr id="210" name="ID_3F95DBD9E28241DCB7160A27C0C919BA"/>
                  <wp:cNvGraphicFramePr/>
                  <a:graphic xmlns:a="http://schemas.openxmlformats.org/drawingml/2006/main">
                    <a:graphicData uri="http://schemas.openxmlformats.org/drawingml/2006/picture">
                      <pic:pic xmlns:pic="http://schemas.openxmlformats.org/drawingml/2006/picture">
                        <pic:nvPicPr>
                          <pic:cNvPr id="210" name="ID_3F95DBD9E28241DCB7160A27C0C919BA"/>
                          <pic:cNvPicPr/>
                        </pic:nvPicPr>
                        <pic:blipFill>
                          <a:blip r:embed="rId75"/>
                          <a:stretch>
                            <a:fillRect/>
                          </a:stretch>
                        </pic:blipFill>
                        <pic:spPr>
                          <a:xfrm>
                            <a:off x="0" y="0"/>
                            <a:ext cx="740410" cy="683895"/>
                          </a:xfrm>
                          <a:prstGeom prst="rect">
                            <a:avLst/>
                          </a:prstGeom>
                          <a:noFill/>
                          <a:ln>
                            <a:noFill/>
                          </a:ln>
                        </pic:spPr>
                      </pic:pic>
                    </a:graphicData>
                  </a:graphic>
                </wp:anchor>
              </w:drawing>
            </w:r>
          </w:p>
        </w:tc>
      </w:tr>
      <w:tr w14:paraId="52035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16ED76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64</w:t>
            </w:r>
          </w:p>
        </w:tc>
        <w:tc>
          <w:tcPr>
            <w:tcW w:w="1701" w:type="dxa"/>
            <w:tcBorders>
              <w:tl2br w:val="nil"/>
              <w:tr2bl w:val="nil"/>
            </w:tcBorders>
            <w:shd w:val="clear" w:color="auto" w:fill="auto"/>
            <w:vAlign w:val="center"/>
          </w:tcPr>
          <w:p w14:paraId="725E8F9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互动化妆台</w:t>
            </w:r>
          </w:p>
        </w:tc>
        <w:tc>
          <w:tcPr>
            <w:tcW w:w="6813" w:type="dxa"/>
            <w:tcBorders>
              <w:tl2br w:val="nil"/>
              <w:tr2bl w:val="nil"/>
            </w:tcBorders>
            <w:shd w:val="clear" w:color="auto" w:fill="auto"/>
            <w:vAlign w:val="center"/>
          </w:tcPr>
          <w:p w14:paraId="658BB60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桌:L79xW37xH91cm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椅:L36xW24xH26cm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（1）逼真梳妆台造型设计，搭配梳妆椅与亚克力镜子，能适用游戏场景下使用，提高趣味性。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（3）所有螺丝位无毛刺不刮手，四角及边沿采用圆角/圆边处理以及安全防撞设计，不易倾倒。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12mm及18mm的环保优质实木多层板，抽屉盒底板采用厚度5mm桦木纹饰面实木纤维板。化妆台镜子采用亚克力镜面板材质，安全防摔，清晰度高，亚克力镜子尺寸为310x340mm，台面离地高度：520mm，抽屉内空：197x236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搭配1张梳妆椅，面板贴黑色防火板，可使用粉笔进行擦写；椅脚采用一体成型的可弯板；脚顶部折弯外弧半径为R=45mm，椅脚侧向倾角12°，侧向底部支撑脚内空为230mm；椅脚横向倾角5°，横向底部支撑脚内空为240mm，呈八字支撑增加承重力。椅脚使用环保塑料脚套包裹，尺寸为36.5x22.5x44mm(±2mm)，加厚耐磨，防滑不易脱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（4）油墨：采用环保水性油墨，颜色饱满。</w:t>
            </w:r>
          </w:p>
        </w:tc>
        <w:tc>
          <w:tcPr>
            <w:tcW w:w="1999" w:type="dxa"/>
            <w:tcBorders>
              <w:tl2br w:val="nil"/>
              <w:tr2bl w:val="nil"/>
            </w:tcBorders>
            <w:shd w:val="clear" w:color="auto" w:fill="auto"/>
            <w:vAlign w:val="center"/>
          </w:tcPr>
          <w:p w14:paraId="3313EF0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328295</wp:posOffset>
                  </wp:positionH>
                  <wp:positionV relativeFrom="paragraph">
                    <wp:posOffset>20320</wp:posOffset>
                  </wp:positionV>
                  <wp:extent cx="582930" cy="683260"/>
                  <wp:effectExtent l="0" t="0" r="1270" b="2540"/>
                  <wp:wrapNone/>
                  <wp:docPr id="211" name="ID_850D36B764D54465B621E96BFC1696D7"/>
                  <wp:cNvGraphicFramePr/>
                  <a:graphic xmlns:a="http://schemas.openxmlformats.org/drawingml/2006/main">
                    <a:graphicData uri="http://schemas.openxmlformats.org/drawingml/2006/picture">
                      <pic:pic xmlns:pic="http://schemas.openxmlformats.org/drawingml/2006/picture">
                        <pic:nvPicPr>
                          <pic:cNvPr id="211" name="ID_850D36B764D54465B621E96BFC1696D7"/>
                          <pic:cNvPicPr/>
                        </pic:nvPicPr>
                        <pic:blipFill>
                          <a:blip r:embed="rId76"/>
                          <a:stretch>
                            <a:fillRect/>
                          </a:stretch>
                        </pic:blipFill>
                        <pic:spPr>
                          <a:xfrm>
                            <a:off x="0" y="0"/>
                            <a:ext cx="582930" cy="683260"/>
                          </a:xfrm>
                          <a:prstGeom prst="rect">
                            <a:avLst/>
                          </a:prstGeom>
                          <a:noFill/>
                          <a:ln>
                            <a:noFill/>
                          </a:ln>
                        </pic:spPr>
                      </pic:pic>
                    </a:graphicData>
                  </a:graphic>
                </wp:anchor>
              </w:drawing>
            </w:r>
          </w:p>
        </w:tc>
      </w:tr>
      <w:tr w14:paraId="25DA3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EC5ED8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65</w:t>
            </w:r>
          </w:p>
        </w:tc>
        <w:tc>
          <w:tcPr>
            <w:tcW w:w="1701" w:type="dxa"/>
            <w:tcBorders>
              <w:tl2br w:val="nil"/>
              <w:tr2bl w:val="nil"/>
            </w:tcBorders>
            <w:shd w:val="clear" w:color="auto" w:fill="auto"/>
            <w:vAlign w:val="center"/>
          </w:tcPr>
          <w:p w14:paraId="6E081E6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移动水杯水桶收纳柜</w:t>
            </w:r>
          </w:p>
        </w:tc>
        <w:tc>
          <w:tcPr>
            <w:tcW w:w="6813" w:type="dxa"/>
            <w:tcBorders>
              <w:tl2br w:val="nil"/>
              <w:tr2bl w:val="nil"/>
            </w:tcBorders>
            <w:shd w:val="clear" w:color="auto" w:fill="auto"/>
            <w:vAlign w:val="center"/>
          </w:tcPr>
          <w:p w14:paraId="219BE3E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规格：L70xW46xH95cm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（1）侧板水滴镂空造型设计，视觉上提醒幼儿注意喝水，能适用多场景下使用，提高趣味性。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（2）同时兼具水桶与水杯收纳，带轮移动，使用便捷方便。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15mm的桦木纹饰面环保橡胶木拼板，杯架采用厚度9mm的环保实木多层板。柜体左右侧为杯架，每边20格共40格，杯架单格内空：98x110mm与98x114mm；杯架门板安装了防蚊虫不锈钢纱网，门板均采用优质缓冲铰链连接安装，实现自由开合，门板配置一个深咖色环保塑料一次成型尺寸：L104.5xW32mm拉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（2）柜体底部安装4个1.5寸静音带刹车万向脚轮，脚轮运行平稳无声，可360°旋转，转动顺滑。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p>
        </w:tc>
        <w:tc>
          <w:tcPr>
            <w:tcW w:w="1999" w:type="dxa"/>
            <w:tcBorders>
              <w:tl2br w:val="nil"/>
              <w:tr2bl w:val="nil"/>
            </w:tcBorders>
            <w:shd w:val="clear" w:color="auto" w:fill="auto"/>
            <w:vAlign w:val="center"/>
          </w:tcPr>
          <w:p w14:paraId="7C50AE0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334010</wp:posOffset>
                  </wp:positionH>
                  <wp:positionV relativeFrom="paragraph">
                    <wp:posOffset>172085</wp:posOffset>
                  </wp:positionV>
                  <wp:extent cx="552450" cy="683260"/>
                  <wp:effectExtent l="0" t="0" r="6350" b="2540"/>
                  <wp:wrapNone/>
                  <wp:docPr id="212" name="ID_C048F98F33D2456BB23E8C6602DC7900"/>
                  <wp:cNvGraphicFramePr/>
                  <a:graphic xmlns:a="http://schemas.openxmlformats.org/drawingml/2006/main">
                    <a:graphicData uri="http://schemas.openxmlformats.org/drawingml/2006/picture">
                      <pic:pic xmlns:pic="http://schemas.openxmlformats.org/drawingml/2006/picture">
                        <pic:nvPicPr>
                          <pic:cNvPr id="212" name="ID_C048F98F33D2456BB23E8C6602DC7900"/>
                          <pic:cNvPicPr/>
                        </pic:nvPicPr>
                        <pic:blipFill>
                          <a:blip r:embed="rId77"/>
                          <a:stretch>
                            <a:fillRect/>
                          </a:stretch>
                        </pic:blipFill>
                        <pic:spPr>
                          <a:xfrm>
                            <a:off x="0" y="0"/>
                            <a:ext cx="552450" cy="683260"/>
                          </a:xfrm>
                          <a:prstGeom prst="rect">
                            <a:avLst/>
                          </a:prstGeom>
                          <a:noFill/>
                          <a:ln>
                            <a:noFill/>
                          </a:ln>
                        </pic:spPr>
                      </pic:pic>
                    </a:graphicData>
                  </a:graphic>
                </wp:anchor>
              </w:drawing>
            </w:r>
          </w:p>
        </w:tc>
      </w:tr>
      <w:tr w14:paraId="1F02F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16EBA4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66</w:t>
            </w:r>
          </w:p>
        </w:tc>
        <w:tc>
          <w:tcPr>
            <w:tcW w:w="1701" w:type="dxa"/>
            <w:tcBorders>
              <w:tl2br w:val="nil"/>
              <w:tr2bl w:val="nil"/>
            </w:tcBorders>
            <w:shd w:val="clear" w:color="auto" w:fill="auto"/>
            <w:vAlign w:val="center"/>
          </w:tcPr>
          <w:p w14:paraId="33DEE4B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清新小家三层六人推拉床</w:t>
            </w:r>
          </w:p>
        </w:tc>
        <w:tc>
          <w:tcPr>
            <w:tcW w:w="6813" w:type="dxa"/>
            <w:tcBorders>
              <w:tl2br w:val="nil"/>
              <w:tr2bl w:val="nil"/>
            </w:tcBorders>
            <w:shd w:val="clear" w:color="auto" w:fill="auto"/>
            <w:vAlign w:val="center"/>
          </w:tcPr>
          <w:p w14:paraId="4C05759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规格：L146xW136xH69.5cm（含轮）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（1）可推拉三层六人床功能设计，占地空间少，便于移动收纳；每层带不锈钢插销，保证床在使用过程中保持稳定。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（2）清新树叶、窗户图案，采用美工机喷绘工艺，搭配优质油墨，图案附着力好，生动立体不易褪色。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（3）支持双侧面楼梯、正面床体两种方式上床。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边框采用厚度18mm的桦木纹饰面环保橡胶木拼板，床板采用厚度9mm的白色饰面环保实木多层板；支柱采用桦木原木，尺寸为45x45mm，材质厚实坚固，纹理均匀细致。包含上中下3层，每层2张床左右对称，床内空尺寸：长度均为1340mm,宽度从下往上依次为540/590/640mm；每张床板6个φ25mm透气孔，床板两段拼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（2）扶手下方做爬梯镂空设计，每层扶手与中间木隔断最高段高度：195mm，最矮段高度：110mm。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（3）床支柱大小：45x45mm；支柱高度（含轮）：从下往上284/490/695mm。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（4）推拉床完全展开占地面积约5.7平方米，合拢占地面积约1.9平方米；中层与下层的床底部安装6个1.5寸TPR静音脚轮，脚轮运行平稳无声，万向与定向，带刹与不带刹相结合，运转更加顺畅。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（7）油墨：采用环保水性油墨，颜色饱满，无毒无异味。</w:t>
            </w:r>
          </w:p>
        </w:tc>
        <w:tc>
          <w:tcPr>
            <w:tcW w:w="1999" w:type="dxa"/>
            <w:tcBorders>
              <w:tl2br w:val="nil"/>
              <w:tr2bl w:val="nil"/>
            </w:tcBorders>
            <w:shd w:val="clear" w:color="auto" w:fill="auto"/>
            <w:vAlign w:val="center"/>
          </w:tcPr>
          <w:p w14:paraId="16B5D2B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92075</wp:posOffset>
                  </wp:positionH>
                  <wp:positionV relativeFrom="paragraph">
                    <wp:posOffset>541020</wp:posOffset>
                  </wp:positionV>
                  <wp:extent cx="1091565" cy="654050"/>
                  <wp:effectExtent l="0" t="0" r="635" b="6350"/>
                  <wp:wrapNone/>
                  <wp:docPr id="213" name="ID_1CBB36A1931E434E81D94E6F87521DFF"/>
                  <wp:cNvGraphicFramePr/>
                  <a:graphic xmlns:a="http://schemas.openxmlformats.org/drawingml/2006/main">
                    <a:graphicData uri="http://schemas.openxmlformats.org/drawingml/2006/picture">
                      <pic:pic xmlns:pic="http://schemas.openxmlformats.org/drawingml/2006/picture">
                        <pic:nvPicPr>
                          <pic:cNvPr id="213" name="ID_1CBB36A1931E434E81D94E6F87521DFF"/>
                          <pic:cNvPicPr/>
                        </pic:nvPicPr>
                        <pic:blipFill>
                          <a:blip r:embed="rId78"/>
                          <a:stretch>
                            <a:fillRect/>
                          </a:stretch>
                        </pic:blipFill>
                        <pic:spPr>
                          <a:xfrm>
                            <a:off x="0" y="0"/>
                            <a:ext cx="1091565" cy="654050"/>
                          </a:xfrm>
                          <a:prstGeom prst="rect">
                            <a:avLst/>
                          </a:prstGeom>
                          <a:noFill/>
                          <a:ln>
                            <a:noFill/>
                          </a:ln>
                        </pic:spPr>
                      </pic:pic>
                    </a:graphicData>
                  </a:graphic>
                </wp:anchor>
              </w:drawing>
            </w:r>
          </w:p>
        </w:tc>
      </w:tr>
      <w:tr w14:paraId="2149F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307300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67</w:t>
            </w:r>
          </w:p>
        </w:tc>
        <w:tc>
          <w:tcPr>
            <w:tcW w:w="1701" w:type="dxa"/>
            <w:tcBorders>
              <w:tl2br w:val="nil"/>
              <w:tr2bl w:val="nil"/>
            </w:tcBorders>
            <w:shd w:val="clear" w:color="auto" w:fill="auto"/>
            <w:vAlign w:val="center"/>
          </w:tcPr>
          <w:p w14:paraId="7BC05CD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原木6人桌.52cm</w:t>
            </w:r>
          </w:p>
        </w:tc>
        <w:tc>
          <w:tcPr>
            <w:tcW w:w="6813" w:type="dxa"/>
            <w:tcBorders>
              <w:tl2br w:val="nil"/>
              <w:tr2bl w:val="nil"/>
            </w:tcBorders>
            <w:shd w:val="clear" w:color="auto" w:fill="auto"/>
            <w:vAlign w:val="center"/>
          </w:tcPr>
          <w:p w14:paraId="7AE6DE6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规格：L120xW60xH52cm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（1）采用立水工艺，结构支撑性强，防止桌面下沉。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（1）桌面：采用厚度30mm的优质橡胶木拼板搭配防火板贴面加工而成，耐刮耐磨，长时间使用不褪色、不容易开裂；长立水尺寸：L1062xW60xH18mm，短立水尺寸：L462xW60xH18mm。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（2）桌脚：采橡胶木实木，厚实纹路清晰，尺寸为48x48mm，边沿均采用圆边处理（外侧边R25mm,其他三边R10mm）；底部安装塑料脚垫，软性防滑。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（3）产品整体采用环保的水性漆，全封闭涂装工艺，漆面光泽高透，颜色均匀，附着能力强，通透度高。桌面封边采用环保的水性木蜡油封边，成分天然，分子机构细小，成膜牢固，密封性好。</w:t>
            </w:r>
          </w:p>
        </w:tc>
        <w:tc>
          <w:tcPr>
            <w:tcW w:w="1999" w:type="dxa"/>
            <w:tcBorders>
              <w:tl2br w:val="nil"/>
              <w:tr2bl w:val="nil"/>
            </w:tcBorders>
            <w:shd w:val="clear" w:color="auto" w:fill="auto"/>
            <w:vAlign w:val="center"/>
          </w:tcPr>
          <w:p w14:paraId="50B74EB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76200</wp:posOffset>
                  </wp:positionH>
                  <wp:positionV relativeFrom="paragraph">
                    <wp:posOffset>20320</wp:posOffset>
                  </wp:positionV>
                  <wp:extent cx="1087755" cy="683260"/>
                  <wp:effectExtent l="0" t="0" r="4445" b="2540"/>
                  <wp:wrapNone/>
                  <wp:docPr id="239" name="ID_19E3F6F79AEF4ACDA4B41F9D961C9AB8"/>
                  <wp:cNvGraphicFramePr/>
                  <a:graphic xmlns:a="http://schemas.openxmlformats.org/drawingml/2006/main">
                    <a:graphicData uri="http://schemas.openxmlformats.org/drawingml/2006/picture">
                      <pic:pic xmlns:pic="http://schemas.openxmlformats.org/drawingml/2006/picture">
                        <pic:nvPicPr>
                          <pic:cNvPr id="239" name="ID_19E3F6F79AEF4ACDA4B41F9D961C9AB8"/>
                          <pic:cNvPicPr/>
                        </pic:nvPicPr>
                        <pic:blipFill>
                          <a:blip r:embed="rId53"/>
                          <a:stretch>
                            <a:fillRect/>
                          </a:stretch>
                        </pic:blipFill>
                        <pic:spPr>
                          <a:xfrm>
                            <a:off x="0" y="0"/>
                            <a:ext cx="1087755" cy="683260"/>
                          </a:xfrm>
                          <a:prstGeom prst="rect">
                            <a:avLst/>
                          </a:prstGeom>
                          <a:noFill/>
                          <a:ln>
                            <a:noFill/>
                          </a:ln>
                        </pic:spPr>
                      </pic:pic>
                    </a:graphicData>
                  </a:graphic>
                </wp:anchor>
              </w:drawing>
            </w:r>
          </w:p>
        </w:tc>
      </w:tr>
      <w:tr w14:paraId="2A835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27C62D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68</w:t>
            </w:r>
          </w:p>
        </w:tc>
        <w:tc>
          <w:tcPr>
            <w:tcW w:w="1701" w:type="dxa"/>
            <w:tcBorders>
              <w:tl2br w:val="nil"/>
              <w:tr2bl w:val="nil"/>
            </w:tcBorders>
            <w:shd w:val="clear" w:color="auto" w:fill="auto"/>
            <w:vAlign w:val="center"/>
          </w:tcPr>
          <w:p w14:paraId="3951B12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原木4人桌.52cm</w:t>
            </w:r>
          </w:p>
        </w:tc>
        <w:tc>
          <w:tcPr>
            <w:tcW w:w="6813" w:type="dxa"/>
            <w:tcBorders>
              <w:tl2br w:val="nil"/>
              <w:tr2bl w:val="nil"/>
            </w:tcBorders>
            <w:shd w:val="clear" w:color="auto" w:fill="auto"/>
            <w:vAlign w:val="center"/>
          </w:tcPr>
          <w:p w14:paraId="6922513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规格：L60xW60xH52cm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（1）采用立水工艺，结构支撑性强，防止桌面下沉。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（1）桌面：采用厚度30mm的优质橡胶木拼板搭配防火板贴面加工而成，耐刮耐磨，长时间使用不褪色、不容易开裂；立水尺寸L462xW60xH18mm结构稳固。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（2）桌脚：采橡胶木实木，厚实纹路清晰，尺寸为48x48mm，边沿均采用圆边处理（外侧边R25mm,其他三边R10mm）；底部安装塑料脚垫，软性防滑。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（3）产品整体采用环保的水性漆，全封闭涂装工艺，漆面光泽高透，颜色均匀，附着能力强，通透度高。桌面封边采用环保的水性木蜡油封边，成分天然，分子机构细小，成膜牢固，密封性好。</w:t>
            </w:r>
          </w:p>
        </w:tc>
        <w:tc>
          <w:tcPr>
            <w:tcW w:w="1999" w:type="dxa"/>
            <w:tcBorders>
              <w:tl2br w:val="nil"/>
              <w:tr2bl w:val="nil"/>
            </w:tcBorders>
            <w:shd w:val="clear" w:color="auto" w:fill="auto"/>
            <w:vAlign w:val="center"/>
          </w:tcPr>
          <w:p w14:paraId="1CB24EB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233045</wp:posOffset>
                  </wp:positionH>
                  <wp:positionV relativeFrom="paragraph">
                    <wp:posOffset>20320</wp:posOffset>
                  </wp:positionV>
                  <wp:extent cx="773430" cy="683895"/>
                  <wp:effectExtent l="0" t="0" r="1270" b="1905"/>
                  <wp:wrapNone/>
                  <wp:docPr id="240" name="ID_557322A562294E75B7682F7FB64600D6"/>
                  <wp:cNvGraphicFramePr/>
                  <a:graphic xmlns:a="http://schemas.openxmlformats.org/drawingml/2006/main">
                    <a:graphicData uri="http://schemas.openxmlformats.org/drawingml/2006/picture">
                      <pic:pic xmlns:pic="http://schemas.openxmlformats.org/drawingml/2006/picture">
                        <pic:nvPicPr>
                          <pic:cNvPr id="240" name="ID_557322A562294E75B7682F7FB64600D6"/>
                          <pic:cNvPicPr/>
                        </pic:nvPicPr>
                        <pic:blipFill>
                          <a:blip r:embed="rId54"/>
                          <a:stretch>
                            <a:fillRect/>
                          </a:stretch>
                        </pic:blipFill>
                        <pic:spPr>
                          <a:xfrm>
                            <a:off x="0" y="0"/>
                            <a:ext cx="773430" cy="683895"/>
                          </a:xfrm>
                          <a:prstGeom prst="rect">
                            <a:avLst/>
                          </a:prstGeom>
                          <a:noFill/>
                          <a:ln>
                            <a:noFill/>
                          </a:ln>
                        </pic:spPr>
                      </pic:pic>
                    </a:graphicData>
                  </a:graphic>
                </wp:anchor>
              </w:drawing>
            </w:r>
          </w:p>
        </w:tc>
      </w:tr>
      <w:tr w14:paraId="6E75A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36CF50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69</w:t>
            </w:r>
          </w:p>
        </w:tc>
        <w:tc>
          <w:tcPr>
            <w:tcW w:w="1701" w:type="dxa"/>
            <w:tcBorders>
              <w:tl2br w:val="nil"/>
              <w:tr2bl w:val="nil"/>
            </w:tcBorders>
            <w:shd w:val="clear" w:color="auto" w:fill="auto"/>
            <w:vAlign w:val="center"/>
          </w:tcPr>
          <w:p w14:paraId="12D38B7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原木椅.27cm</w:t>
            </w:r>
          </w:p>
        </w:tc>
        <w:tc>
          <w:tcPr>
            <w:tcW w:w="6813" w:type="dxa"/>
            <w:tcBorders>
              <w:tl2br w:val="nil"/>
              <w:tr2bl w:val="nil"/>
            </w:tcBorders>
            <w:shd w:val="clear" w:color="auto" w:fill="auto"/>
            <w:vAlign w:val="center"/>
          </w:tcPr>
          <w:p w14:paraId="00E6B60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规格：L30xW30xH50cm（座高27cm）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（1）整体为工字框架，使用木梢做榫孔定位加固安装，使用二合一、自攻丝进行连接，组搭安装便捷。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（1）座板：采用厚度12mm的饰面环保实木多层板双贴橡胶木纹皮,座高:270mm；座深:270mm；座宽:290mm。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（2）椅背：采用厚度20mm的环保橡胶木拼板，靠背呈波浪造型，最大高度97mm最小高度79mm,底部横梁尺寸宽35mm，背板加宽，弧形修饰，使坐姿靠背更舒适。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（3）椅脚：椅脚厚度22mm、其余框架厚度18mm的环保橡胶木拼板，底部安装塑料脚垫，高度为H6.5mm，直径19mm,软性防滑。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(4)产品整体采用环保的水性漆，全封闭涂装工艺，漆面光泽高透，颜色均匀，附着能力强，通透度高。座板采用环保的水性木蜡油封边，成分天然，分子机构细小，成膜牢固，密封性好。</w:t>
            </w:r>
          </w:p>
        </w:tc>
        <w:tc>
          <w:tcPr>
            <w:tcW w:w="1999" w:type="dxa"/>
            <w:tcBorders>
              <w:tl2br w:val="nil"/>
              <w:tr2bl w:val="nil"/>
            </w:tcBorders>
            <w:shd w:val="clear" w:color="auto" w:fill="auto"/>
            <w:vAlign w:val="center"/>
          </w:tcPr>
          <w:p w14:paraId="3E3F28D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376555</wp:posOffset>
                  </wp:positionH>
                  <wp:positionV relativeFrom="paragraph">
                    <wp:posOffset>20320</wp:posOffset>
                  </wp:positionV>
                  <wp:extent cx="486410" cy="683895"/>
                  <wp:effectExtent l="0" t="0" r="8890" b="1905"/>
                  <wp:wrapNone/>
                  <wp:docPr id="241" name="ID_30895ECD737F42B5A1873492AD348FD2"/>
                  <wp:cNvGraphicFramePr/>
                  <a:graphic xmlns:a="http://schemas.openxmlformats.org/drawingml/2006/main">
                    <a:graphicData uri="http://schemas.openxmlformats.org/drawingml/2006/picture">
                      <pic:pic xmlns:pic="http://schemas.openxmlformats.org/drawingml/2006/picture">
                        <pic:nvPicPr>
                          <pic:cNvPr id="241" name="ID_30895ECD737F42B5A1873492AD348FD2"/>
                          <pic:cNvPicPr/>
                        </pic:nvPicPr>
                        <pic:blipFill>
                          <a:blip r:embed="rId55"/>
                          <a:stretch>
                            <a:fillRect/>
                          </a:stretch>
                        </pic:blipFill>
                        <pic:spPr>
                          <a:xfrm>
                            <a:off x="0" y="0"/>
                            <a:ext cx="486410" cy="683895"/>
                          </a:xfrm>
                          <a:prstGeom prst="rect">
                            <a:avLst/>
                          </a:prstGeom>
                          <a:noFill/>
                          <a:ln>
                            <a:noFill/>
                          </a:ln>
                        </pic:spPr>
                      </pic:pic>
                    </a:graphicData>
                  </a:graphic>
                </wp:anchor>
              </w:drawing>
            </w:r>
          </w:p>
        </w:tc>
      </w:tr>
      <w:tr w14:paraId="54C8F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68CC0C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70</w:t>
            </w:r>
          </w:p>
        </w:tc>
        <w:tc>
          <w:tcPr>
            <w:tcW w:w="1701" w:type="dxa"/>
            <w:tcBorders>
              <w:tl2br w:val="nil"/>
              <w:tr2bl w:val="nil"/>
            </w:tcBorders>
            <w:shd w:val="clear" w:color="auto" w:fill="auto"/>
            <w:vAlign w:val="center"/>
          </w:tcPr>
          <w:p w14:paraId="5D5584F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美术纸筒柜</w:t>
            </w:r>
          </w:p>
        </w:tc>
        <w:tc>
          <w:tcPr>
            <w:tcW w:w="6813" w:type="dxa"/>
            <w:tcBorders>
              <w:tl2br w:val="nil"/>
              <w:tr2bl w:val="nil"/>
            </w:tcBorders>
            <w:shd w:val="clear" w:color="auto" w:fill="auto"/>
            <w:vAlign w:val="center"/>
          </w:tcPr>
          <w:p w14:paraId="2C8F4F4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规格：L40xW40xH58cm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（1）车头美工造型设计，兼具装饰与收纳功能。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（1）柜体：采用厚度12mm双贴桦木纹饰面的环保橡胶木拼板，柜体四块竖板呈半月形，嵌入式安装，保留高低错落弧度造型，形成9格分类，每个格子内空尺寸：115x115mm。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（2）柜子底部安装4个1.5寸静音带刹车万向脚轮，脚轮运行平稳无声，可360°旋转，转动顺滑。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（3）采用环保的水性木蜡油封边，成分天然，分子机构细小，成膜牢固，密封性好，环保无毒。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（4）油墨：车头造型采用美工机喷绘工艺，搭配环保水性油墨，图案附着力好，生动立体不易褪色。</w:t>
            </w:r>
          </w:p>
        </w:tc>
        <w:tc>
          <w:tcPr>
            <w:tcW w:w="1999" w:type="dxa"/>
            <w:tcBorders>
              <w:tl2br w:val="nil"/>
              <w:tr2bl w:val="nil"/>
            </w:tcBorders>
            <w:shd w:val="clear" w:color="auto" w:fill="auto"/>
            <w:vAlign w:val="center"/>
          </w:tcPr>
          <w:p w14:paraId="70A03BD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344170</wp:posOffset>
                  </wp:positionH>
                  <wp:positionV relativeFrom="paragraph">
                    <wp:posOffset>20320</wp:posOffset>
                  </wp:positionV>
                  <wp:extent cx="551815" cy="683260"/>
                  <wp:effectExtent l="0" t="0" r="6985" b="2540"/>
                  <wp:wrapNone/>
                  <wp:docPr id="244" name="ID_C9323BA411A84EAA87AB02E60F41A29F"/>
                  <wp:cNvGraphicFramePr/>
                  <a:graphic xmlns:a="http://schemas.openxmlformats.org/drawingml/2006/main">
                    <a:graphicData uri="http://schemas.openxmlformats.org/drawingml/2006/picture">
                      <pic:pic xmlns:pic="http://schemas.openxmlformats.org/drawingml/2006/picture">
                        <pic:nvPicPr>
                          <pic:cNvPr id="244" name="ID_C9323BA411A84EAA87AB02E60F41A29F"/>
                          <pic:cNvPicPr/>
                        </pic:nvPicPr>
                        <pic:blipFill>
                          <a:blip r:embed="rId79"/>
                          <a:stretch>
                            <a:fillRect/>
                          </a:stretch>
                        </pic:blipFill>
                        <pic:spPr>
                          <a:xfrm>
                            <a:off x="0" y="0"/>
                            <a:ext cx="551815" cy="683260"/>
                          </a:xfrm>
                          <a:prstGeom prst="rect">
                            <a:avLst/>
                          </a:prstGeom>
                          <a:noFill/>
                          <a:ln>
                            <a:noFill/>
                          </a:ln>
                        </pic:spPr>
                      </pic:pic>
                    </a:graphicData>
                  </a:graphic>
                </wp:anchor>
              </w:drawing>
            </w:r>
          </w:p>
        </w:tc>
      </w:tr>
      <w:tr w14:paraId="756F4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593FE7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71</w:t>
            </w:r>
          </w:p>
        </w:tc>
        <w:tc>
          <w:tcPr>
            <w:tcW w:w="1701" w:type="dxa"/>
            <w:tcBorders>
              <w:tl2br w:val="nil"/>
              <w:tr2bl w:val="nil"/>
            </w:tcBorders>
            <w:shd w:val="clear" w:color="auto" w:fill="auto"/>
            <w:vAlign w:val="center"/>
          </w:tcPr>
          <w:p w14:paraId="79BCAFD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杯筒收纳盒</w:t>
            </w:r>
          </w:p>
        </w:tc>
        <w:tc>
          <w:tcPr>
            <w:tcW w:w="6813" w:type="dxa"/>
            <w:tcBorders>
              <w:tl2br w:val="nil"/>
              <w:tr2bl w:val="nil"/>
            </w:tcBorders>
            <w:shd w:val="clear" w:color="auto" w:fill="auto"/>
            <w:vAlign w:val="center"/>
          </w:tcPr>
          <w:p w14:paraId="154D2EE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规格：L24xW24xH9cm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（1）多功能收纳储物，小巧不占地方，兼具装饰与收纳功能。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（2）铁质表面采用静电粉末喷涂工艺，圆润光滑，防腐抗锈，坚固耐用。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（1）收纳盒外框采用直径4mm的铁艺线条，其他位置采用直径3mm的铁艺线条；搭配9个塑料一次成型颜料杯/笔筒，尺寸φ79x95mm烟灰橄榄绿。</w:t>
            </w:r>
          </w:p>
        </w:tc>
        <w:tc>
          <w:tcPr>
            <w:tcW w:w="1999" w:type="dxa"/>
            <w:tcBorders>
              <w:tl2br w:val="nil"/>
              <w:tr2bl w:val="nil"/>
            </w:tcBorders>
            <w:shd w:val="clear" w:color="auto" w:fill="auto"/>
            <w:vAlign w:val="center"/>
          </w:tcPr>
          <w:p w14:paraId="6FBD393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142240</wp:posOffset>
                  </wp:positionH>
                  <wp:positionV relativeFrom="paragraph">
                    <wp:posOffset>20320</wp:posOffset>
                  </wp:positionV>
                  <wp:extent cx="955675" cy="683895"/>
                  <wp:effectExtent l="0" t="0" r="9525" b="1905"/>
                  <wp:wrapNone/>
                  <wp:docPr id="247" name="ID_9A557E520C934770BA9B57BC145D30D4"/>
                  <wp:cNvGraphicFramePr/>
                  <a:graphic xmlns:a="http://schemas.openxmlformats.org/drawingml/2006/main">
                    <a:graphicData uri="http://schemas.openxmlformats.org/drawingml/2006/picture">
                      <pic:pic xmlns:pic="http://schemas.openxmlformats.org/drawingml/2006/picture">
                        <pic:nvPicPr>
                          <pic:cNvPr id="247" name="ID_9A557E520C934770BA9B57BC145D30D4"/>
                          <pic:cNvPicPr/>
                        </pic:nvPicPr>
                        <pic:blipFill>
                          <a:blip r:embed="rId80"/>
                          <a:stretch>
                            <a:fillRect/>
                          </a:stretch>
                        </pic:blipFill>
                        <pic:spPr>
                          <a:xfrm>
                            <a:off x="0" y="0"/>
                            <a:ext cx="955675" cy="683895"/>
                          </a:xfrm>
                          <a:prstGeom prst="rect">
                            <a:avLst/>
                          </a:prstGeom>
                          <a:noFill/>
                          <a:ln>
                            <a:noFill/>
                          </a:ln>
                        </pic:spPr>
                      </pic:pic>
                    </a:graphicData>
                  </a:graphic>
                </wp:anchor>
              </w:drawing>
            </w:r>
          </w:p>
        </w:tc>
      </w:tr>
      <w:tr w14:paraId="76109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C84B5D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1701" w:type="dxa"/>
            <w:tcBorders>
              <w:tl2br w:val="nil"/>
              <w:tr2bl w:val="nil"/>
            </w:tcBorders>
            <w:shd w:val="clear" w:color="auto" w:fill="auto"/>
            <w:vAlign w:val="center"/>
          </w:tcPr>
          <w:p w14:paraId="20E7846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原木3层矮柜.可调节.无背板</w:t>
            </w:r>
          </w:p>
        </w:tc>
        <w:tc>
          <w:tcPr>
            <w:tcW w:w="6813" w:type="dxa"/>
            <w:tcBorders>
              <w:tl2br w:val="nil"/>
              <w:tr2bl w:val="nil"/>
            </w:tcBorders>
            <w:shd w:val="clear" w:color="auto" w:fill="auto"/>
            <w:vAlign w:val="center"/>
          </w:tcPr>
          <w:p w14:paraId="6C6EB37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柜子长度内空：884mm，上中下三层，中间两块层板。柜子内侧配环保优质塑料一次成型呈浅咖色长度440mm的活动层板支撑条，内嵌式安装嵌入深度≥4.5mm，固定条凸11mm,灵活安全使用层板，不占用空间，共15个挡位、每挡28mm，可实现层板自选放置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503DA15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104775</wp:posOffset>
                  </wp:positionH>
                  <wp:positionV relativeFrom="paragraph">
                    <wp:posOffset>20320</wp:posOffset>
                  </wp:positionV>
                  <wp:extent cx="1029970" cy="683895"/>
                  <wp:effectExtent l="0" t="0" r="11430" b="1905"/>
                  <wp:wrapNone/>
                  <wp:docPr id="248" name="ID_1C73FFE21A654722904558BB578109A0"/>
                  <wp:cNvGraphicFramePr/>
                  <a:graphic xmlns:a="http://schemas.openxmlformats.org/drawingml/2006/main">
                    <a:graphicData uri="http://schemas.openxmlformats.org/drawingml/2006/picture">
                      <pic:pic xmlns:pic="http://schemas.openxmlformats.org/drawingml/2006/picture">
                        <pic:nvPicPr>
                          <pic:cNvPr id="248" name="ID_1C73FFE21A654722904558BB578109A0"/>
                          <pic:cNvPicPr/>
                        </pic:nvPicPr>
                        <pic:blipFill>
                          <a:blip r:embed="rId81"/>
                          <a:stretch>
                            <a:fillRect/>
                          </a:stretch>
                        </pic:blipFill>
                        <pic:spPr>
                          <a:xfrm>
                            <a:off x="0" y="0"/>
                            <a:ext cx="1029970" cy="683895"/>
                          </a:xfrm>
                          <a:prstGeom prst="rect">
                            <a:avLst/>
                          </a:prstGeom>
                          <a:noFill/>
                          <a:ln>
                            <a:noFill/>
                          </a:ln>
                        </pic:spPr>
                      </pic:pic>
                    </a:graphicData>
                  </a:graphic>
                </wp:anchor>
              </w:drawing>
            </w:r>
          </w:p>
        </w:tc>
      </w:tr>
      <w:tr w14:paraId="14E9A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829E33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73</w:t>
            </w:r>
          </w:p>
        </w:tc>
        <w:tc>
          <w:tcPr>
            <w:tcW w:w="1701" w:type="dxa"/>
            <w:tcBorders>
              <w:tl2br w:val="nil"/>
              <w:tr2bl w:val="nil"/>
            </w:tcBorders>
            <w:shd w:val="clear" w:color="auto" w:fill="auto"/>
            <w:vAlign w:val="center"/>
          </w:tcPr>
          <w:p w14:paraId="0BC3195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原木阶梯组合柜.无背板</w:t>
            </w:r>
          </w:p>
        </w:tc>
        <w:tc>
          <w:tcPr>
            <w:tcW w:w="6813" w:type="dxa"/>
            <w:tcBorders>
              <w:tl2br w:val="nil"/>
              <w:tr2bl w:val="nil"/>
            </w:tcBorders>
            <w:shd w:val="clear" w:color="auto" w:fill="auto"/>
            <w:vAlign w:val="center"/>
          </w:tcPr>
          <w:p w14:paraId="6A6C844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3层：L30xW30xH80cm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2层：L30xW30xH59cm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1层：L30xW30xH34cm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（1）三个柜体可独立使用，灵活搭配，高低错落，可满足不同层次区角搭配。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（1）柜体：采用16mm的环保橡胶木拼板。所有柜子组合使用呈阶梯状，格子内空长均为：267mm。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73757A4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255270</wp:posOffset>
                  </wp:positionH>
                  <wp:positionV relativeFrom="paragraph">
                    <wp:posOffset>20955</wp:posOffset>
                  </wp:positionV>
                  <wp:extent cx="729615" cy="683260"/>
                  <wp:effectExtent l="0" t="0" r="6985" b="2540"/>
                  <wp:wrapNone/>
                  <wp:docPr id="252" name="ID_715A767DC111411CA9A98FCBB22C9D10"/>
                  <wp:cNvGraphicFramePr/>
                  <a:graphic xmlns:a="http://schemas.openxmlformats.org/drawingml/2006/main">
                    <a:graphicData uri="http://schemas.openxmlformats.org/drawingml/2006/picture">
                      <pic:pic xmlns:pic="http://schemas.openxmlformats.org/drawingml/2006/picture">
                        <pic:nvPicPr>
                          <pic:cNvPr id="252" name="ID_715A767DC111411CA9A98FCBB22C9D10"/>
                          <pic:cNvPicPr/>
                        </pic:nvPicPr>
                        <pic:blipFill>
                          <a:blip r:embed="rId82"/>
                          <a:stretch>
                            <a:fillRect/>
                          </a:stretch>
                        </pic:blipFill>
                        <pic:spPr>
                          <a:xfrm>
                            <a:off x="0" y="0"/>
                            <a:ext cx="729615" cy="683260"/>
                          </a:xfrm>
                          <a:prstGeom prst="rect">
                            <a:avLst/>
                          </a:prstGeom>
                          <a:noFill/>
                          <a:ln>
                            <a:noFill/>
                          </a:ln>
                        </pic:spPr>
                      </pic:pic>
                    </a:graphicData>
                  </a:graphic>
                </wp:anchor>
              </w:drawing>
            </w:r>
          </w:p>
        </w:tc>
      </w:tr>
      <w:tr w14:paraId="7E476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1C00BE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74</w:t>
            </w:r>
          </w:p>
        </w:tc>
        <w:tc>
          <w:tcPr>
            <w:tcW w:w="1701" w:type="dxa"/>
            <w:tcBorders>
              <w:tl2br w:val="nil"/>
              <w:tr2bl w:val="nil"/>
            </w:tcBorders>
            <w:shd w:val="clear" w:color="auto" w:fill="auto"/>
            <w:vAlign w:val="center"/>
          </w:tcPr>
          <w:p w14:paraId="0C457B3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怀抱双人布艺沙发.天蓝</w:t>
            </w:r>
          </w:p>
        </w:tc>
        <w:tc>
          <w:tcPr>
            <w:tcW w:w="6813" w:type="dxa"/>
            <w:tcBorders>
              <w:tl2br w:val="nil"/>
              <w:tr2bl w:val="nil"/>
            </w:tcBorders>
            <w:shd w:val="clear" w:color="auto" w:fill="auto"/>
            <w:vAlign w:val="center"/>
          </w:tcPr>
          <w:p w14:paraId="2ED3B45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规格：L97xW50xH61cm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1.面料材质：采用优质环保的涤纶纤维织造布料，颜色天蓝色，仿棉麻材质，耐磨，免洗。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3.产品特点：双人座，脚柱采用原木，经抛光上透明清漆。</w:t>
            </w:r>
          </w:p>
        </w:tc>
        <w:tc>
          <w:tcPr>
            <w:tcW w:w="1999" w:type="dxa"/>
            <w:tcBorders>
              <w:tl2br w:val="nil"/>
              <w:tr2bl w:val="nil"/>
            </w:tcBorders>
            <w:shd w:val="clear" w:color="auto" w:fill="auto"/>
            <w:vAlign w:val="center"/>
          </w:tcPr>
          <w:p w14:paraId="4CA9C24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170180</wp:posOffset>
                  </wp:positionH>
                  <wp:positionV relativeFrom="paragraph">
                    <wp:posOffset>20320</wp:posOffset>
                  </wp:positionV>
                  <wp:extent cx="899795" cy="683260"/>
                  <wp:effectExtent l="0" t="0" r="1905" b="2540"/>
                  <wp:wrapNone/>
                  <wp:docPr id="255" name="ID_576E514FC4204C54A4E5702C8C3DCD47"/>
                  <wp:cNvGraphicFramePr/>
                  <a:graphic xmlns:a="http://schemas.openxmlformats.org/drawingml/2006/main">
                    <a:graphicData uri="http://schemas.openxmlformats.org/drawingml/2006/picture">
                      <pic:pic xmlns:pic="http://schemas.openxmlformats.org/drawingml/2006/picture">
                        <pic:nvPicPr>
                          <pic:cNvPr id="255" name="ID_576E514FC4204C54A4E5702C8C3DCD47"/>
                          <pic:cNvPicPr/>
                        </pic:nvPicPr>
                        <pic:blipFill>
                          <a:blip r:embed="rId83"/>
                          <a:stretch>
                            <a:fillRect/>
                          </a:stretch>
                        </pic:blipFill>
                        <pic:spPr>
                          <a:xfrm>
                            <a:off x="0" y="0"/>
                            <a:ext cx="899795" cy="683260"/>
                          </a:xfrm>
                          <a:prstGeom prst="rect">
                            <a:avLst/>
                          </a:prstGeom>
                          <a:noFill/>
                          <a:ln>
                            <a:noFill/>
                          </a:ln>
                        </pic:spPr>
                      </pic:pic>
                    </a:graphicData>
                  </a:graphic>
                </wp:anchor>
              </w:drawing>
            </w:r>
          </w:p>
        </w:tc>
      </w:tr>
      <w:tr w14:paraId="44804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61E356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75</w:t>
            </w:r>
          </w:p>
        </w:tc>
        <w:tc>
          <w:tcPr>
            <w:tcW w:w="1701" w:type="dxa"/>
            <w:tcBorders>
              <w:tl2br w:val="nil"/>
              <w:tr2bl w:val="nil"/>
            </w:tcBorders>
            <w:shd w:val="clear" w:color="auto" w:fill="auto"/>
            <w:vAlign w:val="center"/>
          </w:tcPr>
          <w:p w14:paraId="7184B9F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互动造型柜</w:t>
            </w:r>
          </w:p>
        </w:tc>
        <w:tc>
          <w:tcPr>
            <w:tcW w:w="6813" w:type="dxa"/>
            <w:tcBorders>
              <w:tl2br w:val="nil"/>
              <w:tr2bl w:val="nil"/>
            </w:tcBorders>
            <w:shd w:val="clear" w:color="auto" w:fill="auto"/>
            <w:vAlign w:val="center"/>
          </w:tcPr>
          <w:p w14:paraId="488FC22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规格：L98xW40xH136cm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（1）特色屋顶+篷布造型设计，吊牌黑板可擦写。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柜体采用厚度15mm的桦木纹饰面环保橡胶木拼板，部分采用厚度12mm及18mm的环保实木多层板喷涂水性漆，铭牌采用厚度9mm环保实木多层板喷涂水性漆。屋顶离柜面高770mm，面板离地高度为590mm，柜体内空尺寸：884x300x237.5mm；下层柜体正面安装长方形可吸附磁铁的黑板，尺寸为910x520mm，柜体上方两边挂杆可挂吊牌黑板，尺寸为200x150mm，可使用粉笔进行擦写；产品顶部搭配安装由涤纶纤维织造的仿棉麻材质篷布，尺寸：L990xW800mm 篷布可拆洗。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p>
        </w:tc>
        <w:tc>
          <w:tcPr>
            <w:tcW w:w="1999" w:type="dxa"/>
            <w:tcBorders>
              <w:tl2br w:val="nil"/>
              <w:tr2bl w:val="nil"/>
            </w:tcBorders>
            <w:shd w:val="clear" w:color="auto" w:fill="auto"/>
            <w:vAlign w:val="center"/>
          </w:tcPr>
          <w:p w14:paraId="681E662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355600</wp:posOffset>
                  </wp:positionH>
                  <wp:positionV relativeFrom="paragraph">
                    <wp:posOffset>20320</wp:posOffset>
                  </wp:positionV>
                  <wp:extent cx="528320" cy="683260"/>
                  <wp:effectExtent l="0" t="0" r="5080" b="2540"/>
                  <wp:wrapNone/>
                  <wp:docPr id="258" name="ID_6BA7E652C23F4C0E8288CAA9F3D3EE23"/>
                  <wp:cNvGraphicFramePr/>
                  <a:graphic xmlns:a="http://schemas.openxmlformats.org/drawingml/2006/main">
                    <a:graphicData uri="http://schemas.openxmlformats.org/drawingml/2006/picture">
                      <pic:pic xmlns:pic="http://schemas.openxmlformats.org/drawingml/2006/picture">
                        <pic:nvPicPr>
                          <pic:cNvPr id="258" name="ID_6BA7E652C23F4C0E8288CAA9F3D3EE23"/>
                          <pic:cNvPicPr/>
                        </pic:nvPicPr>
                        <pic:blipFill>
                          <a:blip r:embed="rId84"/>
                          <a:stretch>
                            <a:fillRect/>
                          </a:stretch>
                        </pic:blipFill>
                        <pic:spPr>
                          <a:xfrm>
                            <a:off x="0" y="0"/>
                            <a:ext cx="528320" cy="683260"/>
                          </a:xfrm>
                          <a:prstGeom prst="rect">
                            <a:avLst/>
                          </a:prstGeom>
                          <a:noFill/>
                          <a:ln>
                            <a:noFill/>
                          </a:ln>
                        </pic:spPr>
                      </pic:pic>
                    </a:graphicData>
                  </a:graphic>
                </wp:anchor>
              </w:drawing>
            </w:r>
          </w:p>
        </w:tc>
      </w:tr>
      <w:tr w14:paraId="1FEA7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F543B3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76</w:t>
            </w:r>
          </w:p>
        </w:tc>
        <w:tc>
          <w:tcPr>
            <w:tcW w:w="1701" w:type="dxa"/>
            <w:tcBorders>
              <w:tl2br w:val="nil"/>
              <w:tr2bl w:val="nil"/>
            </w:tcBorders>
            <w:shd w:val="clear" w:color="auto" w:fill="auto"/>
            <w:vAlign w:val="center"/>
          </w:tcPr>
          <w:p w14:paraId="711DE15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简约衣帽饰品柜</w:t>
            </w:r>
          </w:p>
        </w:tc>
        <w:tc>
          <w:tcPr>
            <w:tcW w:w="6813" w:type="dxa"/>
            <w:tcBorders>
              <w:tl2br w:val="nil"/>
              <w:tr2bl w:val="nil"/>
            </w:tcBorders>
            <w:shd w:val="clear" w:color="auto" w:fill="auto"/>
            <w:vAlign w:val="center"/>
          </w:tcPr>
          <w:p w14:paraId="0E97219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规格：L105xW40xH110cm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（1）多功能带轮衣帽收纳架，储物空间大，移动/固定便捷。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（2）加厚亚克力镜子，模拟真实换装情景，兼具装饰、收纳与教玩功能，能与其他柜体组合搭配使用。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柜体顶部收纳槽内空：870x358x50mm，挂衣格内空：580x400x775mm，悬挂一个长564mm铝合金双筋扁管挂杆；底部格子内空：580x400x120mm，右侧四格内空均为：275x400x216mm；柜子一边外侧安装亚克力材质镜子，冲击强度比玻璃镜高，不容易碎，尺寸L540xW260xH3mm，镜子下方配置化妆收纳格，尺寸为：380x150x170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（2）底部安装4个高度为80mm的优质平底带刹车万向脚轮，脚轮运行平稳无声，可360°旋转，转动顺滑。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999" w:type="dxa"/>
            <w:tcBorders>
              <w:tl2br w:val="nil"/>
              <w:tr2bl w:val="nil"/>
            </w:tcBorders>
            <w:shd w:val="clear" w:color="auto" w:fill="auto"/>
            <w:vAlign w:val="center"/>
          </w:tcPr>
          <w:p w14:paraId="4B0DD3B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281940</wp:posOffset>
                  </wp:positionH>
                  <wp:positionV relativeFrom="paragraph">
                    <wp:posOffset>20320</wp:posOffset>
                  </wp:positionV>
                  <wp:extent cx="675640" cy="683260"/>
                  <wp:effectExtent l="0" t="0" r="10160" b="2540"/>
                  <wp:wrapNone/>
                  <wp:docPr id="260" name="ID_540632AAD4844A5EAF88BE6B1D091F11"/>
                  <wp:cNvGraphicFramePr/>
                  <a:graphic xmlns:a="http://schemas.openxmlformats.org/drawingml/2006/main">
                    <a:graphicData uri="http://schemas.openxmlformats.org/drawingml/2006/picture">
                      <pic:pic xmlns:pic="http://schemas.openxmlformats.org/drawingml/2006/picture">
                        <pic:nvPicPr>
                          <pic:cNvPr id="260" name="ID_540632AAD4844A5EAF88BE6B1D091F11"/>
                          <pic:cNvPicPr/>
                        </pic:nvPicPr>
                        <pic:blipFill>
                          <a:blip r:embed="rId85"/>
                          <a:stretch>
                            <a:fillRect/>
                          </a:stretch>
                        </pic:blipFill>
                        <pic:spPr>
                          <a:xfrm>
                            <a:off x="0" y="0"/>
                            <a:ext cx="675640" cy="683260"/>
                          </a:xfrm>
                          <a:prstGeom prst="rect">
                            <a:avLst/>
                          </a:prstGeom>
                          <a:noFill/>
                          <a:ln>
                            <a:noFill/>
                          </a:ln>
                        </pic:spPr>
                      </pic:pic>
                    </a:graphicData>
                  </a:graphic>
                </wp:anchor>
              </w:drawing>
            </w:r>
          </w:p>
        </w:tc>
      </w:tr>
      <w:tr w14:paraId="0D1B7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31720D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77</w:t>
            </w:r>
          </w:p>
        </w:tc>
        <w:tc>
          <w:tcPr>
            <w:tcW w:w="1701" w:type="dxa"/>
            <w:tcBorders>
              <w:tl2br w:val="nil"/>
              <w:tr2bl w:val="nil"/>
            </w:tcBorders>
            <w:shd w:val="clear" w:color="auto" w:fill="auto"/>
            <w:vAlign w:val="center"/>
          </w:tcPr>
          <w:p w14:paraId="5C274C9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原木4层可调高柜.可调节.半背板</w:t>
            </w:r>
          </w:p>
        </w:tc>
        <w:tc>
          <w:tcPr>
            <w:tcW w:w="6813" w:type="dxa"/>
            <w:tcBorders>
              <w:tl2br w:val="nil"/>
              <w:tr2bl w:val="nil"/>
            </w:tcBorders>
            <w:shd w:val="clear" w:color="auto" w:fill="auto"/>
            <w:vAlign w:val="center"/>
          </w:tcPr>
          <w:p w14:paraId="0F667B1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共四层，底层含背板内空：884x280x162mm，上面三层含两块层板。柜子内侧配L440mm活动层板支撑条，内嵌式安装嵌入深度≥4.5mm，固定条凸11mm，灵活安全使用层板，不占用空间，共15个挡位、每挡28mm，可实现层板自选放置高度。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047A210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247650</wp:posOffset>
                  </wp:positionH>
                  <wp:positionV relativeFrom="paragraph">
                    <wp:posOffset>20320</wp:posOffset>
                  </wp:positionV>
                  <wp:extent cx="744855" cy="683260"/>
                  <wp:effectExtent l="0" t="0" r="4445" b="2540"/>
                  <wp:wrapNone/>
                  <wp:docPr id="261" name="ID_D41FF23CD44C440889A6EDE745048028"/>
                  <wp:cNvGraphicFramePr/>
                  <a:graphic xmlns:a="http://schemas.openxmlformats.org/drawingml/2006/main">
                    <a:graphicData uri="http://schemas.openxmlformats.org/drawingml/2006/picture">
                      <pic:pic xmlns:pic="http://schemas.openxmlformats.org/drawingml/2006/picture">
                        <pic:nvPicPr>
                          <pic:cNvPr id="261" name="ID_D41FF23CD44C440889A6EDE745048028"/>
                          <pic:cNvPicPr/>
                        </pic:nvPicPr>
                        <pic:blipFill>
                          <a:blip r:embed="rId86"/>
                          <a:stretch>
                            <a:fillRect/>
                          </a:stretch>
                        </pic:blipFill>
                        <pic:spPr>
                          <a:xfrm>
                            <a:off x="0" y="0"/>
                            <a:ext cx="744855" cy="683260"/>
                          </a:xfrm>
                          <a:prstGeom prst="rect">
                            <a:avLst/>
                          </a:prstGeom>
                          <a:noFill/>
                          <a:ln>
                            <a:noFill/>
                          </a:ln>
                        </pic:spPr>
                      </pic:pic>
                    </a:graphicData>
                  </a:graphic>
                </wp:anchor>
              </w:drawing>
            </w:r>
          </w:p>
        </w:tc>
      </w:tr>
      <w:tr w14:paraId="53FEF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9FCA4E1">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78</w:t>
            </w:r>
          </w:p>
        </w:tc>
        <w:tc>
          <w:tcPr>
            <w:tcW w:w="1701" w:type="dxa"/>
            <w:tcBorders>
              <w:tl2br w:val="nil"/>
              <w:tr2bl w:val="nil"/>
            </w:tcBorders>
            <w:shd w:val="clear" w:color="auto" w:fill="auto"/>
            <w:vAlign w:val="center"/>
          </w:tcPr>
          <w:p w14:paraId="48D0877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可擦写绘画桌</w:t>
            </w:r>
          </w:p>
        </w:tc>
        <w:tc>
          <w:tcPr>
            <w:tcW w:w="6813" w:type="dxa"/>
            <w:tcBorders>
              <w:tl2br w:val="nil"/>
              <w:tr2bl w:val="nil"/>
            </w:tcBorders>
            <w:shd w:val="clear" w:color="auto" w:fill="auto"/>
            <w:vAlign w:val="center"/>
          </w:tcPr>
          <w:p w14:paraId="5EC8778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L120xW120xH55cm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主体采用厚度18mm的桦木纹环保双饰面浸渍胶膜纸饰面刨花板，面板采用厚度18mm的环保实木多层板，板材甲醛释放量≤0.05mg/m3，抗菌率≥99%，防霉性能测试结果为0%，外观质量、理化性能等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画板采用环保的水性漆，全封闭涂装工艺，漆面光泽高透，颜色均匀，抗菌率≥99%；有害物质限量；耐黄变检测，经500h以上耐人工气候老化检测结果为粉化0级，涂膜无起泡、无剥落、无裂纹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（3）五金件：采用环保五金，可迁移元素中锑、钡、镉、铅、硒、砷、铬、汞八大金属含量；防腐抗锈，经中性盐雾测试无生锈、无气泡、无粉化等腐蚀现象，符合标准要求。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（4）封边条：采用PVC封边条，表面光滑平整，环保无毒，封边细腻硬度高，线条均匀，转角过渡自然，无脱胶，表面光滑平整无胶渍。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（5）塑料：采用环保无毒材质，优质不易开裂，邻苯二甲酸酯，可迁移元素中锑、钡、镉、铅、硒、砷、铬、汞八大金属含量符合标准要求。</w:t>
            </w:r>
          </w:p>
        </w:tc>
        <w:tc>
          <w:tcPr>
            <w:tcW w:w="1999" w:type="dxa"/>
            <w:tcBorders>
              <w:tl2br w:val="nil"/>
              <w:tr2bl w:val="nil"/>
            </w:tcBorders>
            <w:shd w:val="clear" w:color="auto" w:fill="auto"/>
            <w:vAlign w:val="center"/>
          </w:tcPr>
          <w:p w14:paraId="32F0841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69215</wp:posOffset>
                  </wp:positionH>
                  <wp:positionV relativeFrom="paragraph">
                    <wp:posOffset>20320</wp:posOffset>
                  </wp:positionV>
                  <wp:extent cx="1101725" cy="683260"/>
                  <wp:effectExtent l="0" t="0" r="3175" b="2540"/>
                  <wp:wrapNone/>
                  <wp:docPr id="284" name="ID_D7E564F82FA14F009CF5479F2062773D"/>
                  <wp:cNvGraphicFramePr/>
                  <a:graphic xmlns:a="http://schemas.openxmlformats.org/drawingml/2006/main">
                    <a:graphicData uri="http://schemas.openxmlformats.org/drawingml/2006/picture">
                      <pic:pic xmlns:pic="http://schemas.openxmlformats.org/drawingml/2006/picture">
                        <pic:nvPicPr>
                          <pic:cNvPr id="284" name="ID_D7E564F82FA14F009CF5479F2062773D"/>
                          <pic:cNvPicPr/>
                        </pic:nvPicPr>
                        <pic:blipFill>
                          <a:blip r:embed="rId87"/>
                          <a:stretch>
                            <a:fillRect/>
                          </a:stretch>
                        </pic:blipFill>
                        <pic:spPr>
                          <a:xfrm>
                            <a:off x="0" y="0"/>
                            <a:ext cx="1101725" cy="683260"/>
                          </a:xfrm>
                          <a:prstGeom prst="rect">
                            <a:avLst/>
                          </a:prstGeom>
                          <a:noFill/>
                          <a:ln>
                            <a:noFill/>
                          </a:ln>
                        </pic:spPr>
                      </pic:pic>
                    </a:graphicData>
                  </a:graphic>
                </wp:anchor>
              </w:drawing>
            </w:r>
          </w:p>
        </w:tc>
      </w:tr>
      <w:tr w14:paraId="14AE5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B7FB73E">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79</w:t>
            </w:r>
          </w:p>
        </w:tc>
        <w:tc>
          <w:tcPr>
            <w:tcW w:w="1701" w:type="dxa"/>
            <w:tcBorders>
              <w:tl2br w:val="nil"/>
              <w:tr2bl w:val="nil"/>
            </w:tcBorders>
            <w:shd w:val="clear" w:color="auto" w:fill="auto"/>
            <w:vAlign w:val="center"/>
          </w:tcPr>
          <w:p w14:paraId="3ABDECA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多功能手工桌</w:t>
            </w:r>
          </w:p>
        </w:tc>
        <w:tc>
          <w:tcPr>
            <w:tcW w:w="6813" w:type="dxa"/>
            <w:tcBorders>
              <w:tl2br w:val="nil"/>
              <w:tr2bl w:val="nil"/>
            </w:tcBorders>
            <w:shd w:val="clear" w:color="auto" w:fill="auto"/>
            <w:vAlign w:val="center"/>
          </w:tcPr>
          <w:p w14:paraId="5DF4B6C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L120xW120xH78cm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规格：L120xW120xH78cm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主要采用厚度18mm的桦木纹环保双饰面浸渍胶膜纸饰面刨花板，面板采用厚度18mm的环保优质实木多层板，桌面架采用厚度12mm的环保优质实木多层板，板材甲醛释放量≤0.05mg/m3，抗菌率≥99%，防霉性能测试结果为0%，外观质量、理化性能等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面板+桌面架采用环保的水性漆，全封闭涂装工艺，漆面光泽高透，颜色均匀，抗菌率≥99%；有害物质限量；耐黄变检测，经500h以上耐人工气候老化检测结果为粉化0级，涂膜无起泡、无剥落、无裂纹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（3）五金件：采用环保五金，可迁移元素中锑、钡、镉、铅、硒、砷、铬、汞八大金属含量；防腐抗锈，经中性盐雾测试无生锈、无气泡、无粉化等腐蚀现象，符合标准要求。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（4）塑料：采用环保无毒材质，优质不易开裂，邻苯二甲酸酯，可迁移元素中锑、钡、镉、铅、硒、砷、铬、汞八大金属含量符合标准要求。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（5）封边条：采用PVC封边条，表面光滑平整，环保无毒，封边细腻硬度高，线条均匀，转角过渡自然，无脱胶，表面光滑平整无胶渍。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（6）铁质洞洞板：采用优质冷轧铁艺，表面采用静电粉末喷涂工艺，粉末涂料经500h以上盐雾试验，无变色、无气泡、裂纹、锈蚀现象。</w:t>
            </w:r>
          </w:p>
        </w:tc>
        <w:tc>
          <w:tcPr>
            <w:tcW w:w="1999" w:type="dxa"/>
            <w:tcBorders>
              <w:tl2br w:val="nil"/>
              <w:tr2bl w:val="nil"/>
            </w:tcBorders>
            <w:shd w:val="clear" w:color="auto" w:fill="auto"/>
            <w:vAlign w:val="center"/>
          </w:tcPr>
          <w:p w14:paraId="46A6E12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139065</wp:posOffset>
                  </wp:positionH>
                  <wp:positionV relativeFrom="paragraph">
                    <wp:posOffset>20320</wp:posOffset>
                  </wp:positionV>
                  <wp:extent cx="961390" cy="683895"/>
                  <wp:effectExtent l="0" t="0" r="3810" b="1905"/>
                  <wp:wrapNone/>
                  <wp:docPr id="285" name="ID_9247724C30D547F087241836B4B52861"/>
                  <wp:cNvGraphicFramePr/>
                  <a:graphic xmlns:a="http://schemas.openxmlformats.org/drawingml/2006/main">
                    <a:graphicData uri="http://schemas.openxmlformats.org/drawingml/2006/picture">
                      <pic:pic xmlns:pic="http://schemas.openxmlformats.org/drawingml/2006/picture">
                        <pic:nvPicPr>
                          <pic:cNvPr id="285" name="ID_9247724C30D547F087241836B4B52861"/>
                          <pic:cNvPicPr/>
                        </pic:nvPicPr>
                        <pic:blipFill>
                          <a:blip r:embed="rId88"/>
                          <a:stretch>
                            <a:fillRect/>
                          </a:stretch>
                        </pic:blipFill>
                        <pic:spPr>
                          <a:xfrm>
                            <a:off x="0" y="0"/>
                            <a:ext cx="961390" cy="683895"/>
                          </a:xfrm>
                          <a:prstGeom prst="rect">
                            <a:avLst/>
                          </a:prstGeom>
                          <a:noFill/>
                          <a:ln>
                            <a:noFill/>
                          </a:ln>
                        </pic:spPr>
                      </pic:pic>
                    </a:graphicData>
                  </a:graphic>
                </wp:anchor>
              </w:drawing>
            </w:r>
          </w:p>
        </w:tc>
      </w:tr>
      <w:tr w14:paraId="3C5B5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9366CB3">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80</w:t>
            </w:r>
          </w:p>
        </w:tc>
        <w:tc>
          <w:tcPr>
            <w:tcW w:w="1701" w:type="dxa"/>
            <w:tcBorders>
              <w:tl2br w:val="nil"/>
              <w:tr2bl w:val="nil"/>
            </w:tcBorders>
            <w:shd w:val="clear" w:color="auto" w:fill="auto"/>
            <w:vAlign w:val="center"/>
          </w:tcPr>
          <w:p w14:paraId="4DA5E6F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美工椅</w:t>
            </w:r>
          </w:p>
        </w:tc>
        <w:tc>
          <w:tcPr>
            <w:tcW w:w="6813" w:type="dxa"/>
            <w:tcBorders>
              <w:tl2br w:val="nil"/>
              <w:tr2bl w:val="nil"/>
            </w:tcBorders>
            <w:shd w:val="clear" w:color="auto" w:fill="auto"/>
            <w:vAlign w:val="center"/>
          </w:tcPr>
          <w:p w14:paraId="2C1C666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L36xW24xH26cm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（1）座板为黑板漆贴面设计，可擦写，儿童可在椅子上书写绘画。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（1）座板：采用厚度18mm的环保实木多层板，面板贴黑色防火板，可使用粉笔进行擦写；座板为360x240mm圆角矩形造型。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脚：采用厚度15mm环保实木多层板（弯板），采用一体成型的可弯板；脚顶部折弯外弧半径为R=45mm，椅脚侧向倾角12°，侧向底部支撑脚内空为230mm；椅脚横向倾角5°，横向底部支撑脚内空为240mm，呈八字支撑增加承重力。椅脚使用环保塑料脚套包裹，尺寸为37.5x22.6x42.8mm(±2mm)，加厚耐磨，防滑不易脱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999" w:type="dxa"/>
            <w:tcBorders>
              <w:tl2br w:val="nil"/>
              <w:tr2bl w:val="nil"/>
            </w:tcBorders>
            <w:shd w:val="clear" w:color="auto" w:fill="auto"/>
            <w:vAlign w:val="center"/>
          </w:tcPr>
          <w:p w14:paraId="47584C9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242570</wp:posOffset>
                  </wp:positionH>
                  <wp:positionV relativeFrom="paragraph">
                    <wp:posOffset>20320</wp:posOffset>
                  </wp:positionV>
                  <wp:extent cx="743585" cy="674370"/>
                  <wp:effectExtent l="0" t="0" r="5715" b="11430"/>
                  <wp:wrapNone/>
                  <wp:docPr id="286" name="ID_EA7DD7DD16714BCB869AF2DCBE870496"/>
                  <wp:cNvGraphicFramePr/>
                  <a:graphic xmlns:a="http://schemas.openxmlformats.org/drawingml/2006/main">
                    <a:graphicData uri="http://schemas.openxmlformats.org/drawingml/2006/picture">
                      <pic:pic xmlns:pic="http://schemas.openxmlformats.org/drawingml/2006/picture">
                        <pic:nvPicPr>
                          <pic:cNvPr id="286" name="ID_EA7DD7DD16714BCB869AF2DCBE870496"/>
                          <pic:cNvPicPr/>
                        </pic:nvPicPr>
                        <pic:blipFill>
                          <a:blip r:embed="rId89"/>
                          <a:stretch>
                            <a:fillRect/>
                          </a:stretch>
                        </pic:blipFill>
                        <pic:spPr>
                          <a:xfrm>
                            <a:off x="0" y="0"/>
                            <a:ext cx="743585" cy="674370"/>
                          </a:xfrm>
                          <a:prstGeom prst="rect">
                            <a:avLst/>
                          </a:prstGeom>
                          <a:noFill/>
                          <a:ln>
                            <a:noFill/>
                          </a:ln>
                        </pic:spPr>
                      </pic:pic>
                    </a:graphicData>
                  </a:graphic>
                </wp:anchor>
              </w:drawing>
            </w:r>
          </w:p>
        </w:tc>
      </w:tr>
      <w:tr w14:paraId="07E8B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3B01ECC">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81</w:t>
            </w:r>
          </w:p>
        </w:tc>
        <w:tc>
          <w:tcPr>
            <w:tcW w:w="1701" w:type="dxa"/>
            <w:tcBorders>
              <w:tl2br w:val="nil"/>
              <w:tr2bl w:val="nil"/>
            </w:tcBorders>
            <w:shd w:val="clear" w:color="auto" w:fill="auto"/>
            <w:vAlign w:val="center"/>
          </w:tcPr>
          <w:p w14:paraId="6C28162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黑白板双面画架</w:t>
            </w:r>
          </w:p>
        </w:tc>
        <w:tc>
          <w:tcPr>
            <w:tcW w:w="6813" w:type="dxa"/>
            <w:tcBorders>
              <w:tl2br w:val="nil"/>
              <w:tr2bl w:val="nil"/>
            </w:tcBorders>
            <w:shd w:val="clear" w:color="auto" w:fill="auto"/>
            <w:vAlign w:val="center"/>
          </w:tcPr>
          <w:p w14:paraId="290E3A2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规格：L62xW67xH120cm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笔盒托板采用厚度15mm的环保实木多层板，板材甲醛释放量≤0.05mg/m3，抗菌率≥99%，防霉性能测试结果为0%，外观质量、理化性能等符合国家标准；画板芯材采用厚度9mm的环保实木纤维板配黑白磁铁皮书写面材；画架框架采用桦木原木，尺寸45x25mm，材质厚实坚固，纹理均匀细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（2）油漆：采用环保的水性漆，全封闭涂装工艺，漆面光泽高透，颜色均匀，抗菌率≥99%；经500h以上耐人工气候老化检测结果为粉化0级，涂膜无起泡、无剥落、无裂纹符合标准要求。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（3）五金件：采用环保五金，可迁移元素中锑、钡、镉、铅、硒、砷、铬、汞八大金属含量；防腐抗锈，经中性盐雾测试无生锈、无气泡、无粉化等腐蚀现象，符合标准要求。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（4）塑料：采用环保无毒材质，优质不易开裂，邻苯二甲酸酯，可迁移元素中锑、钡、镉、铅、硒、砷、铬、汞八大金属含量符合标准要求。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（5）脚轮：1.5寸TPR静音万向脚轮，轮面光洁，无裂纹、伤痕、毛边等缺陷；金属件表面光滑平整、无锈蚀、毛刺、露底等缺陷。</w:t>
            </w:r>
          </w:p>
        </w:tc>
        <w:tc>
          <w:tcPr>
            <w:tcW w:w="1999" w:type="dxa"/>
            <w:tcBorders>
              <w:tl2br w:val="nil"/>
              <w:tr2bl w:val="nil"/>
            </w:tcBorders>
            <w:shd w:val="clear" w:color="auto" w:fill="auto"/>
            <w:vAlign w:val="center"/>
          </w:tcPr>
          <w:p w14:paraId="20CACEC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318135</wp:posOffset>
                  </wp:positionH>
                  <wp:positionV relativeFrom="paragraph">
                    <wp:posOffset>20320</wp:posOffset>
                  </wp:positionV>
                  <wp:extent cx="603885" cy="683895"/>
                  <wp:effectExtent l="0" t="0" r="5715" b="1905"/>
                  <wp:wrapNone/>
                  <wp:docPr id="287" name="ID_E89AC3884BDE41A282B1D6D266BCB94C"/>
                  <wp:cNvGraphicFramePr/>
                  <a:graphic xmlns:a="http://schemas.openxmlformats.org/drawingml/2006/main">
                    <a:graphicData uri="http://schemas.openxmlformats.org/drawingml/2006/picture">
                      <pic:pic xmlns:pic="http://schemas.openxmlformats.org/drawingml/2006/picture">
                        <pic:nvPicPr>
                          <pic:cNvPr id="287" name="ID_E89AC3884BDE41A282B1D6D266BCB94C"/>
                          <pic:cNvPicPr/>
                        </pic:nvPicPr>
                        <pic:blipFill>
                          <a:blip r:embed="rId90"/>
                          <a:stretch>
                            <a:fillRect/>
                          </a:stretch>
                        </pic:blipFill>
                        <pic:spPr>
                          <a:xfrm>
                            <a:off x="0" y="0"/>
                            <a:ext cx="603885" cy="683895"/>
                          </a:xfrm>
                          <a:prstGeom prst="rect">
                            <a:avLst/>
                          </a:prstGeom>
                          <a:noFill/>
                          <a:ln>
                            <a:noFill/>
                          </a:ln>
                        </pic:spPr>
                      </pic:pic>
                    </a:graphicData>
                  </a:graphic>
                </wp:anchor>
              </w:drawing>
            </w:r>
          </w:p>
        </w:tc>
      </w:tr>
      <w:tr w14:paraId="504F6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762BBAD">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82</w:t>
            </w:r>
          </w:p>
        </w:tc>
        <w:tc>
          <w:tcPr>
            <w:tcW w:w="1701" w:type="dxa"/>
            <w:tcBorders>
              <w:tl2br w:val="nil"/>
              <w:tr2bl w:val="nil"/>
            </w:tcBorders>
            <w:shd w:val="clear" w:color="auto" w:fill="auto"/>
            <w:vAlign w:val="center"/>
          </w:tcPr>
          <w:p w14:paraId="07808B9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蒙泰基6人桌.可调节</w:t>
            </w:r>
          </w:p>
        </w:tc>
        <w:tc>
          <w:tcPr>
            <w:tcW w:w="6813" w:type="dxa"/>
            <w:tcBorders>
              <w:tl2br w:val="nil"/>
              <w:tr2bl w:val="nil"/>
            </w:tcBorders>
            <w:shd w:val="clear" w:color="auto" w:fill="auto"/>
            <w:vAlign w:val="center"/>
          </w:tcPr>
          <w:p w14:paraId="3E6EB49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规格：L120xW60xH49/52/55cm可调节高度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浅咖色塑料调节脚套环，螺旋结构方便调节，每个脚套环规格为φ48xH55mm，选择安装不同的数量可满足不同的高度需求，可调高度为490/520/550mm；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6E912B2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142875</wp:posOffset>
                  </wp:positionH>
                  <wp:positionV relativeFrom="paragraph">
                    <wp:posOffset>28575</wp:posOffset>
                  </wp:positionV>
                  <wp:extent cx="913130" cy="661670"/>
                  <wp:effectExtent l="0" t="0" r="1270" b="11430"/>
                  <wp:wrapNone/>
                  <wp:docPr id="288" name="ID_065DFC97F6904F9E9C40C1004FB979AB"/>
                  <wp:cNvGraphicFramePr/>
                  <a:graphic xmlns:a="http://schemas.openxmlformats.org/drawingml/2006/main">
                    <a:graphicData uri="http://schemas.openxmlformats.org/drawingml/2006/picture">
                      <pic:pic xmlns:pic="http://schemas.openxmlformats.org/drawingml/2006/picture">
                        <pic:nvPicPr>
                          <pic:cNvPr id="288" name="ID_065DFC97F6904F9E9C40C1004FB979AB"/>
                          <pic:cNvPicPr/>
                        </pic:nvPicPr>
                        <pic:blipFill>
                          <a:blip r:embed="rId91"/>
                          <a:stretch>
                            <a:fillRect/>
                          </a:stretch>
                        </pic:blipFill>
                        <pic:spPr>
                          <a:xfrm>
                            <a:off x="0" y="0"/>
                            <a:ext cx="913130" cy="661670"/>
                          </a:xfrm>
                          <a:prstGeom prst="rect">
                            <a:avLst/>
                          </a:prstGeom>
                          <a:noFill/>
                          <a:ln>
                            <a:noFill/>
                          </a:ln>
                        </pic:spPr>
                      </pic:pic>
                    </a:graphicData>
                  </a:graphic>
                </wp:anchor>
              </w:drawing>
            </w:r>
          </w:p>
        </w:tc>
      </w:tr>
      <w:tr w14:paraId="3A357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0CE9D8E8">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83</w:t>
            </w:r>
          </w:p>
        </w:tc>
        <w:tc>
          <w:tcPr>
            <w:tcW w:w="1701" w:type="dxa"/>
            <w:tcBorders>
              <w:tl2br w:val="nil"/>
              <w:tr2bl w:val="nil"/>
            </w:tcBorders>
            <w:shd w:val="clear" w:color="auto" w:fill="auto"/>
            <w:vAlign w:val="center"/>
          </w:tcPr>
          <w:p w14:paraId="094A0F7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蒙泰基4人桌.可调节</w:t>
            </w:r>
          </w:p>
        </w:tc>
        <w:tc>
          <w:tcPr>
            <w:tcW w:w="6813" w:type="dxa"/>
            <w:tcBorders>
              <w:tl2br w:val="nil"/>
              <w:tr2bl w:val="nil"/>
            </w:tcBorders>
            <w:shd w:val="clear" w:color="auto" w:fill="auto"/>
            <w:vAlign w:val="center"/>
          </w:tcPr>
          <w:p w14:paraId="450AAB6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规格：L60xW60xH49/52/55cm可调节高度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浅咖色塑料调节脚套环，螺旋结构方便调节，每个脚套环规格为φ48xH55mm，选择安装不同的数量可满足不同的高度需求，可调高度为490/520/550mm；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999" w:type="dxa"/>
            <w:tcBorders>
              <w:tl2br w:val="nil"/>
              <w:tr2bl w:val="nil"/>
            </w:tcBorders>
            <w:shd w:val="clear" w:color="auto" w:fill="auto"/>
            <w:vAlign w:val="center"/>
          </w:tcPr>
          <w:p w14:paraId="0A6CE8F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223520</wp:posOffset>
                  </wp:positionH>
                  <wp:positionV relativeFrom="paragraph">
                    <wp:posOffset>170815</wp:posOffset>
                  </wp:positionV>
                  <wp:extent cx="767715" cy="467995"/>
                  <wp:effectExtent l="0" t="0" r="6985" b="1905"/>
                  <wp:wrapNone/>
                  <wp:docPr id="289" name="ID_1A9334A2CF1D4A7BA4B5155B1E974ACD"/>
                  <wp:cNvGraphicFramePr/>
                  <a:graphic xmlns:a="http://schemas.openxmlformats.org/drawingml/2006/main">
                    <a:graphicData uri="http://schemas.openxmlformats.org/drawingml/2006/picture">
                      <pic:pic xmlns:pic="http://schemas.openxmlformats.org/drawingml/2006/picture">
                        <pic:nvPicPr>
                          <pic:cNvPr id="289" name="ID_1A9334A2CF1D4A7BA4B5155B1E974ACD"/>
                          <pic:cNvPicPr/>
                        </pic:nvPicPr>
                        <pic:blipFill>
                          <a:blip r:embed="rId92"/>
                          <a:stretch>
                            <a:fillRect/>
                          </a:stretch>
                        </pic:blipFill>
                        <pic:spPr>
                          <a:xfrm>
                            <a:off x="0" y="0"/>
                            <a:ext cx="767715" cy="467995"/>
                          </a:xfrm>
                          <a:prstGeom prst="rect">
                            <a:avLst/>
                          </a:prstGeom>
                          <a:noFill/>
                          <a:ln>
                            <a:noFill/>
                          </a:ln>
                        </pic:spPr>
                      </pic:pic>
                    </a:graphicData>
                  </a:graphic>
                </wp:anchor>
              </w:drawing>
            </w:r>
          </w:p>
        </w:tc>
      </w:tr>
      <w:tr w14:paraId="318A0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94BB559">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84</w:t>
            </w:r>
          </w:p>
        </w:tc>
        <w:tc>
          <w:tcPr>
            <w:tcW w:w="1701" w:type="dxa"/>
            <w:tcBorders>
              <w:tl2br w:val="nil"/>
              <w:tr2bl w:val="nil"/>
            </w:tcBorders>
            <w:shd w:val="clear" w:color="auto" w:fill="auto"/>
            <w:vAlign w:val="center"/>
          </w:tcPr>
          <w:p w14:paraId="08DE456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围裙综合收纳架</w:t>
            </w:r>
          </w:p>
        </w:tc>
        <w:tc>
          <w:tcPr>
            <w:tcW w:w="6813" w:type="dxa"/>
            <w:tcBorders>
              <w:tl2br w:val="nil"/>
              <w:tr2bl w:val="nil"/>
            </w:tcBorders>
            <w:shd w:val="clear" w:color="auto" w:fill="auto"/>
            <w:vAlign w:val="center"/>
          </w:tcPr>
          <w:p w14:paraId="35E3064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L100xW40xH110cm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（1）多功能收纳，分布均匀，独立铭牌设计，方便管理。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顶部带8个φ70mm的孔位置物板，可放8个烟灰橄榄绿颜料杯/笔筒，杯子尺寸φ78xH94mm，采用环保塑料材质，一体成型；板面离地1000mm。中部安装直径19mm挂杆，离地790mm；下方共8个环保塑料3合1挂勾，挂钩设计有透明塑料翻盖铭牌，尺寸49.5x43.5mm,可放入孩子的1寸照片。挂钩呈浅咖色，圆滑无毛刺。底部大空间收纳，可放置4个塑料一次成型教具盒，尺寸L20xW28xH15cm浅咖色。两面各配置2个Ф38x28mm的木质拉手，方便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（2）底部安装4个静音万向脚轮，脚轮运行平稳无声，可360°旋转，转动顺滑，其中2个脚轮带刹车功能，刹车灵敏，踏板不易断裂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999" w:type="dxa"/>
            <w:tcBorders>
              <w:tl2br w:val="nil"/>
              <w:tr2bl w:val="nil"/>
            </w:tcBorders>
            <w:shd w:val="clear" w:color="auto" w:fill="auto"/>
            <w:vAlign w:val="center"/>
          </w:tcPr>
          <w:p w14:paraId="306DE90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315595</wp:posOffset>
                  </wp:positionH>
                  <wp:positionV relativeFrom="paragraph">
                    <wp:posOffset>20955</wp:posOffset>
                  </wp:positionV>
                  <wp:extent cx="565785" cy="635635"/>
                  <wp:effectExtent l="0" t="0" r="5715" b="12065"/>
                  <wp:wrapNone/>
                  <wp:docPr id="290" name="ID_564830D147D445C8A3BD4F168B144E15"/>
                  <wp:cNvGraphicFramePr/>
                  <a:graphic xmlns:a="http://schemas.openxmlformats.org/drawingml/2006/main">
                    <a:graphicData uri="http://schemas.openxmlformats.org/drawingml/2006/picture">
                      <pic:pic xmlns:pic="http://schemas.openxmlformats.org/drawingml/2006/picture">
                        <pic:nvPicPr>
                          <pic:cNvPr id="290" name="ID_564830D147D445C8A3BD4F168B144E15"/>
                          <pic:cNvPicPr/>
                        </pic:nvPicPr>
                        <pic:blipFill>
                          <a:blip r:embed="rId93"/>
                          <a:stretch>
                            <a:fillRect/>
                          </a:stretch>
                        </pic:blipFill>
                        <pic:spPr>
                          <a:xfrm>
                            <a:off x="0" y="0"/>
                            <a:ext cx="565785" cy="635635"/>
                          </a:xfrm>
                          <a:prstGeom prst="rect">
                            <a:avLst/>
                          </a:prstGeom>
                          <a:noFill/>
                          <a:ln>
                            <a:noFill/>
                          </a:ln>
                        </pic:spPr>
                      </pic:pic>
                    </a:graphicData>
                  </a:graphic>
                </wp:anchor>
              </w:drawing>
            </w:r>
          </w:p>
        </w:tc>
      </w:tr>
      <w:tr w14:paraId="5CBBC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C571A8B">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85</w:t>
            </w:r>
          </w:p>
        </w:tc>
        <w:tc>
          <w:tcPr>
            <w:tcW w:w="1701" w:type="dxa"/>
            <w:tcBorders>
              <w:tl2br w:val="nil"/>
              <w:tr2bl w:val="nil"/>
            </w:tcBorders>
            <w:shd w:val="clear" w:color="auto" w:fill="auto"/>
            <w:vAlign w:val="center"/>
          </w:tcPr>
          <w:p w14:paraId="4D80AD4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四层置物架</w:t>
            </w:r>
          </w:p>
        </w:tc>
        <w:tc>
          <w:tcPr>
            <w:tcW w:w="6813" w:type="dxa"/>
            <w:tcBorders>
              <w:tl2br w:val="nil"/>
              <w:tr2bl w:val="nil"/>
            </w:tcBorders>
            <w:shd w:val="clear" w:color="auto" w:fill="auto"/>
            <w:vAlign w:val="center"/>
          </w:tcPr>
          <w:p w14:paraId="447AC9C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L80×W30×H132cm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（2）顶部白板可擦写，便于材料分类。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15mm的桦木纹饰面环保橡胶木拼板。架体最高一层板均为活动层板，侧板中上位置安装6卡位的层板塑料支撑条L165mm，内嵌式安装嵌入深度≥4.5mm，固定条凸11mm,每卡位间距30mm，可在最大高低差150mm间选择层板放置高度；顶部中间位置安装高120mm挡板，单面贴白色书写防火板，可擦写；两边侧板镂空宽度为：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（2）整体分四层，包含三块层板，底下两层高度固定，内空长度均为770mm，高度均为263mm。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p>
        </w:tc>
        <w:tc>
          <w:tcPr>
            <w:tcW w:w="1999" w:type="dxa"/>
            <w:tcBorders>
              <w:tl2br w:val="nil"/>
              <w:tr2bl w:val="nil"/>
            </w:tcBorders>
            <w:shd w:val="clear" w:color="auto" w:fill="auto"/>
            <w:vAlign w:val="center"/>
          </w:tcPr>
          <w:p w14:paraId="051BE28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391160</wp:posOffset>
                  </wp:positionH>
                  <wp:positionV relativeFrom="paragraph">
                    <wp:posOffset>66040</wp:posOffset>
                  </wp:positionV>
                  <wp:extent cx="438785" cy="668020"/>
                  <wp:effectExtent l="0" t="0" r="5715" b="5080"/>
                  <wp:wrapNone/>
                  <wp:docPr id="293" name="ID_4CE29A19A61C4BA3B584E501B0CAB0D2"/>
                  <wp:cNvGraphicFramePr/>
                  <a:graphic xmlns:a="http://schemas.openxmlformats.org/drawingml/2006/main">
                    <a:graphicData uri="http://schemas.openxmlformats.org/drawingml/2006/picture">
                      <pic:pic xmlns:pic="http://schemas.openxmlformats.org/drawingml/2006/picture">
                        <pic:nvPicPr>
                          <pic:cNvPr id="293" name="ID_4CE29A19A61C4BA3B584E501B0CAB0D2"/>
                          <pic:cNvPicPr/>
                        </pic:nvPicPr>
                        <pic:blipFill>
                          <a:blip r:embed="rId94"/>
                          <a:stretch>
                            <a:fillRect/>
                          </a:stretch>
                        </pic:blipFill>
                        <pic:spPr>
                          <a:xfrm>
                            <a:off x="0" y="0"/>
                            <a:ext cx="438785" cy="668020"/>
                          </a:xfrm>
                          <a:prstGeom prst="rect">
                            <a:avLst/>
                          </a:prstGeom>
                          <a:noFill/>
                          <a:ln>
                            <a:noFill/>
                          </a:ln>
                        </pic:spPr>
                      </pic:pic>
                    </a:graphicData>
                  </a:graphic>
                </wp:anchor>
              </w:drawing>
            </w:r>
          </w:p>
        </w:tc>
      </w:tr>
      <w:tr w14:paraId="72094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630057A7">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86</w:t>
            </w:r>
          </w:p>
        </w:tc>
        <w:tc>
          <w:tcPr>
            <w:tcW w:w="1701" w:type="dxa"/>
            <w:tcBorders>
              <w:tl2br w:val="nil"/>
              <w:tr2bl w:val="nil"/>
            </w:tcBorders>
            <w:shd w:val="clear" w:color="auto" w:fill="auto"/>
            <w:vAlign w:val="center"/>
          </w:tcPr>
          <w:p w14:paraId="781E5AC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三层置物架</w:t>
            </w:r>
          </w:p>
        </w:tc>
        <w:tc>
          <w:tcPr>
            <w:tcW w:w="6813" w:type="dxa"/>
            <w:tcBorders>
              <w:tl2br w:val="nil"/>
              <w:tr2bl w:val="nil"/>
            </w:tcBorders>
            <w:shd w:val="clear" w:color="auto" w:fill="auto"/>
            <w:vAlign w:val="center"/>
          </w:tcPr>
          <w:p w14:paraId="158D4BC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L80×W30×H104cm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（2）顶部白板可擦写，便于材料分类。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15mm的桦木纹饰面环保橡胶木拼板。架体最高一层板均为活动层板，侧板中上位置安装6卡位的层板塑料支撑条L165mm，内嵌式安装嵌入深度≥4.5mm，固定条凸11mm,每卡位间距30mm，可在最大高低差150mm间选择层板放置高度；顶部中间位置安装高120mm挡板，单面贴白色书写防火板，可擦写；两边侧板镂空宽度为：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（2）整体分五层，包含四块层板，下三层高度固定，内空长度均为770mm，高度均为263mm。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p>
        </w:tc>
        <w:tc>
          <w:tcPr>
            <w:tcW w:w="1999" w:type="dxa"/>
            <w:tcBorders>
              <w:tl2br w:val="nil"/>
              <w:tr2bl w:val="nil"/>
            </w:tcBorders>
            <w:shd w:val="clear" w:color="auto" w:fill="auto"/>
            <w:vAlign w:val="center"/>
          </w:tcPr>
          <w:p w14:paraId="5072352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314325</wp:posOffset>
                  </wp:positionH>
                  <wp:positionV relativeFrom="paragraph">
                    <wp:posOffset>57150</wp:posOffset>
                  </wp:positionV>
                  <wp:extent cx="532765" cy="685165"/>
                  <wp:effectExtent l="0" t="0" r="635" b="635"/>
                  <wp:wrapNone/>
                  <wp:docPr id="294" name="ID_EE701410B59741959725E9B975EEAD76"/>
                  <wp:cNvGraphicFramePr/>
                  <a:graphic xmlns:a="http://schemas.openxmlformats.org/drawingml/2006/main">
                    <a:graphicData uri="http://schemas.openxmlformats.org/drawingml/2006/picture">
                      <pic:pic xmlns:pic="http://schemas.openxmlformats.org/drawingml/2006/picture">
                        <pic:nvPicPr>
                          <pic:cNvPr id="294" name="ID_EE701410B59741959725E9B975EEAD76"/>
                          <pic:cNvPicPr/>
                        </pic:nvPicPr>
                        <pic:blipFill>
                          <a:blip r:embed="rId95"/>
                          <a:stretch>
                            <a:fillRect/>
                          </a:stretch>
                        </pic:blipFill>
                        <pic:spPr>
                          <a:xfrm>
                            <a:off x="0" y="0"/>
                            <a:ext cx="532765" cy="6851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430530</wp:posOffset>
                  </wp:positionH>
                  <wp:positionV relativeFrom="paragraph">
                    <wp:posOffset>20320</wp:posOffset>
                  </wp:positionV>
                  <wp:extent cx="379095" cy="683895"/>
                  <wp:effectExtent l="0" t="0" r="1905" b="1905"/>
                  <wp:wrapNone/>
                  <wp:docPr id="295" name="ID_74D3747A8757406480E1D85BEAFB692E"/>
                  <wp:cNvGraphicFramePr/>
                  <a:graphic xmlns:a="http://schemas.openxmlformats.org/drawingml/2006/main">
                    <a:graphicData uri="http://schemas.openxmlformats.org/drawingml/2006/picture">
                      <pic:pic xmlns:pic="http://schemas.openxmlformats.org/drawingml/2006/picture">
                        <pic:nvPicPr>
                          <pic:cNvPr id="295" name="ID_74D3747A8757406480E1D85BEAFB692E"/>
                          <pic:cNvPicPr/>
                        </pic:nvPicPr>
                        <pic:blipFill>
                          <a:blip r:embed="rId96"/>
                          <a:stretch>
                            <a:fillRect/>
                          </a:stretch>
                        </pic:blipFill>
                        <pic:spPr>
                          <a:xfrm>
                            <a:off x="0" y="0"/>
                            <a:ext cx="379095" cy="683895"/>
                          </a:xfrm>
                          <a:prstGeom prst="rect">
                            <a:avLst/>
                          </a:prstGeom>
                          <a:noFill/>
                          <a:ln>
                            <a:noFill/>
                          </a:ln>
                        </pic:spPr>
                      </pic:pic>
                    </a:graphicData>
                  </a:graphic>
                </wp:anchor>
              </w:drawing>
            </w:r>
          </w:p>
        </w:tc>
      </w:tr>
      <w:tr w14:paraId="4BF18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ABA1BD6">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87</w:t>
            </w:r>
          </w:p>
        </w:tc>
        <w:tc>
          <w:tcPr>
            <w:tcW w:w="1701" w:type="dxa"/>
            <w:tcBorders>
              <w:tl2br w:val="nil"/>
              <w:tr2bl w:val="nil"/>
            </w:tcBorders>
            <w:shd w:val="clear" w:color="auto" w:fill="auto"/>
            <w:vAlign w:val="center"/>
          </w:tcPr>
          <w:p w14:paraId="7B66DDD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木制储物推车</w:t>
            </w:r>
          </w:p>
        </w:tc>
        <w:tc>
          <w:tcPr>
            <w:tcW w:w="6813" w:type="dxa"/>
            <w:tcBorders>
              <w:tl2br w:val="nil"/>
              <w:tr2bl w:val="nil"/>
            </w:tcBorders>
            <w:shd w:val="clear" w:color="auto" w:fill="auto"/>
            <w:vAlign w:val="center"/>
          </w:tcPr>
          <w:p w14:paraId="4515FD2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L90xW50xH81cm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（1）储物式推车，收纳空间大，方便物品转移；脚轮带刹车设计，操作便捷。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（1）采用厚度15mm的桦木纹饰面环保橡胶木拼板，三层储物盒内空尺寸：870x460x60mm，层间间距：245mm；侧板镂空大小：380x245mm。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（2）底部安装4个高度为80mm的优质平底万向脚轮，脚轮运行平稳无声，可360°旋转，转动顺滑，刹车灵敏，踏板不易断裂。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（3）木蜡油：采用环保的水性木蜡油封边，成分天然，分子机构细小，成膜牢固，密封性好，环保无毒。</w:t>
            </w:r>
          </w:p>
        </w:tc>
        <w:tc>
          <w:tcPr>
            <w:tcW w:w="1999" w:type="dxa"/>
            <w:tcBorders>
              <w:tl2br w:val="nil"/>
              <w:tr2bl w:val="nil"/>
            </w:tcBorders>
            <w:shd w:val="clear" w:color="auto" w:fill="auto"/>
            <w:vAlign w:val="center"/>
          </w:tcPr>
          <w:p w14:paraId="620B244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229235</wp:posOffset>
                  </wp:positionH>
                  <wp:positionV relativeFrom="paragraph">
                    <wp:posOffset>20320</wp:posOffset>
                  </wp:positionV>
                  <wp:extent cx="781685" cy="683260"/>
                  <wp:effectExtent l="0" t="0" r="5715" b="2540"/>
                  <wp:wrapNone/>
                  <wp:docPr id="296" name="ID_B21BE65668A443C6AF797578864152AA"/>
                  <wp:cNvGraphicFramePr/>
                  <a:graphic xmlns:a="http://schemas.openxmlformats.org/drawingml/2006/main">
                    <a:graphicData uri="http://schemas.openxmlformats.org/drawingml/2006/picture">
                      <pic:pic xmlns:pic="http://schemas.openxmlformats.org/drawingml/2006/picture">
                        <pic:nvPicPr>
                          <pic:cNvPr id="296" name="ID_B21BE65668A443C6AF797578864152AA"/>
                          <pic:cNvPicPr/>
                        </pic:nvPicPr>
                        <pic:blipFill>
                          <a:blip r:embed="rId97"/>
                          <a:stretch>
                            <a:fillRect/>
                          </a:stretch>
                        </pic:blipFill>
                        <pic:spPr>
                          <a:xfrm>
                            <a:off x="0" y="0"/>
                            <a:ext cx="781685" cy="683260"/>
                          </a:xfrm>
                          <a:prstGeom prst="rect">
                            <a:avLst/>
                          </a:prstGeom>
                          <a:noFill/>
                          <a:ln>
                            <a:noFill/>
                          </a:ln>
                        </pic:spPr>
                      </pic:pic>
                    </a:graphicData>
                  </a:graphic>
                </wp:anchor>
              </w:drawing>
            </w:r>
          </w:p>
        </w:tc>
      </w:tr>
      <w:tr w14:paraId="2410E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5B7F64F">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88</w:t>
            </w:r>
          </w:p>
        </w:tc>
        <w:tc>
          <w:tcPr>
            <w:tcW w:w="1701" w:type="dxa"/>
            <w:tcBorders>
              <w:tl2br w:val="nil"/>
              <w:tr2bl w:val="nil"/>
            </w:tcBorders>
            <w:shd w:val="clear" w:color="auto" w:fill="auto"/>
            <w:vAlign w:val="center"/>
          </w:tcPr>
          <w:p w14:paraId="6D171EE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铁艺收纳展示柜组合</w:t>
            </w:r>
          </w:p>
        </w:tc>
        <w:tc>
          <w:tcPr>
            <w:tcW w:w="6813" w:type="dxa"/>
            <w:tcBorders>
              <w:tl2br w:val="nil"/>
              <w:tr2bl w:val="nil"/>
            </w:tcBorders>
            <w:shd w:val="clear" w:color="auto" w:fill="auto"/>
            <w:vAlign w:val="center"/>
          </w:tcPr>
          <w:p w14:paraId="4E230AB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L246xW41xH126cm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（1）层板可调节，柜体间利用铁艺挂杆组合，能存放不同尺寸的材料，适用多场景下使用。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（2）铁架表面采用静电粉末喷涂工艺，圆润光滑，防腐抗锈，坚固耐用。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（3）所有板材截面均采用全自动封边机精加工封边处理，保证封边界面平整，让封边条和板材贴合紧密。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（1）采用厚度25mm的桦木纹环保双饰面浸渍胶膜纸饰面刨花板；铁架框使用φ12mm的挂杆，采用优质冷轧铁艺，表面采用静电粉末喷涂工艺。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板尺寸：800x400x25mm；每层分别间隔375/175/175mm；顶部造型支架距离面板高370mm；支撑铁架每200mm高度一个安装档位，可自由选择层板安装位置，拆装便捷。其中一个柜体背板安装2块白色铁艺双面洞洞板，尺寸L834x400x16mm，可挂各种物件，配套2个L230xW90xH50mm铁艺收纳盒，4个L75xW65xH110mm铁艺笔盒，5个铁艺文件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（3）封边条：采用厚度1.5mmPVC封边条，表面光滑平整，环保无毒，封边细腻硬度高，线条均匀，转角过渡自然，无脱胶，表面光滑平整无胶渍。</w:t>
            </w:r>
          </w:p>
        </w:tc>
        <w:tc>
          <w:tcPr>
            <w:tcW w:w="1999" w:type="dxa"/>
            <w:tcBorders>
              <w:tl2br w:val="nil"/>
              <w:tr2bl w:val="nil"/>
            </w:tcBorders>
            <w:shd w:val="clear" w:color="auto" w:fill="auto"/>
            <w:vAlign w:val="center"/>
          </w:tcPr>
          <w:p w14:paraId="69173F6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146050</wp:posOffset>
                  </wp:positionH>
                  <wp:positionV relativeFrom="paragraph">
                    <wp:posOffset>20320</wp:posOffset>
                  </wp:positionV>
                  <wp:extent cx="947420" cy="683260"/>
                  <wp:effectExtent l="0" t="0" r="5080" b="2540"/>
                  <wp:wrapNone/>
                  <wp:docPr id="297" name="ID_061F3D3BCCFC4F19939785590A2F78FE"/>
                  <wp:cNvGraphicFramePr/>
                  <a:graphic xmlns:a="http://schemas.openxmlformats.org/drawingml/2006/main">
                    <a:graphicData uri="http://schemas.openxmlformats.org/drawingml/2006/picture">
                      <pic:pic xmlns:pic="http://schemas.openxmlformats.org/drawingml/2006/picture">
                        <pic:nvPicPr>
                          <pic:cNvPr id="297" name="ID_061F3D3BCCFC4F19939785590A2F78FE"/>
                          <pic:cNvPicPr/>
                        </pic:nvPicPr>
                        <pic:blipFill>
                          <a:blip r:embed="rId98"/>
                          <a:stretch>
                            <a:fillRect/>
                          </a:stretch>
                        </pic:blipFill>
                        <pic:spPr>
                          <a:xfrm>
                            <a:off x="0" y="0"/>
                            <a:ext cx="947420" cy="683260"/>
                          </a:xfrm>
                          <a:prstGeom prst="rect">
                            <a:avLst/>
                          </a:prstGeom>
                          <a:noFill/>
                          <a:ln>
                            <a:noFill/>
                          </a:ln>
                        </pic:spPr>
                      </pic:pic>
                    </a:graphicData>
                  </a:graphic>
                </wp:anchor>
              </w:drawing>
            </w:r>
          </w:p>
        </w:tc>
      </w:tr>
      <w:tr w14:paraId="04216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6AA1714">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89</w:t>
            </w:r>
          </w:p>
        </w:tc>
        <w:tc>
          <w:tcPr>
            <w:tcW w:w="1701" w:type="dxa"/>
            <w:tcBorders>
              <w:tl2br w:val="nil"/>
              <w:tr2bl w:val="nil"/>
            </w:tcBorders>
            <w:shd w:val="clear" w:color="auto" w:fill="auto"/>
            <w:vAlign w:val="center"/>
          </w:tcPr>
          <w:p w14:paraId="091D442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雪松造型阅读桌</w:t>
            </w:r>
          </w:p>
        </w:tc>
        <w:tc>
          <w:tcPr>
            <w:tcW w:w="6813" w:type="dxa"/>
            <w:tcBorders>
              <w:tl2br w:val="nil"/>
              <w:tr2bl w:val="nil"/>
            </w:tcBorders>
            <w:shd w:val="clear" w:color="auto" w:fill="auto"/>
            <w:vAlign w:val="center"/>
          </w:tcPr>
          <w:p w14:paraId="737C7E6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L120xW80xH90cm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（1）雪松造型，兼具装饰、阅读、休息功能。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（1）采用厚度18mm的环保实木多层板。桌面最底处离地549mm，桌面宽316mm，与水平面夹角15°；桌面档条18mm厚/40mm宽；顶部搁物盒内空L1164xW80xL59mm，双面贴白色书写防火板，可水性笔书写。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（4）油墨：采用环保水性油墨，颜色饱满，无毒无异味。</w:t>
            </w:r>
          </w:p>
        </w:tc>
        <w:tc>
          <w:tcPr>
            <w:tcW w:w="1999" w:type="dxa"/>
            <w:tcBorders>
              <w:tl2br w:val="nil"/>
              <w:tr2bl w:val="nil"/>
            </w:tcBorders>
            <w:shd w:val="clear" w:color="auto" w:fill="auto"/>
            <w:vAlign w:val="center"/>
          </w:tcPr>
          <w:p w14:paraId="340DF35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197485</wp:posOffset>
                  </wp:positionH>
                  <wp:positionV relativeFrom="paragraph">
                    <wp:posOffset>20320</wp:posOffset>
                  </wp:positionV>
                  <wp:extent cx="844550" cy="683260"/>
                  <wp:effectExtent l="0" t="0" r="6350" b="2540"/>
                  <wp:wrapNone/>
                  <wp:docPr id="322" name="ID_C953F736F5BF49C5B847E311C06667C1"/>
                  <wp:cNvGraphicFramePr/>
                  <a:graphic xmlns:a="http://schemas.openxmlformats.org/drawingml/2006/main">
                    <a:graphicData uri="http://schemas.openxmlformats.org/drawingml/2006/picture">
                      <pic:pic xmlns:pic="http://schemas.openxmlformats.org/drawingml/2006/picture">
                        <pic:nvPicPr>
                          <pic:cNvPr id="322" name="ID_C953F736F5BF49C5B847E311C06667C1"/>
                          <pic:cNvPicPr/>
                        </pic:nvPicPr>
                        <pic:blipFill>
                          <a:blip r:embed="rId99"/>
                          <a:stretch>
                            <a:fillRect/>
                          </a:stretch>
                        </pic:blipFill>
                        <pic:spPr>
                          <a:xfrm>
                            <a:off x="0" y="0"/>
                            <a:ext cx="844550" cy="683260"/>
                          </a:xfrm>
                          <a:prstGeom prst="rect">
                            <a:avLst/>
                          </a:prstGeom>
                          <a:noFill/>
                          <a:ln>
                            <a:noFill/>
                          </a:ln>
                        </pic:spPr>
                      </pic:pic>
                    </a:graphicData>
                  </a:graphic>
                </wp:anchor>
              </w:drawing>
            </w:r>
          </w:p>
        </w:tc>
      </w:tr>
      <w:tr w14:paraId="4A6F3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B198CA3">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90</w:t>
            </w:r>
          </w:p>
        </w:tc>
        <w:tc>
          <w:tcPr>
            <w:tcW w:w="1701" w:type="dxa"/>
            <w:tcBorders>
              <w:tl2br w:val="nil"/>
              <w:tr2bl w:val="nil"/>
            </w:tcBorders>
            <w:shd w:val="clear" w:color="auto" w:fill="auto"/>
            <w:vAlign w:val="center"/>
          </w:tcPr>
          <w:p w14:paraId="1B498B6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原木拱桥椅.27cm</w:t>
            </w:r>
          </w:p>
        </w:tc>
        <w:tc>
          <w:tcPr>
            <w:tcW w:w="6813" w:type="dxa"/>
            <w:tcBorders>
              <w:tl2br w:val="nil"/>
              <w:tr2bl w:val="nil"/>
            </w:tcBorders>
            <w:shd w:val="clear" w:color="auto" w:fill="auto"/>
            <w:vAlign w:val="center"/>
          </w:tcPr>
          <w:p w14:paraId="1519CC4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L30xW30xH53cm（座高27cm）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（1）整体为工字框架，拆装结构，使用木梢做榫孔定位加固安装，使用二合一、自攻丝进行连接，组搭安装便捷。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（2）背板拱桥造型、圆孔提手设计，兼具美观与实用。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（1）座板：采用厚度12mm的饰面环保实木多层板双贴橡胶木纹皮；座高:270mm；座深:270mm；座宽:290mm。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采用厚度18mm的饰面环保实木多层板双贴橡胶木纹皮，顶部为原木色木拱桥造型，靠背最大高度109mm,最小高度105mm，圆滑对称；圆滑对称；中间椭圆提手孔设计手提便携，孔位尺寸：80x30mm；背板加宽，弧形修饰，使坐姿靠背更舒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（3）椅脚：椅脚厚度22mm、其余框架厚度18mm的环保橡胶木拼板，底部安装塑料脚垫，高度为H6.5mm，直径19mm，软性防滑。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（4）产品整体采用环保的水性漆，全封闭涂装工艺，漆面光泽高透，颜色均匀，附着能力强，通透度高。座板及靠背采用环保的水性木蜡油封边，成分天然，分子机构细小，成膜牢固，密封性好。</w:t>
            </w:r>
          </w:p>
        </w:tc>
        <w:tc>
          <w:tcPr>
            <w:tcW w:w="1999" w:type="dxa"/>
            <w:tcBorders>
              <w:tl2br w:val="nil"/>
              <w:tr2bl w:val="nil"/>
            </w:tcBorders>
            <w:shd w:val="clear" w:color="auto" w:fill="auto"/>
            <w:vAlign w:val="center"/>
          </w:tcPr>
          <w:p w14:paraId="4A5923B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370840</wp:posOffset>
                  </wp:positionH>
                  <wp:positionV relativeFrom="paragraph">
                    <wp:posOffset>20320</wp:posOffset>
                  </wp:positionV>
                  <wp:extent cx="497840" cy="683895"/>
                  <wp:effectExtent l="0" t="0" r="10160" b="1905"/>
                  <wp:wrapNone/>
                  <wp:docPr id="323" name="ID_6A75E546E96D4DF39E1B393194BCE1BD"/>
                  <wp:cNvGraphicFramePr/>
                  <a:graphic xmlns:a="http://schemas.openxmlformats.org/drawingml/2006/main">
                    <a:graphicData uri="http://schemas.openxmlformats.org/drawingml/2006/picture">
                      <pic:pic xmlns:pic="http://schemas.openxmlformats.org/drawingml/2006/picture">
                        <pic:nvPicPr>
                          <pic:cNvPr id="323" name="ID_6A75E546E96D4DF39E1B393194BCE1BD"/>
                          <pic:cNvPicPr/>
                        </pic:nvPicPr>
                        <pic:blipFill>
                          <a:blip r:embed="rId100"/>
                          <a:stretch>
                            <a:fillRect/>
                          </a:stretch>
                        </pic:blipFill>
                        <pic:spPr>
                          <a:xfrm>
                            <a:off x="0" y="0"/>
                            <a:ext cx="497840" cy="683895"/>
                          </a:xfrm>
                          <a:prstGeom prst="rect">
                            <a:avLst/>
                          </a:prstGeom>
                          <a:noFill/>
                          <a:ln>
                            <a:noFill/>
                          </a:ln>
                        </pic:spPr>
                      </pic:pic>
                    </a:graphicData>
                  </a:graphic>
                </wp:anchor>
              </w:drawing>
            </w:r>
          </w:p>
        </w:tc>
      </w:tr>
      <w:tr w14:paraId="5E73F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D1A53DA">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91</w:t>
            </w:r>
          </w:p>
        </w:tc>
        <w:tc>
          <w:tcPr>
            <w:tcW w:w="1701" w:type="dxa"/>
            <w:tcBorders>
              <w:tl2br w:val="nil"/>
              <w:tr2bl w:val="nil"/>
            </w:tcBorders>
            <w:shd w:val="clear" w:color="auto" w:fill="auto"/>
            <w:vAlign w:val="center"/>
          </w:tcPr>
          <w:p w14:paraId="56938E9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4层分类书柜</w:t>
            </w:r>
          </w:p>
        </w:tc>
        <w:tc>
          <w:tcPr>
            <w:tcW w:w="6813" w:type="dxa"/>
            <w:tcBorders>
              <w:tl2br w:val="nil"/>
              <w:tr2bl w:val="nil"/>
            </w:tcBorders>
            <w:shd w:val="clear" w:color="auto" w:fill="auto"/>
            <w:vAlign w:val="center"/>
          </w:tcPr>
          <w:p w14:paraId="00EB917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L90xW30xH121cm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（1）4层分类多方式收纳书架，能适用多种书籍的摆放。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（2）顶部白板可擦写，能方便标签分类。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16mm的桦木纹/乳白色的环保双饰面浸渍胶膜纸饰面刨花板，及厚度18mm的乳白色的环保双饰面浸渍胶膜纸饰面实木多层板。顶部(白色挡板位置)可收纳，内空尺寸：870x258x40mm；上层3个格子，每个格子内空尺寸：280x300x250mm，底层通透1格，内空尺寸：870x300x210mm，中间为2层斜靠书架，层高尺寸：270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（3）封边条：采用厚度1.5mmPVC封边条，表面光滑平整，环保无毒，封边细腻硬度高，线条均匀，转角过渡自然，无脱胶，表面光滑平整无胶渍。</w:t>
            </w:r>
          </w:p>
        </w:tc>
        <w:tc>
          <w:tcPr>
            <w:tcW w:w="1999" w:type="dxa"/>
            <w:tcBorders>
              <w:tl2br w:val="nil"/>
              <w:tr2bl w:val="nil"/>
            </w:tcBorders>
            <w:shd w:val="clear" w:color="auto" w:fill="auto"/>
            <w:vAlign w:val="center"/>
          </w:tcPr>
          <w:p w14:paraId="3E4776E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355600</wp:posOffset>
                  </wp:positionH>
                  <wp:positionV relativeFrom="paragraph">
                    <wp:posOffset>20320</wp:posOffset>
                  </wp:positionV>
                  <wp:extent cx="528320" cy="683895"/>
                  <wp:effectExtent l="0" t="0" r="5080" b="1905"/>
                  <wp:wrapNone/>
                  <wp:docPr id="324" name="ID_46859E246FF24A7D9223AD344D7A6DC1"/>
                  <wp:cNvGraphicFramePr/>
                  <a:graphic xmlns:a="http://schemas.openxmlformats.org/drawingml/2006/main">
                    <a:graphicData uri="http://schemas.openxmlformats.org/drawingml/2006/picture">
                      <pic:pic xmlns:pic="http://schemas.openxmlformats.org/drawingml/2006/picture">
                        <pic:nvPicPr>
                          <pic:cNvPr id="324" name="ID_46859E246FF24A7D9223AD344D7A6DC1"/>
                          <pic:cNvPicPr/>
                        </pic:nvPicPr>
                        <pic:blipFill>
                          <a:blip r:embed="rId101"/>
                          <a:stretch>
                            <a:fillRect/>
                          </a:stretch>
                        </pic:blipFill>
                        <pic:spPr>
                          <a:xfrm>
                            <a:off x="0" y="0"/>
                            <a:ext cx="528320" cy="683895"/>
                          </a:xfrm>
                          <a:prstGeom prst="rect">
                            <a:avLst/>
                          </a:prstGeom>
                          <a:noFill/>
                          <a:ln>
                            <a:noFill/>
                          </a:ln>
                        </pic:spPr>
                      </pic:pic>
                    </a:graphicData>
                  </a:graphic>
                </wp:anchor>
              </w:drawing>
            </w:r>
          </w:p>
        </w:tc>
      </w:tr>
      <w:tr w14:paraId="71220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38B1186">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92</w:t>
            </w:r>
          </w:p>
        </w:tc>
        <w:tc>
          <w:tcPr>
            <w:tcW w:w="1701" w:type="dxa"/>
            <w:tcBorders>
              <w:tl2br w:val="nil"/>
              <w:tr2bl w:val="nil"/>
            </w:tcBorders>
            <w:shd w:val="clear" w:color="auto" w:fill="auto"/>
            <w:vAlign w:val="center"/>
          </w:tcPr>
          <w:p w14:paraId="665DED2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小方桌</w:t>
            </w:r>
          </w:p>
        </w:tc>
        <w:tc>
          <w:tcPr>
            <w:tcW w:w="6813" w:type="dxa"/>
            <w:tcBorders>
              <w:tl2br w:val="nil"/>
              <w:tr2bl w:val="nil"/>
            </w:tcBorders>
            <w:shd w:val="clear" w:color="auto" w:fill="auto"/>
            <w:vAlign w:val="center"/>
          </w:tcPr>
          <w:p w14:paraId="21F896D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规格：L60xW60xH30cm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桌面采用厚度24mm的环保实木多层板，板材甲醛释放量≤0.05mg/m3，抗菌率≥99%，防霉性能测试结果为0%，外观质量、理化性能等符合国家标准；桌脚采用桦木原木，直径φ48mm，材质厚实坚固，纹理均匀细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（2）油漆：采用环保的水性漆，全封闭涂装工艺，漆面光泽高透，颜色均匀，抗菌率≥99%；经500h以上耐人工气候老化检测结果为粉化0级，涂膜无起泡、无剥落、无裂纹符合标准要求。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（3）五金件：采用环保五金，可迁移元素中锑、钡、镉、铅、硒、砷、铬、汞八大金属含量；防腐抗锈，经中性盐雾测试无生锈、无气泡、无粉化等腐蚀现象，符合标准要求。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（4）塑料连接件：采用环保无毒塑料，材质坚硬，邻苯二甲酸酯，可迁移元素中锑、钡、镉、铅、硒、砷、铬、汞八大金属含量符合标准要求。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（5）塑料：采用环保无毒材质，优质不易开裂，邻苯二甲酸酯，可迁移元素中锑、钡、镉、铅、硒、砷、铬、汞八大金属含量符合标准要求。</w:t>
            </w:r>
          </w:p>
        </w:tc>
        <w:tc>
          <w:tcPr>
            <w:tcW w:w="1999" w:type="dxa"/>
            <w:tcBorders>
              <w:tl2br w:val="nil"/>
              <w:tr2bl w:val="nil"/>
            </w:tcBorders>
            <w:shd w:val="clear" w:color="auto" w:fill="auto"/>
            <w:vAlign w:val="center"/>
          </w:tcPr>
          <w:p w14:paraId="02DE70C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200025</wp:posOffset>
                  </wp:positionH>
                  <wp:positionV relativeFrom="paragraph">
                    <wp:posOffset>65405</wp:posOffset>
                  </wp:positionV>
                  <wp:extent cx="897255" cy="593725"/>
                  <wp:effectExtent l="0" t="0" r="4445" b="3175"/>
                  <wp:wrapNone/>
                  <wp:docPr id="325" name="ID_7F345637A20A41D8AAEE7178217A5858"/>
                  <wp:cNvGraphicFramePr/>
                  <a:graphic xmlns:a="http://schemas.openxmlformats.org/drawingml/2006/main">
                    <a:graphicData uri="http://schemas.openxmlformats.org/drawingml/2006/picture">
                      <pic:pic xmlns:pic="http://schemas.openxmlformats.org/drawingml/2006/picture">
                        <pic:nvPicPr>
                          <pic:cNvPr id="325" name="ID_7F345637A20A41D8AAEE7178217A5858"/>
                          <pic:cNvPicPr/>
                        </pic:nvPicPr>
                        <pic:blipFill>
                          <a:blip r:embed="rId102"/>
                          <a:stretch>
                            <a:fillRect/>
                          </a:stretch>
                        </pic:blipFill>
                        <pic:spPr>
                          <a:xfrm>
                            <a:off x="0" y="0"/>
                            <a:ext cx="897255" cy="593725"/>
                          </a:xfrm>
                          <a:prstGeom prst="rect">
                            <a:avLst/>
                          </a:prstGeom>
                          <a:noFill/>
                          <a:ln>
                            <a:noFill/>
                          </a:ln>
                        </pic:spPr>
                      </pic:pic>
                    </a:graphicData>
                  </a:graphic>
                </wp:anchor>
              </w:drawing>
            </w:r>
          </w:p>
        </w:tc>
      </w:tr>
      <w:tr w14:paraId="39662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0294CF9">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93</w:t>
            </w:r>
          </w:p>
        </w:tc>
        <w:tc>
          <w:tcPr>
            <w:tcW w:w="1701" w:type="dxa"/>
            <w:tcBorders>
              <w:tl2br w:val="nil"/>
              <w:tr2bl w:val="nil"/>
            </w:tcBorders>
            <w:shd w:val="clear" w:color="auto" w:fill="auto"/>
            <w:vAlign w:val="center"/>
          </w:tcPr>
          <w:p w14:paraId="7BEC068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巴士造型图书修补桌</w:t>
            </w:r>
          </w:p>
        </w:tc>
        <w:tc>
          <w:tcPr>
            <w:tcW w:w="6813" w:type="dxa"/>
            <w:tcBorders>
              <w:tl2br w:val="nil"/>
              <w:tr2bl w:val="nil"/>
            </w:tcBorders>
            <w:shd w:val="clear" w:color="auto" w:fill="auto"/>
            <w:vAlign w:val="center"/>
          </w:tcPr>
          <w:p w14:paraId="73970DC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规格：L100xW40xH90cm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（1）逼真巴士造型设计，配件丰富。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（3）铁艺表面采用静电粉末喷涂工艺，圆润光滑，防腐抗锈，坚固耐用。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（1）柜体采用厚度15mm的桦木纹饰面环保橡胶木拼板，桌面离地高度：520mm；侧板高度：630mm；顶部窗口镂空尺寸：680x160mm，顶部白板可使用水性笔进行擦写。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（2）门板内格子宽度：250mm，深度：360mm，上格高150mm，下格高：210mm，门板内装缓冲铰链，能实现门板开合。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（3）内侧板安装黑色方孔洞洞板，尺寸：L347xW347mm，产品搭配1个铁质收纳盒，尺寸：L230xW90xH50mm，1个铁质笔筒，尺寸：L75xW65xH110mm；以上配件均采用优质冷轧铁艺，表面采用静电粉末喷涂工艺。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（4）底部安装塑料脚垫，尺寸为Φ17xH10mm，共8个，软性防滑。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（6）油墨：采用环保水性油墨，颜色饱满，无毒无异味。</w:t>
            </w:r>
          </w:p>
        </w:tc>
        <w:tc>
          <w:tcPr>
            <w:tcW w:w="1999" w:type="dxa"/>
            <w:tcBorders>
              <w:tl2br w:val="nil"/>
              <w:tr2bl w:val="nil"/>
            </w:tcBorders>
            <w:shd w:val="clear" w:color="auto" w:fill="auto"/>
            <w:vAlign w:val="center"/>
          </w:tcPr>
          <w:p w14:paraId="611BC27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269240</wp:posOffset>
                  </wp:positionH>
                  <wp:positionV relativeFrom="paragraph">
                    <wp:posOffset>20955</wp:posOffset>
                  </wp:positionV>
                  <wp:extent cx="701040" cy="683260"/>
                  <wp:effectExtent l="0" t="0" r="10160" b="2540"/>
                  <wp:wrapNone/>
                  <wp:docPr id="326" name="ID_A02FE2F77A4B4157BB8681DEC1E4F3C4"/>
                  <wp:cNvGraphicFramePr/>
                  <a:graphic xmlns:a="http://schemas.openxmlformats.org/drawingml/2006/main">
                    <a:graphicData uri="http://schemas.openxmlformats.org/drawingml/2006/picture">
                      <pic:pic xmlns:pic="http://schemas.openxmlformats.org/drawingml/2006/picture">
                        <pic:nvPicPr>
                          <pic:cNvPr id="326" name="ID_A02FE2F77A4B4157BB8681DEC1E4F3C4"/>
                          <pic:cNvPicPr/>
                        </pic:nvPicPr>
                        <pic:blipFill>
                          <a:blip r:embed="rId103"/>
                          <a:stretch>
                            <a:fillRect/>
                          </a:stretch>
                        </pic:blipFill>
                        <pic:spPr>
                          <a:xfrm>
                            <a:off x="0" y="0"/>
                            <a:ext cx="701040" cy="683260"/>
                          </a:xfrm>
                          <a:prstGeom prst="rect">
                            <a:avLst/>
                          </a:prstGeom>
                          <a:noFill/>
                          <a:ln>
                            <a:noFill/>
                          </a:ln>
                        </pic:spPr>
                      </pic:pic>
                    </a:graphicData>
                  </a:graphic>
                </wp:anchor>
              </w:drawing>
            </w:r>
          </w:p>
        </w:tc>
      </w:tr>
      <w:tr w14:paraId="3BA18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26C9FE2E">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94</w:t>
            </w:r>
          </w:p>
        </w:tc>
        <w:tc>
          <w:tcPr>
            <w:tcW w:w="1701" w:type="dxa"/>
            <w:tcBorders>
              <w:tl2br w:val="nil"/>
              <w:tr2bl w:val="nil"/>
            </w:tcBorders>
            <w:shd w:val="clear" w:color="auto" w:fill="auto"/>
            <w:vAlign w:val="center"/>
          </w:tcPr>
          <w:p w14:paraId="6BE0A98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造型高书柜.圆形镂空</w:t>
            </w:r>
          </w:p>
        </w:tc>
        <w:tc>
          <w:tcPr>
            <w:tcW w:w="6813" w:type="dxa"/>
            <w:tcBorders>
              <w:tl2br w:val="nil"/>
              <w:tr2bl w:val="nil"/>
            </w:tcBorders>
            <w:shd w:val="clear" w:color="auto" w:fill="auto"/>
            <w:vAlign w:val="center"/>
          </w:tcPr>
          <w:p w14:paraId="62D52E2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L240xW35xH255cm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（1）圆形+软包阅读空间，营造舒适的阅读环境，增强幼儿的阅读兴趣。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（2）顶部绿色与白色半圆造型，集收纳、陈列、展示、休息于一体，既能独立摆放又易于搭配其他产品摆出空间造型。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（1）柜体采用厚度16mm的桦木纹/乳白色的环保双饰面浸渍胶膜纸饰面刨花板，造型板采用厚度18mm的桦木纹/乳白色双饰面实木多层板，背板采用厚度5mm的饰面环保实木纤维板。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高度：2200mm；造型圆内空直径：1020mm，内置软垫，尺寸：1170x270x50mm，面料柔软透气不闷热，坐垫内部填充环保高弹海绵，密度≥30kg/m³，回弹性强，不易变形，能拆卸清洗；中间设置宽80mm的书架挡板条，呈乳白色；坐垫下层为3格收纳，内控为377x142mm。右侧柜书架背板与垂直方向倾斜夹角为20°,每层间隔244mm；中间层为3格收纳，内控为304x377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（3）顶部为三个φ900mm半圆组成的圆弧造型，呈奶白，奶绿色。底部围脚高度60mm，底部安装塑料脚垫，高度为H10mm，直径17mm，总共16个，软性防滑。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（4）封边条：采用厚度1.5mmPVC封边条，表面光滑平整，环保无毒，封边细腻硬度高，线条均匀，转角过渡自然，无脱胶，表面光滑平整无胶渍。</w:t>
            </w:r>
          </w:p>
        </w:tc>
        <w:tc>
          <w:tcPr>
            <w:tcW w:w="1999" w:type="dxa"/>
            <w:tcBorders>
              <w:tl2br w:val="nil"/>
              <w:tr2bl w:val="nil"/>
            </w:tcBorders>
            <w:shd w:val="clear" w:color="auto" w:fill="auto"/>
            <w:vAlign w:val="center"/>
          </w:tcPr>
          <w:p w14:paraId="15F5B86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309245</wp:posOffset>
                  </wp:positionH>
                  <wp:positionV relativeFrom="paragraph">
                    <wp:posOffset>20320</wp:posOffset>
                  </wp:positionV>
                  <wp:extent cx="621665" cy="683260"/>
                  <wp:effectExtent l="0" t="0" r="635" b="2540"/>
                  <wp:wrapNone/>
                  <wp:docPr id="327" name="ID_B88560E67E83447CA45FEC7EC98794BA"/>
                  <wp:cNvGraphicFramePr/>
                  <a:graphic xmlns:a="http://schemas.openxmlformats.org/drawingml/2006/main">
                    <a:graphicData uri="http://schemas.openxmlformats.org/drawingml/2006/picture">
                      <pic:pic xmlns:pic="http://schemas.openxmlformats.org/drawingml/2006/picture">
                        <pic:nvPicPr>
                          <pic:cNvPr id="327" name="ID_B88560E67E83447CA45FEC7EC98794BA"/>
                          <pic:cNvPicPr/>
                        </pic:nvPicPr>
                        <pic:blipFill>
                          <a:blip r:embed="rId104"/>
                          <a:stretch>
                            <a:fillRect/>
                          </a:stretch>
                        </pic:blipFill>
                        <pic:spPr>
                          <a:xfrm>
                            <a:off x="0" y="0"/>
                            <a:ext cx="621665" cy="683260"/>
                          </a:xfrm>
                          <a:prstGeom prst="rect">
                            <a:avLst/>
                          </a:prstGeom>
                          <a:noFill/>
                          <a:ln>
                            <a:noFill/>
                          </a:ln>
                        </pic:spPr>
                      </pic:pic>
                    </a:graphicData>
                  </a:graphic>
                </wp:anchor>
              </w:drawing>
            </w:r>
          </w:p>
        </w:tc>
      </w:tr>
      <w:tr w14:paraId="2AFC1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22A918A">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95</w:t>
            </w:r>
          </w:p>
        </w:tc>
        <w:tc>
          <w:tcPr>
            <w:tcW w:w="1701" w:type="dxa"/>
            <w:tcBorders>
              <w:tl2br w:val="nil"/>
              <w:tr2bl w:val="nil"/>
            </w:tcBorders>
            <w:shd w:val="clear" w:color="auto" w:fill="auto"/>
            <w:vAlign w:val="center"/>
          </w:tcPr>
          <w:p w14:paraId="2866A17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造型高书柜.方形镂空</w:t>
            </w:r>
          </w:p>
        </w:tc>
        <w:tc>
          <w:tcPr>
            <w:tcW w:w="6813" w:type="dxa"/>
            <w:tcBorders>
              <w:tl2br w:val="nil"/>
              <w:tr2bl w:val="nil"/>
            </w:tcBorders>
            <w:shd w:val="clear" w:color="auto" w:fill="auto"/>
            <w:vAlign w:val="center"/>
          </w:tcPr>
          <w:p w14:paraId="599FA48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L240xW35xH255cm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（1）方形+软包阅读空间，营造舒适的阅读环境，增强幼儿的阅读兴趣。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（2）顶部绿色与白色半圆造型，集收纳、陈列、展示、休息于一体，既能独立摆放又易于搭配其他产品摆出空间造型。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（1）柜体采用厚度16mm的桦木纹/乳白色的环保双饰面浸渍胶膜纸饰面刨花板，侧板、造型板采用厚度18mm的桦木纹/乳白色双饰面实木多层板，背板采用厚度5mm的饰面环保实木纤维板。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高度：2200mm；造型方形内空：924x938mm，内置软垫，尺寸：1170x320x50mm，面料柔软透气不闷热，坐垫内部填充环保高弹海绵，密度≥30kg/m³，回弹性强，不易变形，能拆卸清洗；中间设置宽80mm的书架挡板条，呈乳白色；坐垫下层为3格收纳，内控为377x142mm；右侧柜书架背板与垂直方向倾斜夹角为20°,每层间隔244mm；中间层为3格收纳，内控为304x377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（3）顶部为三个φ900mm半圆组成的圆弧造型，呈奶白，奶绿色。底部围脚高度60mm，底部安装塑料脚垫，高度为H10mm，直径17mm，总共16个，软性防滑。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（4）封边条：采用厚度1.5mmPVC封边条，表面光滑平整，环保无毒，封边细腻硬度高，线条均匀，转角过渡自然，无脱胶，表面光滑平整无胶渍。</w:t>
            </w:r>
          </w:p>
        </w:tc>
        <w:tc>
          <w:tcPr>
            <w:tcW w:w="1999" w:type="dxa"/>
            <w:tcBorders>
              <w:tl2br w:val="nil"/>
              <w:tr2bl w:val="nil"/>
            </w:tcBorders>
            <w:shd w:val="clear" w:color="auto" w:fill="auto"/>
            <w:vAlign w:val="center"/>
          </w:tcPr>
          <w:p w14:paraId="4687E94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323850</wp:posOffset>
                  </wp:positionH>
                  <wp:positionV relativeFrom="paragraph">
                    <wp:posOffset>20320</wp:posOffset>
                  </wp:positionV>
                  <wp:extent cx="591820" cy="683895"/>
                  <wp:effectExtent l="0" t="0" r="5080" b="1905"/>
                  <wp:wrapNone/>
                  <wp:docPr id="328" name="ID_5E7C04FFC929441688B959E90CB884C1"/>
                  <wp:cNvGraphicFramePr/>
                  <a:graphic xmlns:a="http://schemas.openxmlformats.org/drawingml/2006/main">
                    <a:graphicData uri="http://schemas.openxmlformats.org/drawingml/2006/picture">
                      <pic:pic xmlns:pic="http://schemas.openxmlformats.org/drawingml/2006/picture">
                        <pic:nvPicPr>
                          <pic:cNvPr id="328" name="ID_5E7C04FFC929441688B959E90CB884C1"/>
                          <pic:cNvPicPr/>
                        </pic:nvPicPr>
                        <pic:blipFill>
                          <a:blip r:embed="rId105"/>
                          <a:stretch>
                            <a:fillRect/>
                          </a:stretch>
                        </pic:blipFill>
                        <pic:spPr>
                          <a:xfrm>
                            <a:off x="0" y="0"/>
                            <a:ext cx="591820" cy="683895"/>
                          </a:xfrm>
                          <a:prstGeom prst="rect">
                            <a:avLst/>
                          </a:prstGeom>
                          <a:noFill/>
                          <a:ln>
                            <a:noFill/>
                          </a:ln>
                        </pic:spPr>
                      </pic:pic>
                    </a:graphicData>
                  </a:graphic>
                </wp:anchor>
              </w:drawing>
            </w:r>
          </w:p>
        </w:tc>
      </w:tr>
      <w:tr w14:paraId="676D1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D7C0B3D">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96</w:t>
            </w:r>
          </w:p>
        </w:tc>
        <w:tc>
          <w:tcPr>
            <w:tcW w:w="1701" w:type="dxa"/>
            <w:tcBorders>
              <w:tl2br w:val="nil"/>
              <w:tr2bl w:val="nil"/>
            </w:tcBorders>
            <w:shd w:val="clear" w:color="auto" w:fill="auto"/>
            <w:vAlign w:val="center"/>
          </w:tcPr>
          <w:p w14:paraId="3CE5C52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移动小书架</w:t>
            </w:r>
          </w:p>
        </w:tc>
        <w:tc>
          <w:tcPr>
            <w:tcW w:w="6813" w:type="dxa"/>
            <w:tcBorders>
              <w:tl2br w:val="nil"/>
              <w:tr2bl w:val="nil"/>
            </w:tcBorders>
            <w:shd w:val="clear" w:color="auto" w:fill="auto"/>
            <w:vAlign w:val="center"/>
          </w:tcPr>
          <w:p w14:paraId="5D73248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L35xW25xH43.5cm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（1）带提手孔与万向轮设计，移动或提放切换便捷。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12mm的桦木纹饰面环保橡胶木拼板。小书架整体半月弧设计，背板整体高400mm,顶部设置提手孔，呈圆矩形，尺寸为：120x30mm，大小高度适合小孩自主拉动，增加孩子们的互动性。两侧板高度320mm形成高低错落感，储放物品一目了然。书架中间竖板隔开上下两个格子，竖板高度206mm前挡板高140mm，呈高低错落，便于竖放大小不同的图书，上下格内空分别尺寸：320x105x206mm/320x105x140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（2）底部安装4个1寸静音万向脚轮，脚轮运行平稳无声，可360°旋转，转动顺滑。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999" w:type="dxa"/>
            <w:tcBorders>
              <w:tl2br w:val="nil"/>
              <w:tr2bl w:val="nil"/>
            </w:tcBorders>
            <w:shd w:val="clear" w:color="auto" w:fill="auto"/>
            <w:vAlign w:val="center"/>
          </w:tcPr>
          <w:p w14:paraId="18E988F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318770</wp:posOffset>
                  </wp:positionH>
                  <wp:positionV relativeFrom="paragraph">
                    <wp:posOffset>20320</wp:posOffset>
                  </wp:positionV>
                  <wp:extent cx="601980" cy="683260"/>
                  <wp:effectExtent l="0" t="0" r="7620" b="2540"/>
                  <wp:wrapNone/>
                  <wp:docPr id="329" name="ID_CF9D369F565943D29080891A9DB213D8"/>
                  <wp:cNvGraphicFramePr/>
                  <a:graphic xmlns:a="http://schemas.openxmlformats.org/drawingml/2006/main">
                    <a:graphicData uri="http://schemas.openxmlformats.org/drawingml/2006/picture">
                      <pic:pic xmlns:pic="http://schemas.openxmlformats.org/drawingml/2006/picture">
                        <pic:nvPicPr>
                          <pic:cNvPr id="329" name="ID_CF9D369F565943D29080891A9DB213D8"/>
                          <pic:cNvPicPr/>
                        </pic:nvPicPr>
                        <pic:blipFill>
                          <a:blip r:embed="rId106"/>
                          <a:stretch>
                            <a:fillRect/>
                          </a:stretch>
                        </pic:blipFill>
                        <pic:spPr>
                          <a:xfrm>
                            <a:off x="0" y="0"/>
                            <a:ext cx="601980" cy="683260"/>
                          </a:xfrm>
                          <a:prstGeom prst="rect">
                            <a:avLst/>
                          </a:prstGeom>
                          <a:noFill/>
                          <a:ln>
                            <a:noFill/>
                          </a:ln>
                        </pic:spPr>
                      </pic:pic>
                    </a:graphicData>
                  </a:graphic>
                </wp:anchor>
              </w:drawing>
            </w:r>
          </w:p>
        </w:tc>
      </w:tr>
      <w:tr w14:paraId="0A13D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68D5281">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97</w:t>
            </w:r>
          </w:p>
        </w:tc>
        <w:tc>
          <w:tcPr>
            <w:tcW w:w="1701" w:type="dxa"/>
            <w:tcBorders>
              <w:tl2br w:val="nil"/>
              <w:tr2bl w:val="nil"/>
            </w:tcBorders>
            <w:shd w:val="clear" w:color="auto" w:fill="auto"/>
            <w:vAlign w:val="center"/>
          </w:tcPr>
          <w:p w14:paraId="32F0CCA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秘密游戏树洞</w:t>
            </w:r>
          </w:p>
        </w:tc>
        <w:tc>
          <w:tcPr>
            <w:tcW w:w="6813" w:type="dxa"/>
            <w:tcBorders>
              <w:tl2br w:val="nil"/>
              <w:tr2bl w:val="nil"/>
            </w:tcBorders>
            <w:shd w:val="clear" w:color="auto" w:fill="auto"/>
            <w:vAlign w:val="center"/>
          </w:tcPr>
          <w:p w14:paraId="6C6EB26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L103xW42xH150cm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（1）特色高顶松造型设计，吊牌黑板可擦写。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（2）配件丰富，布艺装饰，软化环境，能适用多场景下使用，提高趣味性。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18mm的环保实木多层板，前后造型挡板采用厚度12mm的环保实木多层板。前后造型板呈两层高顶松造型，最顶部（即树顶）采用R30mm圆角处理，造型板前后可挂小黑板。)。支撑圆棒采用桦木原木，共6条，尺寸为：φ22x396mm，屋顶搭配长2.4米的1条浅绿色半透帐纱以及1条白色半透帐纱，顶部使用一条魔术贴（无魔术贴）可轻松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(2）坐垫面离地高度：280mm，坐垫呈灰白色，尺寸为L770xW390xH30mm，面料柔软透气不闷热，坐垫内部填充环保高弹海绵，回弹性强，能拆卸清洗；坐柜下是2个左右对称的收纳格，内空尺寸为L376xW396xH145mm。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(3)围脚长度770mm,高60mm,底部安装塑料脚垫，高度为H10mm，直径17mm,共8个软性防滑。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(4)搭配：产品包含1块尺寸为L200xW150mm的吊牌黑板，表面贴黑色防火板，可使用粉笔进行擦写；1个450x450mm大小流苏方形抱枕，颜色姜黄色；1条浅绿色半透帐纱；1条白色半透帐纱；收纳布袋尺寸L300xW220mm。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p>
        </w:tc>
        <w:tc>
          <w:tcPr>
            <w:tcW w:w="1999" w:type="dxa"/>
            <w:tcBorders>
              <w:tl2br w:val="nil"/>
              <w:tr2bl w:val="nil"/>
            </w:tcBorders>
            <w:shd w:val="clear" w:color="auto" w:fill="auto"/>
            <w:vAlign w:val="center"/>
          </w:tcPr>
          <w:p w14:paraId="0AC23FE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226060</wp:posOffset>
                  </wp:positionH>
                  <wp:positionV relativeFrom="paragraph">
                    <wp:posOffset>55880</wp:posOffset>
                  </wp:positionV>
                  <wp:extent cx="654685" cy="628650"/>
                  <wp:effectExtent l="0" t="0" r="5715" b="6350"/>
                  <wp:wrapNone/>
                  <wp:docPr id="331" name="ID_B71CE37B6F8B4B779717CF5084FE212F"/>
                  <wp:cNvGraphicFramePr/>
                  <a:graphic xmlns:a="http://schemas.openxmlformats.org/drawingml/2006/main">
                    <a:graphicData uri="http://schemas.openxmlformats.org/drawingml/2006/picture">
                      <pic:pic xmlns:pic="http://schemas.openxmlformats.org/drawingml/2006/picture">
                        <pic:nvPicPr>
                          <pic:cNvPr id="331" name="ID_B71CE37B6F8B4B779717CF5084FE212F"/>
                          <pic:cNvPicPr/>
                        </pic:nvPicPr>
                        <pic:blipFill>
                          <a:blip r:embed="rId107"/>
                          <a:stretch>
                            <a:fillRect/>
                          </a:stretch>
                        </pic:blipFill>
                        <pic:spPr>
                          <a:xfrm>
                            <a:off x="0" y="0"/>
                            <a:ext cx="654685" cy="628650"/>
                          </a:xfrm>
                          <a:prstGeom prst="rect">
                            <a:avLst/>
                          </a:prstGeom>
                          <a:noFill/>
                          <a:ln>
                            <a:noFill/>
                          </a:ln>
                        </pic:spPr>
                      </pic:pic>
                    </a:graphicData>
                  </a:graphic>
                </wp:anchor>
              </w:drawing>
            </w:r>
          </w:p>
        </w:tc>
      </w:tr>
      <w:tr w14:paraId="6F43C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529A4745">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98</w:t>
            </w:r>
          </w:p>
        </w:tc>
        <w:tc>
          <w:tcPr>
            <w:tcW w:w="1701" w:type="dxa"/>
            <w:tcBorders>
              <w:tl2br w:val="nil"/>
              <w:tr2bl w:val="nil"/>
            </w:tcBorders>
            <w:shd w:val="clear" w:color="auto" w:fill="auto"/>
            <w:vAlign w:val="center"/>
          </w:tcPr>
          <w:p w14:paraId="1A5D65B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怀抱单人布艺沙发.天蓝</w:t>
            </w:r>
          </w:p>
        </w:tc>
        <w:tc>
          <w:tcPr>
            <w:tcW w:w="6813" w:type="dxa"/>
            <w:tcBorders>
              <w:tl2br w:val="nil"/>
              <w:tr2bl w:val="nil"/>
            </w:tcBorders>
            <w:shd w:val="clear" w:color="auto" w:fill="auto"/>
            <w:vAlign w:val="center"/>
          </w:tcPr>
          <w:p w14:paraId="25CD8DC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L60xW50xH61cm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1.面料材质：采用优质环保的涤纶纤维织造布料，颜色天蓝色，仿棉麻材质，耐磨，免洗。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3.产品特点：单人座，脚柱采用原木，经抛光上透明清漆。</w:t>
            </w:r>
          </w:p>
        </w:tc>
        <w:tc>
          <w:tcPr>
            <w:tcW w:w="1999" w:type="dxa"/>
            <w:tcBorders>
              <w:tl2br w:val="nil"/>
              <w:tr2bl w:val="nil"/>
            </w:tcBorders>
            <w:shd w:val="clear" w:color="auto" w:fill="auto"/>
            <w:vAlign w:val="center"/>
          </w:tcPr>
          <w:p w14:paraId="6F4D88E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299720</wp:posOffset>
                  </wp:positionH>
                  <wp:positionV relativeFrom="paragraph">
                    <wp:posOffset>20320</wp:posOffset>
                  </wp:positionV>
                  <wp:extent cx="640715" cy="683895"/>
                  <wp:effectExtent l="0" t="0" r="6985" b="1905"/>
                  <wp:wrapNone/>
                  <wp:docPr id="332" name="ID_E2C0B7614C1D4F81999E7ED031E7A005"/>
                  <wp:cNvGraphicFramePr/>
                  <a:graphic xmlns:a="http://schemas.openxmlformats.org/drawingml/2006/main">
                    <a:graphicData uri="http://schemas.openxmlformats.org/drawingml/2006/picture">
                      <pic:pic xmlns:pic="http://schemas.openxmlformats.org/drawingml/2006/picture">
                        <pic:nvPicPr>
                          <pic:cNvPr id="332" name="ID_E2C0B7614C1D4F81999E7ED031E7A005"/>
                          <pic:cNvPicPr/>
                        </pic:nvPicPr>
                        <pic:blipFill>
                          <a:blip r:embed="rId108"/>
                          <a:stretch>
                            <a:fillRect/>
                          </a:stretch>
                        </pic:blipFill>
                        <pic:spPr>
                          <a:xfrm>
                            <a:off x="0" y="0"/>
                            <a:ext cx="640715" cy="683895"/>
                          </a:xfrm>
                          <a:prstGeom prst="rect">
                            <a:avLst/>
                          </a:prstGeom>
                          <a:noFill/>
                          <a:ln>
                            <a:noFill/>
                          </a:ln>
                        </pic:spPr>
                      </pic:pic>
                    </a:graphicData>
                  </a:graphic>
                </wp:anchor>
              </w:drawing>
            </w:r>
          </w:p>
        </w:tc>
      </w:tr>
      <w:tr w14:paraId="602A0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44132A1B">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99</w:t>
            </w:r>
          </w:p>
        </w:tc>
        <w:tc>
          <w:tcPr>
            <w:tcW w:w="1701" w:type="dxa"/>
            <w:tcBorders>
              <w:tl2br w:val="nil"/>
              <w:tr2bl w:val="nil"/>
            </w:tcBorders>
            <w:shd w:val="clear" w:color="auto" w:fill="auto"/>
            <w:vAlign w:val="center"/>
          </w:tcPr>
          <w:p w14:paraId="5241CF3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月亮造型皮沙发组合</w:t>
            </w:r>
          </w:p>
        </w:tc>
        <w:tc>
          <w:tcPr>
            <w:tcW w:w="6813" w:type="dxa"/>
            <w:tcBorders>
              <w:tl2br w:val="nil"/>
              <w:tr2bl w:val="nil"/>
            </w:tcBorders>
            <w:shd w:val="clear" w:color="auto" w:fill="auto"/>
            <w:vAlign w:val="center"/>
          </w:tcPr>
          <w:p w14:paraId="008856D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规格：Ф35xH26cm（单个）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1.框架材质：采用环保实木内框架，坚实牢固。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2.面料材质：采用厚度1.5mm聚氨酯合成革超柔皮，触感轻柔，绿色环保，耐磨耐用。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4.产品特点：月亮造型，沙发底部安装环保塑料脚钉，软性防滑。</w:t>
            </w:r>
          </w:p>
        </w:tc>
        <w:tc>
          <w:tcPr>
            <w:tcW w:w="1999" w:type="dxa"/>
            <w:tcBorders>
              <w:tl2br w:val="nil"/>
              <w:tr2bl w:val="nil"/>
            </w:tcBorders>
            <w:shd w:val="clear" w:color="auto" w:fill="auto"/>
            <w:vAlign w:val="center"/>
          </w:tcPr>
          <w:p w14:paraId="4F04583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20320</wp:posOffset>
                  </wp:positionH>
                  <wp:positionV relativeFrom="paragraph">
                    <wp:posOffset>27940</wp:posOffset>
                  </wp:positionV>
                  <wp:extent cx="1199515" cy="669290"/>
                  <wp:effectExtent l="0" t="0" r="6985" b="3810"/>
                  <wp:wrapNone/>
                  <wp:docPr id="334" name="ID_B1F7F10D636141E5A9A1500E4AB20E54"/>
                  <wp:cNvGraphicFramePr/>
                  <a:graphic xmlns:a="http://schemas.openxmlformats.org/drawingml/2006/main">
                    <a:graphicData uri="http://schemas.openxmlformats.org/drawingml/2006/picture">
                      <pic:pic xmlns:pic="http://schemas.openxmlformats.org/drawingml/2006/picture">
                        <pic:nvPicPr>
                          <pic:cNvPr id="334" name="ID_B1F7F10D636141E5A9A1500E4AB20E54"/>
                          <pic:cNvPicPr/>
                        </pic:nvPicPr>
                        <pic:blipFill>
                          <a:blip r:embed="rId109"/>
                          <a:stretch>
                            <a:fillRect/>
                          </a:stretch>
                        </pic:blipFill>
                        <pic:spPr>
                          <a:xfrm>
                            <a:off x="0" y="0"/>
                            <a:ext cx="1199515" cy="669290"/>
                          </a:xfrm>
                          <a:prstGeom prst="rect">
                            <a:avLst/>
                          </a:prstGeom>
                          <a:noFill/>
                          <a:ln>
                            <a:noFill/>
                          </a:ln>
                        </pic:spPr>
                      </pic:pic>
                    </a:graphicData>
                  </a:graphic>
                </wp:anchor>
              </w:drawing>
            </w:r>
          </w:p>
        </w:tc>
      </w:tr>
      <w:tr w14:paraId="6E65A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11D5A1E3">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100</w:t>
            </w:r>
          </w:p>
        </w:tc>
        <w:tc>
          <w:tcPr>
            <w:tcW w:w="1701" w:type="dxa"/>
            <w:tcBorders>
              <w:tl2br w:val="nil"/>
              <w:tr2bl w:val="nil"/>
            </w:tcBorders>
            <w:shd w:val="clear" w:color="auto" w:fill="auto"/>
            <w:vAlign w:val="center"/>
          </w:tcPr>
          <w:p w14:paraId="132140A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森林小草地毯</w:t>
            </w:r>
          </w:p>
        </w:tc>
        <w:tc>
          <w:tcPr>
            <w:tcW w:w="6813" w:type="dxa"/>
            <w:tcBorders>
              <w:tl2br w:val="nil"/>
              <w:tr2bl w:val="nil"/>
            </w:tcBorders>
            <w:shd w:val="clear" w:color="auto" w:fill="auto"/>
            <w:vAlign w:val="center"/>
          </w:tcPr>
          <w:p w14:paraId="181E94A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规格：L270xW200cm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1.采用优质尼龙环保材料，弹性好而且富有光泽，具有很好的耐磨性和脚感，底部带防滑垫。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2.小草元素地毯内容丰富多彩，可让小朋友在游戏中学会认知，在课室的区角摆放中增添色彩。</w:t>
            </w:r>
          </w:p>
        </w:tc>
        <w:tc>
          <w:tcPr>
            <w:tcW w:w="1999" w:type="dxa"/>
            <w:tcBorders>
              <w:tl2br w:val="nil"/>
              <w:tr2bl w:val="nil"/>
            </w:tcBorders>
            <w:shd w:val="clear" w:color="auto" w:fill="auto"/>
            <w:vAlign w:val="center"/>
          </w:tcPr>
          <w:p w14:paraId="68DCB9E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163195</wp:posOffset>
                  </wp:positionH>
                  <wp:positionV relativeFrom="paragraph">
                    <wp:posOffset>20320</wp:posOffset>
                  </wp:positionV>
                  <wp:extent cx="913130" cy="683260"/>
                  <wp:effectExtent l="0" t="0" r="1270" b="2540"/>
                  <wp:wrapNone/>
                  <wp:docPr id="335" name="ID_9B4C2827FDD44A31961B728803ECD6E9"/>
                  <wp:cNvGraphicFramePr/>
                  <a:graphic xmlns:a="http://schemas.openxmlformats.org/drawingml/2006/main">
                    <a:graphicData uri="http://schemas.openxmlformats.org/drawingml/2006/picture">
                      <pic:pic xmlns:pic="http://schemas.openxmlformats.org/drawingml/2006/picture">
                        <pic:nvPicPr>
                          <pic:cNvPr id="335" name="ID_9B4C2827FDD44A31961B728803ECD6E9"/>
                          <pic:cNvPicPr/>
                        </pic:nvPicPr>
                        <pic:blipFill>
                          <a:blip r:embed="rId110"/>
                          <a:stretch>
                            <a:fillRect/>
                          </a:stretch>
                        </pic:blipFill>
                        <pic:spPr>
                          <a:xfrm>
                            <a:off x="0" y="0"/>
                            <a:ext cx="913130" cy="683260"/>
                          </a:xfrm>
                          <a:prstGeom prst="rect">
                            <a:avLst/>
                          </a:prstGeom>
                          <a:noFill/>
                          <a:ln>
                            <a:noFill/>
                          </a:ln>
                        </pic:spPr>
                      </pic:pic>
                    </a:graphicData>
                  </a:graphic>
                </wp:anchor>
              </w:drawing>
            </w:r>
          </w:p>
        </w:tc>
      </w:tr>
      <w:tr w14:paraId="23875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14706B4">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101</w:t>
            </w:r>
          </w:p>
        </w:tc>
        <w:tc>
          <w:tcPr>
            <w:tcW w:w="1701" w:type="dxa"/>
            <w:tcBorders>
              <w:tl2br w:val="nil"/>
              <w:tr2bl w:val="nil"/>
            </w:tcBorders>
            <w:shd w:val="clear" w:color="auto" w:fill="auto"/>
            <w:vAlign w:val="center"/>
          </w:tcPr>
          <w:p w14:paraId="4C2FFC8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列车造型书柜ABC</w:t>
            </w:r>
          </w:p>
        </w:tc>
        <w:tc>
          <w:tcPr>
            <w:tcW w:w="6813" w:type="dxa"/>
            <w:tcBorders>
              <w:tl2br w:val="nil"/>
              <w:tr2bl w:val="nil"/>
            </w:tcBorders>
            <w:shd w:val="clear" w:color="auto" w:fill="auto"/>
            <w:vAlign w:val="center"/>
          </w:tcPr>
          <w:p w14:paraId="13918F9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A:L96xW36xH42cm  B:L40xW42xH89cm C:L60xW28xH40cm（含软垫）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（1）童趣列车造型设计，增加幼儿的阅读兴趣；多空间收纳，易于搭配其他产品，兼具收纳、陈列与展示功能。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主体采用厚度15mm的桦木纹饰面环保橡胶木拼板。A车头：主功能为图书展示，车头为大图书展示架，宽度内空为200x270mm；侧边为四层单面展示书架，槽内空尺寸：长度690mm；每层配装2根φ3mm咖色弹力绳，有效防图书翻倒和图书褶皱卷边。底部安装塑料脚垫，高度为H10mm，直径17mm，软性防滑。B车身：主功能为图书收纳及涂画，柜体部分宽度：360mm；门板上贴由软体白板，可用水性笔画写，尺寸L400xW300mm；门板内装缓冲铰链，能实现门板开合。门板前设置小装饰书格，内控尺寸：L306xH100mm；两侧各一挂杆，挂杆长256mm，各配套一个收纳布袋，尺寸：L300xW220mm，按扣式挂装，可拆洗。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C车厢：主功能为图书储藏和座椅阅读，坐柜门板可打开，为镂空窗户设计，尺寸为：90x150mm；门板内装缓冲铰链，能实现门板开合，门板收纳格内空：282x266mm。坐柜上层铺设厚度为30mm的坐垫，尺寸为600x280mm，面料柔软透气不闷热，坐垫内部填充环保高弹海绵，密度≥30kg/m³，回弹性强，不易变形，能拆卸清洗。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（5）五金件：采用环保五金，可迁移元素中锑、钡、镉、铅、硒、砷、铬、汞八大金属含量符合标准要求。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（6）TPR塑料：采用环保无毒材质，优质不易开裂。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（7）铰链：采用优质门铰，在门即将关闭时会自动减速，不会发出碰撞的声音，关闭平稳。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（8）坐垫：可拆卸，内部填充海绵，回弹性强，不易变形。</w:t>
            </w:r>
          </w:p>
        </w:tc>
        <w:tc>
          <w:tcPr>
            <w:tcW w:w="1999" w:type="dxa"/>
            <w:tcBorders>
              <w:tl2br w:val="nil"/>
              <w:tr2bl w:val="nil"/>
            </w:tcBorders>
            <w:shd w:val="clear" w:color="auto" w:fill="auto"/>
            <w:vAlign w:val="center"/>
          </w:tcPr>
          <w:p w14:paraId="28D4F67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20320</wp:posOffset>
                  </wp:positionH>
                  <wp:positionV relativeFrom="paragraph">
                    <wp:posOffset>66040</wp:posOffset>
                  </wp:positionV>
                  <wp:extent cx="1199515" cy="592455"/>
                  <wp:effectExtent l="0" t="0" r="6985" b="4445"/>
                  <wp:wrapNone/>
                  <wp:docPr id="336" name="ID_3E27B279754E496BAF2F7CE52283D0BF"/>
                  <wp:cNvGraphicFramePr/>
                  <a:graphic xmlns:a="http://schemas.openxmlformats.org/drawingml/2006/main">
                    <a:graphicData uri="http://schemas.openxmlformats.org/drawingml/2006/picture">
                      <pic:pic xmlns:pic="http://schemas.openxmlformats.org/drawingml/2006/picture">
                        <pic:nvPicPr>
                          <pic:cNvPr id="336" name="ID_3E27B279754E496BAF2F7CE52283D0BF"/>
                          <pic:cNvPicPr/>
                        </pic:nvPicPr>
                        <pic:blipFill>
                          <a:blip r:embed="rId111"/>
                          <a:stretch>
                            <a:fillRect/>
                          </a:stretch>
                        </pic:blipFill>
                        <pic:spPr>
                          <a:xfrm>
                            <a:off x="0" y="0"/>
                            <a:ext cx="1199515" cy="592455"/>
                          </a:xfrm>
                          <a:prstGeom prst="rect">
                            <a:avLst/>
                          </a:prstGeom>
                          <a:noFill/>
                          <a:ln>
                            <a:noFill/>
                          </a:ln>
                        </pic:spPr>
                      </pic:pic>
                    </a:graphicData>
                  </a:graphic>
                </wp:anchor>
              </w:drawing>
            </w:r>
          </w:p>
        </w:tc>
      </w:tr>
      <w:tr w14:paraId="1568A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72A747F3">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102</w:t>
            </w:r>
          </w:p>
        </w:tc>
        <w:tc>
          <w:tcPr>
            <w:tcW w:w="1701" w:type="dxa"/>
            <w:tcBorders>
              <w:tl2br w:val="nil"/>
              <w:tr2bl w:val="nil"/>
            </w:tcBorders>
            <w:shd w:val="clear" w:color="auto" w:fill="auto"/>
            <w:vAlign w:val="center"/>
          </w:tcPr>
          <w:p w14:paraId="06E62D3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列车造型书柜.车厢</w:t>
            </w:r>
          </w:p>
        </w:tc>
        <w:tc>
          <w:tcPr>
            <w:tcW w:w="6813" w:type="dxa"/>
            <w:tcBorders>
              <w:tl2br w:val="nil"/>
              <w:tr2bl w:val="nil"/>
            </w:tcBorders>
            <w:shd w:val="clear" w:color="auto" w:fill="auto"/>
            <w:vAlign w:val="center"/>
          </w:tcPr>
          <w:p w14:paraId="73B7E66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L60xW28xH40cm（含软垫）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（1）童趣列车厢造型设计，增加幼儿的阅读兴趣；可坐可收纳，易于搭配其他产品，兼具收纳、陈列与教玩功能。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背板采用厚度5mm的饰面环保实木纤维板。主功能为图书储藏和座椅阅读，坐柜门板可打开，为镂空窗户设计，尺寸为：90x150mm；门板内装缓冲铰链，能实现门板开合，门板收纳格内空：282x266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（2）坐柜上层铺设厚度为30mm的坐垫，尺寸为600x280mm，面料柔软透气不闷热，坐垫内部填充环保高弹海绵，密度≥30kg/m³，回弹性强，不易变形，能拆卸清洗。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（5）油墨：采用环保水性油墨，颜色饱满，无毒无异味。</w:t>
            </w:r>
          </w:p>
        </w:tc>
        <w:tc>
          <w:tcPr>
            <w:tcW w:w="1999" w:type="dxa"/>
            <w:tcBorders>
              <w:tl2br w:val="nil"/>
              <w:tr2bl w:val="nil"/>
            </w:tcBorders>
            <w:shd w:val="clear" w:color="auto" w:fill="auto"/>
            <w:vAlign w:val="center"/>
          </w:tcPr>
          <w:p w14:paraId="5EA91E0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161290</wp:posOffset>
                  </wp:positionH>
                  <wp:positionV relativeFrom="paragraph">
                    <wp:posOffset>20320</wp:posOffset>
                  </wp:positionV>
                  <wp:extent cx="916940" cy="683260"/>
                  <wp:effectExtent l="0" t="0" r="10160" b="2540"/>
                  <wp:wrapNone/>
                  <wp:docPr id="337" name="ID_0E97C9B22F4945F7802E4CAC65EF9AD2"/>
                  <wp:cNvGraphicFramePr/>
                  <a:graphic xmlns:a="http://schemas.openxmlformats.org/drawingml/2006/main">
                    <a:graphicData uri="http://schemas.openxmlformats.org/drawingml/2006/picture">
                      <pic:pic xmlns:pic="http://schemas.openxmlformats.org/drawingml/2006/picture">
                        <pic:nvPicPr>
                          <pic:cNvPr id="337" name="ID_0E97C9B22F4945F7802E4CAC65EF9AD2"/>
                          <pic:cNvPicPr/>
                        </pic:nvPicPr>
                        <pic:blipFill>
                          <a:blip r:embed="rId112"/>
                          <a:stretch>
                            <a:fillRect/>
                          </a:stretch>
                        </pic:blipFill>
                        <pic:spPr>
                          <a:xfrm>
                            <a:off x="0" y="0"/>
                            <a:ext cx="916940" cy="683260"/>
                          </a:xfrm>
                          <a:prstGeom prst="rect">
                            <a:avLst/>
                          </a:prstGeom>
                          <a:noFill/>
                          <a:ln>
                            <a:noFill/>
                          </a:ln>
                        </pic:spPr>
                      </pic:pic>
                    </a:graphicData>
                  </a:graphic>
                </wp:anchor>
              </w:drawing>
            </w:r>
          </w:p>
        </w:tc>
      </w:tr>
      <w:tr w14:paraId="019E0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F447547">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103</w:t>
            </w:r>
          </w:p>
        </w:tc>
        <w:tc>
          <w:tcPr>
            <w:tcW w:w="1701" w:type="dxa"/>
            <w:tcBorders>
              <w:tl2br w:val="nil"/>
              <w:tr2bl w:val="nil"/>
            </w:tcBorders>
            <w:shd w:val="clear" w:color="auto" w:fill="auto"/>
            <w:vAlign w:val="center"/>
          </w:tcPr>
          <w:p w14:paraId="490ED40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扇形座椅柜A.有靠背</w:t>
            </w:r>
          </w:p>
        </w:tc>
        <w:tc>
          <w:tcPr>
            <w:tcW w:w="6813" w:type="dxa"/>
            <w:tcBorders>
              <w:tl2br w:val="nil"/>
              <w:tr2bl w:val="nil"/>
            </w:tcBorders>
            <w:shd w:val="clear" w:color="auto" w:fill="auto"/>
            <w:vAlign w:val="center"/>
          </w:tcPr>
          <w:p w14:paraId="6B60630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L119xW68xH65cm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（1）45°弧形可组合座椅柜，整体内弧边弧度R600mm，外弧边弧度R1200mm，易于搭配其他产品做成组合柜，形式多变。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（1）采用厚度18mm的环保实木多层板，下层内空高度254mm，上层书架格内空高314mm；侧板、中竖板大圆角弧度均为R100mm。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（2）坐柜铺厚度为30mm宽300mm的坐垫，靠背垫厚度30mm，宽320mm，面料柔软透气不闷热，坐垫内部填充环保高弹海绵，密度≥30kg/m³，回弹性强，不易变形，能拆卸清洗。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（3）底部安装塑料脚垫，高度为H10mm，直径40mm,软性防滑。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p>
        </w:tc>
        <w:tc>
          <w:tcPr>
            <w:tcW w:w="1999" w:type="dxa"/>
            <w:tcBorders>
              <w:tl2br w:val="nil"/>
              <w:tr2bl w:val="nil"/>
            </w:tcBorders>
            <w:shd w:val="clear" w:color="auto" w:fill="auto"/>
            <w:vAlign w:val="center"/>
          </w:tcPr>
          <w:p w14:paraId="415DD00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200660</wp:posOffset>
                  </wp:positionH>
                  <wp:positionV relativeFrom="paragraph">
                    <wp:posOffset>20320</wp:posOffset>
                  </wp:positionV>
                  <wp:extent cx="838200" cy="683895"/>
                  <wp:effectExtent l="0" t="0" r="0" b="1905"/>
                  <wp:wrapNone/>
                  <wp:docPr id="338" name="ID_E6D467857AE742C7B104E87F1CD5ED25"/>
                  <wp:cNvGraphicFramePr/>
                  <a:graphic xmlns:a="http://schemas.openxmlformats.org/drawingml/2006/main">
                    <a:graphicData uri="http://schemas.openxmlformats.org/drawingml/2006/picture">
                      <pic:pic xmlns:pic="http://schemas.openxmlformats.org/drawingml/2006/picture">
                        <pic:nvPicPr>
                          <pic:cNvPr id="338" name="ID_E6D467857AE742C7B104E87F1CD5ED25"/>
                          <pic:cNvPicPr/>
                        </pic:nvPicPr>
                        <pic:blipFill>
                          <a:blip r:embed="rId113"/>
                          <a:stretch>
                            <a:fillRect/>
                          </a:stretch>
                        </pic:blipFill>
                        <pic:spPr>
                          <a:xfrm>
                            <a:off x="0" y="0"/>
                            <a:ext cx="838200" cy="683895"/>
                          </a:xfrm>
                          <a:prstGeom prst="rect">
                            <a:avLst/>
                          </a:prstGeom>
                          <a:noFill/>
                          <a:ln>
                            <a:noFill/>
                          </a:ln>
                        </pic:spPr>
                      </pic:pic>
                    </a:graphicData>
                  </a:graphic>
                </wp:anchor>
              </w:drawing>
            </w:r>
          </w:p>
        </w:tc>
      </w:tr>
      <w:tr w14:paraId="40C11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134" w:type="dxa"/>
            <w:tcBorders>
              <w:tl2br w:val="nil"/>
              <w:tr2bl w:val="nil"/>
            </w:tcBorders>
            <w:shd w:val="clear" w:color="auto" w:fill="auto"/>
            <w:vAlign w:val="center"/>
          </w:tcPr>
          <w:p w14:paraId="31A65C9B">
            <w:pPr>
              <w:keepNext w:val="0"/>
              <w:keepLines w:val="0"/>
              <w:widowControl/>
              <w:suppressLineNumbers w:val="0"/>
              <w:jc w:val="center"/>
              <w:textAlignment w:val="center"/>
              <w:rPr>
                <w:rFonts w:hint="eastAsia" w:ascii="Arial" w:hAnsi="Arial"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104</w:t>
            </w:r>
          </w:p>
        </w:tc>
        <w:tc>
          <w:tcPr>
            <w:tcW w:w="1701" w:type="dxa"/>
            <w:tcBorders>
              <w:tl2br w:val="nil"/>
              <w:tr2bl w:val="nil"/>
            </w:tcBorders>
            <w:shd w:val="clear" w:color="auto" w:fill="auto"/>
            <w:vAlign w:val="center"/>
          </w:tcPr>
          <w:p w14:paraId="1342624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扇形座椅柜B.有靠背</w:t>
            </w:r>
          </w:p>
        </w:tc>
        <w:tc>
          <w:tcPr>
            <w:tcW w:w="6813" w:type="dxa"/>
            <w:tcBorders>
              <w:tl2br w:val="nil"/>
              <w:tr2bl w:val="nil"/>
            </w:tcBorders>
            <w:shd w:val="clear" w:color="auto" w:fill="auto"/>
            <w:vAlign w:val="center"/>
          </w:tcPr>
          <w:p w14:paraId="7D55A2A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L119xW68xH65cm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（1）45°弧形可组合座椅柜，整体内弧边弧度R600mm，外弧边弧度R1200mm，易于搭配其他产品做成组合柜，形式多变。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（1）采用厚度18mm的环保实木多层板，下层内空高度254mm，上层书架格内空高314mm；侧板、中竖板大圆角弧度均为R100mm。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（2）坐柜铺厚度为30mm宽300mm的坐垫，靠背垫厚度30mm，宽320mm，面料柔软透气不闷热，坐垫内部填充环保高弹海绵，密度≥30kg/m³，回弹性强，不易变形，能拆卸清洗。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（3）底部安装塑料脚垫，高度为H10mm，直径40mm,软性防滑。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p>
        </w:tc>
        <w:tc>
          <w:tcPr>
            <w:tcW w:w="1999" w:type="dxa"/>
            <w:tcBorders>
              <w:tl2br w:val="nil"/>
              <w:tr2bl w:val="nil"/>
            </w:tcBorders>
            <w:shd w:val="clear" w:color="auto" w:fill="auto"/>
            <w:vAlign w:val="center"/>
          </w:tcPr>
          <w:p w14:paraId="5A8947C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238760</wp:posOffset>
                  </wp:positionH>
                  <wp:positionV relativeFrom="paragraph">
                    <wp:posOffset>20955</wp:posOffset>
                  </wp:positionV>
                  <wp:extent cx="762635" cy="683260"/>
                  <wp:effectExtent l="0" t="0" r="12065" b="2540"/>
                  <wp:wrapNone/>
                  <wp:docPr id="339" name="ID_DBA6810D74134872AEA06077656FD86A"/>
                  <wp:cNvGraphicFramePr/>
                  <a:graphic xmlns:a="http://schemas.openxmlformats.org/drawingml/2006/main">
                    <a:graphicData uri="http://schemas.openxmlformats.org/drawingml/2006/picture">
                      <pic:pic xmlns:pic="http://schemas.openxmlformats.org/drawingml/2006/picture">
                        <pic:nvPicPr>
                          <pic:cNvPr id="339" name="ID_DBA6810D74134872AEA06077656FD86A"/>
                          <pic:cNvPicPr/>
                        </pic:nvPicPr>
                        <pic:blipFill>
                          <a:blip r:embed="rId114"/>
                          <a:stretch>
                            <a:fillRect/>
                          </a:stretch>
                        </pic:blipFill>
                        <pic:spPr>
                          <a:xfrm>
                            <a:off x="0" y="0"/>
                            <a:ext cx="762635" cy="683260"/>
                          </a:xfrm>
                          <a:prstGeom prst="rect">
                            <a:avLst/>
                          </a:prstGeom>
                          <a:noFill/>
                          <a:ln>
                            <a:noFill/>
                          </a:ln>
                        </pic:spPr>
                      </pic:pic>
                    </a:graphicData>
                  </a:graphic>
                </wp:anchor>
              </w:drawing>
            </w:r>
          </w:p>
        </w:tc>
      </w:tr>
    </w:tbl>
    <w:p w14:paraId="641B75EE">
      <w:pPr>
        <w:pStyle w:val="6"/>
        <w:numPr>
          <w:ilvl w:val="0"/>
          <w:numId w:val="0"/>
        </w:numPr>
        <w:spacing w:line="360" w:lineRule="auto"/>
        <w:ind w:leftChars="200"/>
        <w:rPr>
          <w:rFonts w:hint="eastAsia" w:ascii="宋体" w:hAnsi="宋体" w:eastAsia="宋体" w:cs="宋体"/>
          <w:b w:val="0"/>
          <w:bCs/>
          <w:color w:val="auto"/>
          <w:sz w:val="24"/>
          <w:szCs w:val="24"/>
          <w:highlight w:val="none"/>
        </w:rPr>
        <w:sectPr>
          <w:footerReference r:id="rId8"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cs="宋体"/>
          <w:b w:val="0"/>
          <w:bCs/>
          <w:color w:val="auto"/>
          <w:sz w:val="24"/>
          <w:szCs w:val="24"/>
          <w:highlight w:val="none"/>
          <w:lang w:val="en-US" w:eastAsia="zh-CN"/>
        </w:rPr>
        <w:t>注：规格允许偏差</w:t>
      </w:r>
      <w:r>
        <w:rPr>
          <w:rFonts w:hint="eastAsia" w:ascii="微软雅黑" w:hAnsi="微软雅黑" w:eastAsia="微软雅黑" w:cs="微软雅黑"/>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2%。</w:t>
      </w:r>
    </w:p>
    <w:p w14:paraId="52F1D7BC">
      <w:pPr>
        <w:numPr>
          <w:ilvl w:val="0"/>
          <w:numId w:val="44"/>
        </w:numPr>
        <w:ind w:left="0" w:leftChars="0" w:firstLine="420" w:firstLineChars="0"/>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商务需求</w:t>
      </w:r>
    </w:p>
    <w:tbl>
      <w:tblPr>
        <w:tblStyle w:val="27"/>
        <w:tblW w:w="551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57"/>
        <w:gridCol w:w="7843"/>
      </w:tblGrid>
      <w:tr w14:paraId="240902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557" w:type="dxa"/>
            <w:tcBorders>
              <w:top w:val="single" w:color="auto" w:sz="4" w:space="0"/>
              <w:left w:val="single" w:color="auto" w:sz="4" w:space="0"/>
              <w:bottom w:val="single" w:color="auto" w:sz="4" w:space="0"/>
              <w:right w:val="single" w:color="auto" w:sz="4" w:space="0"/>
            </w:tcBorders>
            <w:vAlign w:val="center"/>
          </w:tcPr>
          <w:p w14:paraId="0446ADDE">
            <w:pPr>
              <w:widowControl/>
              <w:spacing w:line="312" w:lineRule="auto"/>
              <w:jc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事项</w:t>
            </w:r>
          </w:p>
        </w:tc>
        <w:tc>
          <w:tcPr>
            <w:tcW w:w="7843" w:type="dxa"/>
            <w:tcBorders>
              <w:top w:val="single" w:color="auto" w:sz="4" w:space="0"/>
              <w:left w:val="single" w:color="auto" w:sz="4" w:space="0"/>
              <w:bottom w:val="single" w:color="auto" w:sz="4" w:space="0"/>
              <w:right w:val="single" w:color="auto" w:sz="4" w:space="0"/>
            </w:tcBorders>
            <w:vAlign w:val="center"/>
          </w:tcPr>
          <w:p w14:paraId="585252DA">
            <w:pPr>
              <w:widowControl/>
              <w:spacing w:line="312"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要 求</w:t>
            </w:r>
          </w:p>
        </w:tc>
      </w:tr>
      <w:tr w14:paraId="156DC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557" w:type="dxa"/>
            <w:tcBorders>
              <w:top w:val="single" w:color="auto" w:sz="4" w:space="0"/>
              <w:left w:val="single" w:color="auto" w:sz="4" w:space="0"/>
              <w:bottom w:val="single" w:color="auto" w:sz="4" w:space="0"/>
              <w:right w:val="single" w:color="auto" w:sz="4" w:space="0"/>
            </w:tcBorders>
            <w:shd w:val="clear" w:color="auto" w:fill="auto"/>
            <w:vAlign w:val="center"/>
          </w:tcPr>
          <w:p w14:paraId="2E9795CD">
            <w:pPr>
              <w:widowControl/>
              <w:spacing w:line="312"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▲交货期</w:t>
            </w:r>
          </w:p>
        </w:tc>
        <w:tc>
          <w:tcPr>
            <w:tcW w:w="7843" w:type="dxa"/>
            <w:tcBorders>
              <w:top w:val="single" w:color="auto" w:sz="4" w:space="0"/>
              <w:left w:val="single" w:color="auto" w:sz="4" w:space="0"/>
              <w:bottom w:val="single" w:color="auto" w:sz="4" w:space="0"/>
              <w:right w:val="single" w:color="auto" w:sz="4" w:space="0"/>
            </w:tcBorders>
            <w:shd w:val="clear" w:color="auto" w:fill="auto"/>
            <w:vAlign w:val="center"/>
          </w:tcPr>
          <w:p w14:paraId="7CFE9FE2">
            <w:pPr>
              <w:widowControl/>
              <w:spacing w:line="312" w:lineRule="auto"/>
              <w:jc w:val="left"/>
              <w:rPr>
                <w:rFonts w:hint="eastAsia"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2025年7月25日前</w:t>
            </w:r>
            <w:r>
              <w:rPr>
                <w:rFonts w:hint="eastAsia" w:ascii="宋体" w:hAnsi="宋体" w:eastAsia="宋体" w:cs="宋体"/>
                <w:b/>
                <w:bCs/>
                <w:color w:val="auto"/>
                <w:kern w:val="0"/>
                <w:sz w:val="21"/>
                <w:szCs w:val="21"/>
                <w:highlight w:val="none"/>
                <w:lang w:eastAsia="zh-CN"/>
              </w:rPr>
              <w:t>完成供货</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安装，直至验收合格</w:t>
            </w:r>
          </w:p>
        </w:tc>
      </w:tr>
      <w:tr w14:paraId="3EBA7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557" w:type="dxa"/>
            <w:tcBorders>
              <w:top w:val="single" w:color="auto" w:sz="4" w:space="0"/>
              <w:left w:val="single" w:color="auto" w:sz="4" w:space="0"/>
              <w:bottom w:val="single" w:color="auto" w:sz="4" w:space="0"/>
              <w:right w:val="single" w:color="auto" w:sz="4" w:space="0"/>
            </w:tcBorders>
            <w:shd w:val="clear" w:color="auto" w:fill="auto"/>
            <w:vAlign w:val="center"/>
          </w:tcPr>
          <w:p w14:paraId="4FDACD4A">
            <w:pPr>
              <w:widowControl/>
              <w:spacing w:line="312"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▲交货地点</w:t>
            </w:r>
          </w:p>
        </w:tc>
        <w:tc>
          <w:tcPr>
            <w:tcW w:w="7843" w:type="dxa"/>
            <w:tcBorders>
              <w:top w:val="single" w:color="auto" w:sz="4" w:space="0"/>
              <w:left w:val="single" w:color="auto" w:sz="4" w:space="0"/>
              <w:bottom w:val="single" w:color="auto" w:sz="4" w:space="0"/>
              <w:right w:val="single" w:color="auto" w:sz="4" w:space="0"/>
            </w:tcBorders>
            <w:shd w:val="clear" w:color="auto" w:fill="auto"/>
            <w:vAlign w:val="center"/>
          </w:tcPr>
          <w:p w14:paraId="287FB746">
            <w:pPr>
              <w:widowControl/>
              <w:spacing w:line="312" w:lineRule="auto"/>
              <w:jc w:val="left"/>
              <w:rPr>
                <w:rFonts w:hint="default"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海虹街道中心幼儿园（翡翠云邸）台州湾新区云星路100号</w:t>
            </w:r>
          </w:p>
        </w:tc>
      </w:tr>
      <w:tr w14:paraId="1550C7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557" w:type="dxa"/>
            <w:tcBorders>
              <w:top w:val="single" w:color="auto" w:sz="4" w:space="0"/>
              <w:left w:val="single" w:color="auto" w:sz="4" w:space="0"/>
              <w:bottom w:val="single" w:color="auto" w:sz="4" w:space="0"/>
              <w:right w:val="single" w:color="auto" w:sz="4" w:space="0"/>
            </w:tcBorders>
            <w:shd w:val="clear" w:color="auto" w:fill="auto"/>
            <w:vAlign w:val="center"/>
          </w:tcPr>
          <w:p w14:paraId="287249BE">
            <w:pPr>
              <w:widowControl/>
              <w:spacing w:line="312" w:lineRule="auto"/>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付款方式</w:t>
            </w:r>
          </w:p>
        </w:tc>
        <w:tc>
          <w:tcPr>
            <w:tcW w:w="7843" w:type="dxa"/>
            <w:tcBorders>
              <w:top w:val="single" w:color="auto" w:sz="4" w:space="0"/>
              <w:left w:val="single" w:color="auto" w:sz="4" w:space="0"/>
              <w:bottom w:val="single" w:color="auto" w:sz="4" w:space="0"/>
              <w:right w:val="single" w:color="auto" w:sz="4" w:space="0"/>
            </w:tcBorders>
            <w:shd w:val="clear" w:color="auto" w:fill="auto"/>
            <w:vAlign w:val="center"/>
          </w:tcPr>
          <w:p w14:paraId="59E2EAA4">
            <w:pPr>
              <w:widowControl/>
              <w:spacing w:line="312" w:lineRule="auto"/>
              <w:jc w:val="left"/>
              <w:rPr>
                <w:rFonts w:hint="eastAsia"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验收合格后一次性付清</w:t>
            </w:r>
          </w:p>
        </w:tc>
      </w:tr>
      <w:tr w14:paraId="5BB37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0" w:type="auto"/>
            <w:shd w:val="clear" w:color="auto" w:fill="auto"/>
            <w:vAlign w:val="center"/>
          </w:tcPr>
          <w:p w14:paraId="04EB9F23">
            <w:pPr>
              <w:widowControl/>
              <w:spacing w:line="312" w:lineRule="auto"/>
              <w:jc w:val="center"/>
              <w:rPr>
                <w:rFonts w:hint="default"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质保期</w:t>
            </w:r>
          </w:p>
        </w:tc>
        <w:tc>
          <w:tcPr>
            <w:tcW w:w="0" w:type="auto"/>
            <w:shd w:val="clear" w:color="auto" w:fill="auto"/>
            <w:vAlign w:val="center"/>
          </w:tcPr>
          <w:p w14:paraId="540CF9FB">
            <w:pPr>
              <w:widowControl/>
              <w:spacing w:line="312" w:lineRule="auto"/>
              <w:jc w:val="left"/>
              <w:rPr>
                <w:rFonts w:hint="eastAsia"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三年，自验收合格之日起开始计</w:t>
            </w:r>
          </w:p>
        </w:tc>
      </w:tr>
    </w:tbl>
    <w:p w14:paraId="7C909C33">
      <w:pPr>
        <w:pStyle w:val="3"/>
        <w:numPr>
          <w:ilvl w:val="0"/>
          <w:numId w:val="0"/>
        </w:numPr>
        <w:ind w:left="425" w:leftChars="0"/>
        <w:jc w:val="both"/>
        <w:outlineLvl w:val="9"/>
        <w:rPr>
          <w:color w:val="auto"/>
          <w:highlight w:val="none"/>
        </w:rPr>
      </w:pPr>
    </w:p>
    <w:p w14:paraId="51DA36F3">
      <w:pPr>
        <w:snapToGrid w:val="0"/>
        <w:spacing w:line="360" w:lineRule="auto"/>
        <w:ind w:firstLine="354" w:firstLineChars="169"/>
        <w:jc w:val="left"/>
        <w:rPr>
          <w:color w:val="auto"/>
          <w:highlight w:val="none"/>
        </w:rPr>
      </w:pPr>
    </w:p>
    <w:p w14:paraId="32A0B3F6">
      <w:pPr>
        <w:pStyle w:val="34"/>
        <w:ind w:firstLine="0" w:firstLineChars="0"/>
        <w:rPr>
          <w:color w:val="auto"/>
          <w:highlight w:val="none"/>
        </w:rPr>
      </w:pPr>
    </w:p>
    <w:p w14:paraId="04BC85CD">
      <w:pPr>
        <w:pStyle w:val="34"/>
        <w:ind w:firstLine="0" w:firstLineChars="0"/>
        <w:rPr>
          <w:color w:val="auto"/>
          <w:highlight w:val="none"/>
        </w:rPr>
      </w:pPr>
    </w:p>
    <w:p w14:paraId="26087AC0">
      <w:pPr>
        <w:pStyle w:val="34"/>
        <w:ind w:firstLine="0" w:firstLineChars="0"/>
        <w:rPr>
          <w:highlight w:val="none"/>
        </w:rPr>
      </w:pPr>
    </w:p>
    <w:p w14:paraId="38F463F3">
      <w:pPr>
        <w:pStyle w:val="34"/>
        <w:ind w:firstLine="0" w:firstLineChars="0"/>
        <w:rPr>
          <w:highlight w:val="none"/>
        </w:rPr>
      </w:pPr>
    </w:p>
    <w:p w14:paraId="349E7CB8">
      <w:pPr>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br w:type="page"/>
      </w:r>
    </w:p>
    <w:p w14:paraId="3D8C7EF3">
      <w:pPr>
        <w:numPr>
          <w:ilvl w:val="0"/>
          <w:numId w:val="17"/>
        </w:numPr>
        <w:spacing w:line="360" w:lineRule="auto"/>
        <w:jc w:val="center"/>
        <w:outlineLvl w:val="0"/>
        <w:rPr>
          <w:rFonts w:asciiTheme="minorEastAsia" w:hAnsiTheme="minorEastAsia" w:eastAsiaTheme="minorEastAsia"/>
          <w:b/>
          <w:sz w:val="36"/>
          <w:szCs w:val="36"/>
          <w:highlight w:val="none"/>
        </w:rPr>
      </w:pPr>
      <w:bookmarkStart w:id="37" w:name="_Toc27298"/>
      <w:r>
        <w:rPr>
          <w:rFonts w:hint="eastAsia" w:asciiTheme="minorEastAsia" w:hAnsiTheme="minorEastAsia" w:eastAsiaTheme="minorEastAsia"/>
          <w:b/>
          <w:sz w:val="36"/>
          <w:szCs w:val="36"/>
          <w:highlight w:val="none"/>
        </w:rPr>
        <w:t>评标</w:t>
      </w:r>
      <w:bookmarkEnd w:id="37"/>
    </w:p>
    <w:p w14:paraId="68963578">
      <w:pPr>
        <w:keepNext w:val="0"/>
        <w:keepLines w:val="0"/>
        <w:pageBreakBefore w:val="0"/>
        <w:numPr>
          <w:ilvl w:val="0"/>
          <w:numId w:val="46"/>
        </w:numPr>
        <w:kinsoku/>
        <w:wordWrap/>
        <w:overflowPunct/>
        <w:topLinePunct w:val="0"/>
        <w:bidi w:val="0"/>
        <w:adjustRightInd/>
        <w:snapToGrid/>
        <w:spacing w:line="360" w:lineRule="auto"/>
        <w:ind w:left="0" w:leftChars="0" w:firstLine="482" w:firstLineChars="200"/>
        <w:jc w:val="left"/>
        <w:textAlignment w:val="auto"/>
        <w:rPr>
          <w:rFonts w:ascii="宋体" w:hAnsi="宋体" w:cs="宋体"/>
          <w:b/>
          <w:bCs/>
          <w:sz w:val="24"/>
          <w:highlight w:val="none"/>
        </w:rPr>
      </w:pPr>
      <w:r>
        <w:rPr>
          <w:rFonts w:hint="eastAsia" w:ascii="宋体" w:hAnsi="宋体" w:cs="宋体"/>
          <w:b/>
          <w:bCs/>
          <w:sz w:val="24"/>
          <w:highlight w:val="none"/>
        </w:rPr>
        <w:t>评标原则</w:t>
      </w:r>
    </w:p>
    <w:p w14:paraId="4B90D2F0">
      <w:pPr>
        <w:keepNext w:val="0"/>
        <w:keepLines w:val="0"/>
        <w:pageBreakBefore w:val="0"/>
        <w:numPr>
          <w:ilvl w:val="0"/>
          <w:numId w:val="47"/>
        </w:numPr>
        <w:kinsoku/>
        <w:wordWrap/>
        <w:overflowPunct/>
        <w:topLinePunct w:val="0"/>
        <w:bidi w:val="0"/>
        <w:adjustRightInd/>
        <w:snapToGrid/>
        <w:spacing w:line="360" w:lineRule="auto"/>
        <w:ind w:left="0" w:leftChars="0" w:firstLine="480" w:firstLineChars="200"/>
        <w:jc w:val="left"/>
        <w:textAlignment w:val="auto"/>
        <w:rPr>
          <w:rFonts w:ascii="宋体" w:hAnsi="宋体" w:cs="宋体"/>
          <w:sz w:val="24"/>
          <w:highlight w:val="none"/>
        </w:rPr>
      </w:pPr>
      <w:r>
        <w:rPr>
          <w:rFonts w:hint="eastAsia" w:ascii="宋体" w:hAnsi="宋体" w:cs="宋体"/>
          <w:sz w:val="24"/>
          <w:highlight w:val="none"/>
        </w:rPr>
        <w:t>评标活动遵循公平、公正、科学和择优的原则，以招标文件和投标文件为评标的基本依据，并按照招标文件规定的评标方法和评标标准进行评标。</w:t>
      </w:r>
    </w:p>
    <w:p w14:paraId="277DAF48">
      <w:pPr>
        <w:keepNext w:val="0"/>
        <w:keepLines w:val="0"/>
        <w:pageBreakBefore w:val="0"/>
        <w:numPr>
          <w:ilvl w:val="0"/>
          <w:numId w:val="47"/>
        </w:numPr>
        <w:kinsoku/>
        <w:wordWrap/>
        <w:overflowPunct/>
        <w:topLinePunct w:val="0"/>
        <w:bidi w:val="0"/>
        <w:adjustRightInd/>
        <w:snapToGrid/>
        <w:spacing w:line="360" w:lineRule="auto"/>
        <w:ind w:left="0" w:leftChars="0" w:firstLine="480" w:firstLineChars="200"/>
        <w:jc w:val="left"/>
        <w:textAlignment w:val="auto"/>
        <w:rPr>
          <w:rFonts w:ascii="宋体" w:hAnsi="宋体" w:cs="宋体"/>
          <w:sz w:val="24"/>
          <w:highlight w:val="none"/>
        </w:rPr>
      </w:pPr>
      <w:r>
        <w:rPr>
          <w:rFonts w:hint="eastAsia" w:ascii="宋体" w:hAnsi="宋体" w:cs="宋体"/>
          <w:sz w:val="24"/>
          <w:highlight w:val="none"/>
        </w:rPr>
        <w:t>任何单位和个人不得干扰、影响评标的正常进行；评标委员会及有关工作人员应不带任何倾向性和启发性，不得向外界透露任何与评标有关的内容，不得私下与投标人接触。</w:t>
      </w:r>
    </w:p>
    <w:p w14:paraId="31852D4C">
      <w:pPr>
        <w:keepNext w:val="0"/>
        <w:keepLines w:val="0"/>
        <w:pageBreakBefore w:val="0"/>
        <w:numPr>
          <w:ilvl w:val="0"/>
          <w:numId w:val="46"/>
        </w:numPr>
        <w:kinsoku/>
        <w:wordWrap/>
        <w:overflowPunct/>
        <w:topLinePunct w:val="0"/>
        <w:bidi w:val="0"/>
        <w:adjustRightInd/>
        <w:snapToGrid/>
        <w:spacing w:line="360" w:lineRule="auto"/>
        <w:ind w:left="0" w:leftChars="0" w:firstLine="482" w:firstLineChars="200"/>
        <w:jc w:val="left"/>
        <w:textAlignment w:val="auto"/>
        <w:rPr>
          <w:rFonts w:ascii="宋体" w:hAnsi="宋体" w:cs="宋体"/>
          <w:b/>
          <w:bCs/>
          <w:sz w:val="24"/>
          <w:highlight w:val="none"/>
        </w:rPr>
      </w:pPr>
      <w:r>
        <w:rPr>
          <w:rFonts w:hint="eastAsia" w:ascii="宋体" w:hAnsi="宋体" w:cs="宋体"/>
          <w:b/>
          <w:bCs/>
          <w:sz w:val="24"/>
          <w:highlight w:val="none"/>
        </w:rPr>
        <w:t>评标方法</w:t>
      </w:r>
    </w:p>
    <w:p w14:paraId="77BBF60F">
      <w:pPr>
        <w:keepNext w:val="0"/>
        <w:keepLines w:val="0"/>
        <w:pageBreakBefore w:val="0"/>
        <w:kinsoku/>
        <w:wordWrap/>
        <w:overflowPunct/>
        <w:topLinePunct w:val="0"/>
        <w:bidi w:val="0"/>
        <w:adjustRightInd/>
        <w:snapToGrid/>
        <w:spacing w:line="360" w:lineRule="auto"/>
        <w:ind w:firstLine="480" w:firstLineChars="200"/>
        <w:jc w:val="left"/>
        <w:textAlignment w:val="auto"/>
        <w:rPr>
          <w:highlight w:val="none"/>
        </w:rPr>
      </w:pPr>
      <w:r>
        <w:rPr>
          <w:rFonts w:hint="eastAsia" w:ascii="宋体" w:hAnsi="宋体" w:cs="宋体"/>
          <w:sz w:val="24"/>
          <w:highlight w:val="none"/>
        </w:rPr>
        <w:t>综合评分法，是指投标文件满足招标文件全部实质性要求，且按照评审因素的量化指标评审得分最高的投标人为中标候选人的评标方法。</w:t>
      </w:r>
    </w:p>
    <w:p w14:paraId="08A96872">
      <w:pPr>
        <w:pStyle w:val="26"/>
        <w:keepNext w:val="0"/>
        <w:keepLines w:val="0"/>
        <w:pageBreakBefore w:val="0"/>
        <w:numPr>
          <w:ilvl w:val="0"/>
          <w:numId w:val="46"/>
        </w:numPr>
        <w:kinsoku/>
        <w:wordWrap/>
        <w:overflowPunct/>
        <w:topLinePunct w:val="0"/>
        <w:bidi w:val="0"/>
        <w:adjustRightInd/>
        <w:snapToGrid/>
        <w:spacing w:after="0" w:line="360" w:lineRule="auto"/>
        <w:ind w:left="0" w:leftChars="0" w:firstLine="482" w:firstLineChars="200"/>
        <w:jc w:val="left"/>
        <w:textAlignment w:val="auto"/>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评标委员会</w:t>
      </w:r>
    </w:p>
    <w:p w14:paraId="052024AC">
      <w:pPr>
        <w:pStyle w:val="6"/>
        <w:keepNext w:val="0"/>
        <w:keepLines w:val="0"/>
        <w:pageBreakBefore w:val="0"/>
        <w:numPr>
          <w:ilvl w:val="0"/>
          <w:numId w:val="48"/>
        </w:numPr>
        <w:kinsoku/>
        <w:wordWrap/>
        <w:overflowPunct/>
        <w:topLinePunct w:val="0"/>
        <w:bidi w:val="0"/>
        <w:adjustRightInd/>
        <w:snapToGrid/>
        <w:spacing w:line="360" w:lineRule="auto"/>
        <w:ind w:left="0" w:leftChars="0" w:firstLine="480" w:firstLineChars="200"/>
        <w:jc w:val="left"/>
        <w:textAlignment w:val="auto"/>
        <w:rPr>
          <w:rFonts w:ascii="宋体" w:hAnsi="宋体" w:cs="宋体"/>
          <w:sz w:val="24"/>
          <w:szCs w:val="24"/>
          <w:highlight w:val="none"/>
        </w:rPr>
      </w:pPr>
      <w:r>
        <w:rPr>
          <w:rFonts w:hint="eastAsia" w:ascii="宋体" w:hAnsi="宋体" w:cs="宋体"/>
          <w:sz w:val="24"/>
          <w:szCs w:val="24"/>
          <w:highlight w:val="none"/>
        </w:rPr>
        <w:t>本项目评标委员会由采购人代表和评审专家组成。</w:t>
      </w:r>
    </w:p>
    <w:p w14:paraId="1EB3F240">
      <w:pPr>
        <w:pStyle w:val="6"/>
        <w:keepNext w:val="0"/>
        <w:keepLines w:val="0"/>
        <w:pageBreakBefore w:val="0"/>
        <w:numPr>
          <w:ilvl w:val="0"/>
          <w:numId w:val="48"/>
        </w:numPr>
        <w:kinsoku/>
        <w:wordWrap/>
        <w:overflowPunct/>
        <w:topLinePunct w:val="0"/>
        <w:bidi w:val="0"/>
        <w:adjustRightInd/>
        <w:snapToGrid/>
        <w:spacing w:line="360" w:lineRule="auto"/>
        <w:ind w:left="0" w:leftChars="0" w:firstLine="480" w:firstLineChars="200"/>
        <w:jc w:val="left"/>
        <w:textAlignment w:val="auto"/>
        <w:rPr>
          <w:rFonts w:ascii="宋体" w:hAnsi="宋体" w:cs="宋体"/>
          <w:sz w:val="24"/>
          <w:szCs w:val="24"/>
          <w:highlight w:val="none"/>
        </w:rPr>
      </w:pPr>
      <w:r>
        <w:rPr>
          <w:rFonts w:hint="eastAsia" w:ascii="宋体" w:hAnsi="宋体" w:cs="宋体"/>
          <w:sz w:val="24"/>
          <w:szCs w:val="24"/>
          <w:highlight w:val="none"/>
        </w:rPr>
        <w:t>评标委员会成员与参与投标的供应商有下列情形之一的，应当回避：</w:t>
      </w:r>
    </w:p>
    <w:p w14:paraId="7EB735F6">
      <w:pPr>
        <w:pStyle w:val="6"/>
        <w:keepNext w:val="0"/>
        <w:keepLines w:val="0"/>
        <w:pageBreakBefore w:val="0"/>
        <w:numPr>
          <w:ilvl w:val="0"/>
          <w:numId w:val="49"/>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参加采购活动前3年内与供应商存在劳动关系；</w:t>
      </w:r>
    </w:p>
    <w:p w14:paraId="7E9CDF3E">
      <w:pPr>
        <w:pStyle w:val="6"/>
        <w:keepNext w:val="0"/>
        <w:keepLines w:val="0"/>
        <w:pageBreakBefore w:val="0"/>
        <w:numPr>
          <w:ilvl w:val="0"/>
          <w:numId w:val="49"/>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参加采购活动前3年内担任供应商的董事、监事；</w:t>
      </w:r>
    </w:p>
    <w:p w14:paraId="19D2C6D3">
      <w:pPr>
        <w:pStyle w:val="6"/>
        <w:keepNext w:val="0"/>
        <w:keepLines w:val="0"/>
        <w:pageBreakBefore w:val="0"/>
        <w:numPr>
          <w:ilvl w:val="0"/>
          <w:numId w:val="49"/>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参加采购活动前3年内是供应商的控股股东或者实际控制人；</w:t>
      </w:r>
    </w:p>
    <w:p w14:paraId="343A163D">
      <w:pPr>
        <w:pStyle w:val="6"/>
        <w:keepNext w:val="0"/>
        <w:keepLines w:val="0"/>
        <w:pageBreakBefore w:val="0"/>
        <w:numPr>
          <w:ilvl w:val="0"/>
          <w:numId w:val="49"/>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与供应商的法定代表人或者负责人有夫妻、直系血亲、三代以内旁系血亲或者近姻亲关系；</w:t>
      </w:r>
    </w:p>
    <w:p w14:paraId="4B415354">
      <w:pPr>
        <w:pStyle w:val="6"/>
        <w:keepNext w:val="0"/>
        <w:keepLines w:val="0"/>
        <w:pageBreakBefore w:val="0"/>
        <w:numPr>
          <w:ilvl w:val="0"/>
          <w:numId w:val="49"/>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与供应商有其他可能影响政府采购活动公平、公正进行的关系；</w:t>
      </w:r>
    </w:p>
    <w:p w14:paraId="066382E3">
      <w:pPr>
        <w:pStyle w:val="6"/>
        <w:keepNext w:val="0"/>
        <w:keepLines w:val="0"/>
        <w:pageBreakBefore w:val="0"/>
        <w:numPr>
          <w:ilvl w:val="0"/>
          <w:numId w:val="49"/>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法律法规规定的其他情形。</w:t>
      </w:r>
    </w:p>
    <w:p w14:paraId="1AD240FC">
      <w:pPr>
        <w:pStyle w:val="6"/>
        <w:keepNext w:val="0"/>
        <w:keepLines w:val="0"/>
        <w:pageBreakBefore w:val="0"/>
        <w:numPr>
          <w:ilvl w:val="0"/>
          <w:numId w:val="48"/>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评标委员会负责具体评标事务，并独立履行下列职责：</w:t>
      </w:r>
    </w:p>
    <w:p w14:paraId="1F810E27">
      <w:pPr>
        <w:pStyle w:val="6"/>
        <w:keepNext w:val="0"/>
        <w:keepLines w:val="0"/>
        <w:pageBreakBefore w:val="0"/>
        <w:numPr>
          <w:ilvl w:val="0"/>
          <w:numId w:val="50"/>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审查、评价投标文件是否符合招标文件的商务、技术等实质性要求；</w:t>
      </w:r>
    </w:p>
    <w:p w14:paraId="351B321B">
      <w:pPr>
        <w:pStyle w:val="6"/>
        <w:keepNext w:val="0"/>
        <w:keepLines w:val="0"/>
        <w:pageBreakBefore w:val="0"/>
        <w:numPr>
          <w:ilvl w:val="0"/>
          <w:numId w:val="50"/>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要求投标人对投标文件有关事项作出澄清或者说明；</w:t>
      </w:r>
    </w:p>
    <w:p w14:paraId="3B0E134E">
      <w:pPr>
        <w:pStyle w:val="6"/>
        <w:keepNext w:val="0"/>
        <w:keepLines w:val="0"/>
        <w:pageBreakBefore w:val="0"/>
        <w:numPr>
          <w:ilvl w:val="0"/>
          <w:numId w:val="50"/>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对投标文件进行比较和评价；</w:t>
      </w:r>
    </w:p>
    <w:p w14:paraId="79457EDB">
      <w:pPr>
        <w:pStyle w:val="6"/>
        <w:keepNext w:val="0"/>
        <w:keepLines w:val="0"/>
        <w:pageBreakBefore w:val="0"/>
        <w:numPr>
          <w:ilvl w:val="0"/>
          <w:numId w:val="50"/>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确定中标候选人名单，以及根据采购人委托直接确定中标人；</w:t>
      </w:r>
    </w:p>
    <w:p w14:paraId="088296C1">
      <w:pPr>
        <w:pStyle w:val="6"/>
        <w:keepNext w:val="0"/>
        <w:keepLines w:val="0"/>
        <w:pageBreakBefore w:val="0"/>
        <w:numPr>
          <w:ilvl w:val="0"/>
          <w:numId w:val="50"/>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向采购人、采购组织机构或者有关部门报告评标中发现的违法行为；</w:t>
      </w:r>
    </w:p>
    <w:p w14:paraId="6E7572B9">
      <w:pPr>
        <w:pStyle w:val="6"/>
        <w:keepNext w:val="0"/>
        <w:keepLines w:val="0"/>
        <w:pageBreakBefore w:val="0"/>
        <w:numPr>
          <w:ilvl w:val="0"/>
          <w:numId w:val="50"/>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法律法规规定的其他职责。</w:t>
      </w:r>
    </w:p>
    <w:p w14:paraId="349FD2D0">
      <w:pPr>
        <w:pStyle w:val="23"/>
        <w:keepNext w:val="0"/>
        <w:keepLines w:val="0"/>
        <w:pageBreakBefore w:val="0"/>
        <w:numPr>
          <w:ilvl w:val="0"/>
          <w:numId w:val="46"/>
        </w:numPr>
        <w:kinsoku/>
        <w:wordWrap/>
        <w:overflowPunct/>
        <w:topLinePunct w:val="0"/>
        <w:bidi w:val="0"/>
        <w:adjustRightInd/>
        <w:snapToGrid/>
        <w:spacing w:before="0" w:beforeAutospacing="0" w:after="0" w:afterAutospacing="0" w:line="360" w:lineRule="auto"/>
        <w:ind w:left="0" w:leftChars="0" w:firstLine="482" w:firstLineChars="200"/>
        <w:jc w:val="left"/>
        <w:textAlignment w:val="auto"/>
        <w:rPr>
          <w:rFonts w:hint="default" w:asciiTheme="minorEastAsia" w:hAnsiTheme="minorEastAsia" w:eastAsiaTheme="minorEastAsia"/>
          <w:b/>
          <w:highlight w:val="none"/>
        </w:rPr>
      </w:pPr>
      <w:r>
        <w:rPr>
          <w:rFonts w:asciiTheme="minorEastAsia" w:hAnsiTheme="minorEastAsia" w:eastAsiaTheme="minorEastAsia"/>
          <w:b/>
          <w:highlight w:val="none"/>
        </w:rPr>
        <w:t>无效标情形</w:t>
      </w:r>
    </w:p>
    <w:p w14:paraId="1903400C">
      <w:pPr>
        <w:keepNext w:val="0"/>
        <w:keepLines w:val="0"/>
        <w:pageBreakBefore w:val="0"/>
        <w:numPr>
          <w:ilvl w:val="0"/>
          <w:numId w:val="51"/>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b/>
          <w:bCs/>
          <w:sz w:val="24"/>
          <w:highlight w:val="none"/>
        </w:rPr>
      </w:pPr>
      <w:r>
        <w:rPr>
          <w:rFonts w:hint="eastAsia" w:asciiTheme="minorEastAsia" w:hAnsiTheme="minorEastAsia" w:eastAsiaTheme="minorEastAsia"/>
          <w:kern w:val="0"/>
          <w:sz w:val="24"/>
          <w:highlight w:val="none"/>
        </w:rPr>
        <w:t>在资格标或技术标中出现投标报价的，或者</w:t>
      </w:r>
      <w:r>
        <w:rPr>
          <w:rFonts w:hint="eastAsia" w:asciiTheme="minorEastAsia" w:hAnsiTheme="minorEastAsia" w:eastAsiaTheme="minorEastAsia"/>
          <w:kern w:val="0"/>
          <w:sz w:val="24"/>
          <w:highlight w:val="none"/>
          <w:lang w:val="en-US" w:eastAsia="zh-CN"/>
        </w:rPr>
        <w:t>商务标</w:t>
      </w:r>
      <w:r>
        <w:rPr>
          <w:rFonts w:hint="eastAsia" w:asciiTheme="minorEastAsia" w:hAnsiTheme="minorEastAsia" w:eastAsiaTheme="minorEastAsia"/>
          <w:kern w:val="0"/>
          <w:sz w:val="24"/>
          <w:highlight w:val="none"/>
        </w:rPr>
        <w:t>中报价的货物跟</w:t>
      </w:r>
      <w:r>
        <w:rPr>
          <w:rFonts w:hint="eastAsia" w:asciiTheme="minorEastAsia" w:hAnsiTheme="minorEastAsia" w:eastAsiaTheme="minorEastAsia"/>
          <w:kern w:val="0"/>
          <w:sz w:val="24"/>
          <w:highlight w:val="none"/>
          <w:lang w:val="en-US" w:eastAsia="zh-CN"/>
        </w:rPr>
        <w:t>技术标</w:t>
      </w:r>
      <w:r>
        <w:rPr>
          <w:rFonts w:hint="eastAsia" w:asciiTheme="minorEastAsia" w:hAnsiTheme="minorEastAsia" w:eastAsiaTheme="minorEastAsia"/>
          <w:kern w:val="0"/>
          <w:sz w:val="24"/>
          <w:highlight w:val="none"/>
        </w:rPr>
        <w:t>中的投标货物出现重大偏差的；</w:t>
      </w:r>
    </w:p>
    <w:p w14:paraId="687EC65A">
      <w:pPr>
        <w:pStyle w:val="23"/>
        <w:keepNext w:val="0"/>
        <w:keepLines w:val="0"/>
        <w:pageBreakBefore w:val="0"/>
        <w:numPr>
          <w:ilvl w:val="0"/>
          <w:numId w:val="51"/>
        </w:numPr>
        <w:tabs>
          <w:tab w:val="left" w:pos="7380"/>
        </w:tabs>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asciiTheme="minorEastAsia" w:hAnsiTheme="minorEastAsia" w:eastAsiaTheme="minorEastAsia"/>
          <w:highlight w:val="none"/>
        </w:rPr>
      </w:pPr>
      <w:r>
        <w:rPr>
          <w:rFonts w:asciiTheme="minorEastAsia" w:hAnsiTheme="minorEastAsia" w:eastAsiaTheme="minorEastAsia"/>
          <w:highlight w:val="none"/>
        </w:rPr>
        <w:t>不具备招标文件中规定的资格要求的；</w:t>
      </w:r>
      <w:r>
        <w:rPr>
          <w:rFonts w:hint="default" w:asciiTheme="minorEastAsia" w:hAnsiTheme="minorEastAsia" w:eastAsiaTheme="minorEastAsia"/>
          <w:highlight w:val="none"/>
        </w:rPr>
        <w:tab/>
      </w:r>
    </w:p>
    <w:p w14:paraId="2958C9E9">
      <w:pPr>
        <w:pStyle w:val="23"/>
        <w:keepNext w:val="0"/>
        <w:keepLines w:val="0"/>
        <w:pageBreakBefore w:val="0"/>
        <w:numPr>
          <w:ilvl w:val="0"/>
          <w:numId w:val="51"/>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asciiTheme="minorEastAsia" w:hAnsiTheme="minorEastAsia" w:eastAsiaTheme="minorEastAsia"/>
          <w:highlight w:val="none"/>
        </w:rPr>
      </w:pPr>
      <w:r>
        <w:rPr>
          <w:rFonts w:asciiTheme="minorEastAsia" w:hAnsiTheme="minorEastAsia" w:eastAsiaTheme="minorEastAsia"/>
          <w:highlight w:val="none"/>
        </w:rPr>
        <w:t>投标文件含有采购人不能接受的附加条件的；</w:t>
      </w:r>
    </w:p>
    <w:p w14:paraId="43F49F7E">
      <w:pPr>
        <w:pStyle w:val="9"/>
        <w:keepNext w:val="0"/>
        <w:keepLines w:val="0"/>
        <w:pageBreakBefore w:val="0"/>
        <w:numPr>
          <w:ilvl w:val="0"/>
          <w:numId w:val="51"/>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bCs/>
          <w:kern w:val="0"/>
          <w:sz w:val="24"/>
          <w:highlight w:val="none"/>
        </w:rPr>
      </w:pPr>
      <w:r>
        <w:rPr>
          <w:rFonts w:hint="eastAsia" w:asciiTheme="minorEastAsia" w:hAnsiTheme="minorEastAsia" w:eastAsiaTheme="minorEastAsia"/>
          <w:kern w:val="0"/>
          <w:sz w:val="24"/>
          <w:highlight w:val="none"/>
        </w:rPr>
        <w:t>评标委员会认为投标人的报价明显低于其他通过符合性审查投标人的报价，有可能影响服务质量或者不能诚信履约的，投标人在限定的时间内不能证明其报价合理性的，评标委员会应当将其作为无效投标处理；</w:t>
      </w:r>
    </w:p>
    <w:p w14:paraId="1A7E727D">
      <w:pPr>
        <w:pStyle w:val="23"/>
        <w:keepNext w:val="0"/>
        <w:keepLines w:val="0"/>
        <w:pageBreakBefore w:val="0"/>
        <w:numPr>
          <w:ilvl w:val="0"/>
          <w:numId w:val="51"/>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asciiTheme="minorEastAsia" w:hAnsiTheme="minorEastAsia" w:eastAsiaTheme="minorEastAsia"/>
          <w:highlight w:val="none"/>
        </w:rPr>
      </w:pPr>
      <w:r>
        <w:rPr>
          <w:rFonts w:asciiTheme="minorEastAsia" w:hAnsiTheme="minorEastAsia" w:eastAsiaTheme="minorEastAsia"/>
          <w:highlight w:val="none"/>
        </w:rPr>
        <w:t>报价超过招标文件</w:t>
      </w:r>
      <w:r>
        <w:rPr>
          <w:rFonts w:asciiTheme="minorEastAsia" w:hAnsiTheme="minorEastAsia" w:eastAsiaTheme="minorEastAsia"/>
          <w:color w:val="auto"/>
          <w:highlight w:val="none"/>
        </w:rPr>
        <w:t>中规定的预算金额或未填写投标报价</w:t>
      </w:r>
      <w:r>
        <w:rPr>
          <w:rFonts w:asciiTheme="minorEastAsia" w:hAnsiTheme="minorEastAsia" w:eastAsiaTheme="minorEastAsia"/>
          <w:highlight w:val="none"/>
        </w:rPr>
        <w:t xml:space="preserve">的； </w:t>
      </w:r>
    </w:p>
    <w:p w14:paraId="0570BA23">
      <w:pPr>
        <w:keepNext w:val="0"/>
        <w:keepLines w:val="0"/>
        <w:pageBreakBefore w:val="0"/>
        <w:numPr>
          <w:ilvl w:val="0"/>
          <w:numId w:val="51"/>
        </w:numPr>
        <w:tabs>
          <w:tab w:val="left" w:pos="1898"/>
        </w:tabs>
        <w:kinsoku/>
        <w:wordWrap/>
        <w:overflowPunct/>
        <w:topLinePunct w:val="0"/>
        <w:autoSpaceDE w:val="0"/>
        <w:autoSpaceDN w:val="0"/>
        <w:bidi w:val="0"/>
        <w:adjustRightInd/>
        <w:snapToGrid/>
        <w:spacing w:line="360" w:lineRule="auto"/>
        <w:ind w:left="0" w:leftChars="0" w:firstLine="480" w:firstLineChars="200"/>
        <w:jc w:val="left"/>
        <w:textAlignment w:val="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 xml:space="preserve">投标文件存在虚假材料的； </w:t>
      </w:r>
    </w:p>
    <w:p w14:paraId="7136FE11">
      <w:pPr>
        <w:keepNext w:val="0"/>
        <w:keepLines w:val="0"/>
        <w:pageBreakBefore w:val="0"/>
        <w:numPr>
          <w:ilvl w:val="0"/>
          <w:numId w:val="51"/>
        </w:numPr>
        <w:tabs>
          <w:tab w:val="left" w:pos="1898"/>
        </w:tabs>
        <w:kinsoku/>
        <w:wordWrap/>
        <w:overflowPunct/>
        <w:topLinePunct w:val="0"/>
        <w:autoSpaceDE w:val="0"/>
        <w:autoSpaceDN w:val="0"/>
        <w:bidi w:val="0"/>
        <w:adjustRightInd/>
        <w:snapToGrid/>
        <w:spacing w:line="360" w:lineRule="auto"/>
        <w:ind w:left="0" w:leftChars="0" w:firstLine="480" w:firstLineChars="200"/>
        <w:jc w:val="left"/>
        <w:textAlignment w:val="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有</w:t>
      </w:r>
      <w:r>
        <w:rPr>
          <w:rFonts w:asciiTheme="minorEastAsia" w:hAnsiTheme="minorEastAsia" w:eastAsiaTheme="minorEastAsia"/>
          <w:kern w:val="0"/>
          <w:sz w:val="24"/>
          <w:highlight w:val="none"/>
        </w:rPr>
        <w:t>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highlight w:val="none"/>
        </w:rPr>
        <w:t>，并移送采购监管部门</w:t>
      </w:r>
      <w:r>
        <w:rPr>
          <w:rFonts w:asciiTheme="minorEastAsia" w:hAnsiTheme="minorEastAsia" w:eastAsiaTheme="minorEastAsia"/>
          <w:kern w:val="0"/>
          <w:sz w:val="24"/>
          <w:highlight w:val="none"/>
        </w:rPr>
        <w:t>：</w:t>
      </w:r>
    </w:p>
    <w:p w14:paraId="2FD4B296">
      <w:pPr>
        <w:keepNext w:val="0"/>
        <w:keepLines w:val="0"/>
        <w:pageBreakBefore w:val="0"/>
        <w:numPr>
          <w:ilvl w:val="0"/>
          <w:numId w:val="52"/>
        </w:numPr>
        <w:tabs>
          <w:tab w:val="left" w:pos="1898"/>
        </w:tabs>
        <w:kinsoku/>
        <w:wordWrap/>
        <w:overflowPunct/>
        <w:topLinePunct w:val="0"/>
        <w:autoSpaceDE w:val="0"/>
        <w:autoSpaceDN w:val="0"/>
        <w:bidi w:val="0"/>
        <w:adjustRightInd/>
        <w:snapToGrid/>
        <w:spacing w:line="360" w:lineRule="auto"/>
        <w:ind w:left="0" w:leftChars="0" w:firstLine="480" w:firstLineChars="200"/>
        <w:jc w:val="left"/>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不同投标人的投标文件由同一单位或者个人编制；</w:t>
      </w:r>
    </w:p>
    <w:p w14:paraId="45643226">
      <w:pPr>
        <w:pStyle w:val="23"/>
        <w:keepNext w:val="0"/>
        <w:keepLines w:val="0"/>
        <w:pageBreakBefore w:val="0"/>
        <w:numPr>
          <w:ilvl w:val="0"/>
          <w:numId w:val="52"/>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asciiTheme="minorEastAsia" w:hAnsiTheme="minorEastAsia" w:eastAsiaTheme="minorEastAsia"/>
          <w:highlight w:val="none"/>
        </w:rPr>
      </w:pPr>
      <w:r>
        <w:rPr>
          <w:rFonts w:asciiTheme="minorEastAsia" w:hAnsiTheme="minorEastAsia" w:eastAsiaTheme="minorEastAsia"/>
          <w:highlight w:val="none"/>
        </w:rPr>
        <w:t>不同投标人委托同一单位或者个人办理投标事宜；</w:t>
      </w:r>
    </w:p>
    <w:p w14:paraId="27C98F2C">
      <w:pPr>
        <w:pStyle w:val="23"/>
        <w:keepNext w:val="0"/>
        <w:keepLines w:val="0"/>
        <w:pageBreakBefore w:val="0"/>
        <w:numPr>
          <w:ilvl w:val="0"/>
          <w:numId w:val="52"/>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asciiTheme="minorEastAsia" w:hAnsiTheme="minorEastAsia" w:eastAsiaTheme="minorEastAsia"/>
          <w:highlight w:val="none"/>
        </w:rPr>
      </w:pPr>
      <w:r>
        <w:rPr>
          <w:rFonts w:asciiTheme="minorEastAsia" w:hAnsiTheme="minorEastAsia" w:eastAsiaTheme="minorEastAsia"/>
          <w:highlight w:val="none"/>
        </w:rPr>
        <w:t>不同投标人的投标文件载明的项目管理成员或者联系人员为同一人；</w:t>
      </w:r>
    </w:p>
    <w:p w14:paraId="145193FD">
      <w:pPr>
        <w:pStyle w:val="23"/>
        <w:keepNext w:val="0"/>
        <w:keepLines w:val="0"/>
        <w:pageBreakBefore w:val="0"/>
        <w:numPr>
          <w:ilvl w:val="0"/>
          <w:numId w:val="52"/>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asciiTheme="minorEastAsia" w:hAnsiTheme="minorEastAsia" w:eastAsiaTheme="minorEastAsia"/>
          <w:highlight w:val="none"/>
        </w:rPr>
      </w:pPr>
      <w:r>
        <w:rPr>
          <w:rFonts w:asciiTheme="minorEastAsia" w:hAnsiTheme="minorEastAsia" w:eastAsiaTheme="minorEastAsia"/>
          <w:highlight w:val="none"/>
        </w:rPr>
        <w:t>不同投标人的投标文件异常一致或者投标报价呈规律性差异；</w:t>
      </w:r>
    </w:p>
    <w:p w14:paraId="303F55E7">
      <w:pPr>
        <w:pStyle w:val="23"/>
        <w:keepNext w:val="0"/>
        <w:keepLines w:val="0"/>
        <w:pageBreakBefore w:val="0"/>
        <w:numPr>
          <w:ilvl w:val="0"/>
          <w:numId w:val="52"/>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asciiTheme="minorEastAsia" w:hAnsiTheme="minorEastAsia" w:eastAsiaTheme="minorEastAsia"/>
          <w:highlight w:val="none"/>
        </w:rPr>
      </w:pPr>
      <w:r>
        <w:rPr>
          <w:rFonts w:asciiTheme="minorEastAsia" w:hAnsiTheme="minorEastAsia" w:eastAsiaTheme="minorEastAsia"/>
          <w:highlight w:val="none"/>
        </w:rPr>
        <w:t>不同投标人的投标文件相互混装。</w:t>
      </w:r>
    </w:p>
    <w:p w14:paraId="2D9104FA">
      <w:pPr>
        <w:pStyle w:val="23"/>
        <w:keepNext w:val="0"/>
        <w:keepLines w:val="0"/>
        <w:pageBreakBefore w:val="0"/>
        <w:numPr>
          <w:ilvl w:val="0"/>
          <w:numId w:val="51"/>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asciiTheme="minorEastAsia" w:hAnsiTheme="minorEastAsia"/>
          <w:highlight w:val="none"/>
        </w:rPr>
      </w:pPr>
      <w:r>
        <w:rPr>
          <w:rFonts w:cs="宋体"/>
          <w:highlight w:val="none"/>
        </w:rPr>
        <w:t>实质性要求（招标文件中打“▲”内容）不响应的；</w:t>
      </w:r>
    </w:p>
    <w:p w14:paraId="60151835">
      <w:pPr>
        <w:pStyle w:val="6"/>
        <w:keepNext w:val="0"/>
        <w:keepLines w:val="0"/>
        <w:pageBreakBefore w:val="0"/>
        <w:numPr>
          <w:ilvl w:val="0"/>
          <w:numId w:val="51"/>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投标文件有效期不足的；</w:t>
      </w:r>
    </w:p>
    <w:p w14:paraId="489C83A1">
      <w:pPr>
        <w:pStyle w:val="6"/>
        <w:keepNext w:val="0"/>
        <w:keepLines w:val="0"/>
        <w:pageBreakBefore w:val="0"/>
        <w:numPr>
          <w:ilvl w:val="0"/>
          <w:numId w:val="51"/>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逾期或未按要求提交投标文件的；</w:t>
      </w:r>
    </w:p>
    <w:p w14:paraId="278A5596">
      <w:pPr>
        <w:pStyle w:val="6"/>
        <w:keepNext w:val="0"/>
        <w:keepLines w:val="0"/>
        <w:pageBreakBefore w:val="0"/>
        <w:numPr>
          <w:ilvl w:val="0"/>
          <w:numId w:val="51"/>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两家或两家以上投标</w:t>
      </w:r>
      <w:r>
        <w:rPr>
          <w:rFonts w:hint="eastAsia" w:asciiTheme="minorEastAsia" w:hAnsiTheme="minorEastAsia" w:eastAsiaTheme="minorEastAsia"/>
          <w:kern w:val="0"/>
          <w:sz w:val="24"/>
          <w:szCs w:val="24"/>
          <w:highlight w:val="none"/>
          <w:lang w:val="en-US" w:eastAsia="zh-CN"/>
        </w:rPr>
        <w:t>人</w:t>
      </w:r>
      <w:r>
        <w:rPr>
          <w:rFonts w:hint="eastAsia" w:asciiTheme="minorEastAsia" w:hAnsiTheme="minorEastAsia" w:eastAsiaTheme="minorEastAsia"/>
          <w:kern w:val="0"/>
          <w:sz w:val="24"/>
          <w:szCs w:val="24"/>
          <w:highlight w:val="none"/>
        </w:rPr>
        <w:t>上传投标文件的ip地址相同，视为串标行为，取消评标资格。</w:t>
      </w:r>
    </w:p>
    <w:p w14:paraId="6882180D">
      <w:pPr>
        <w:pStyle w:val="6"/>
        <w:keepNext w:val="0"/>
        <w:keepLines w:val="0"/>
        <w:pageBreakBefore w:val="0"/>
        <w:numPr>
          <w:ilvl w:val="0"/>
          <w:numId w:val="51"/>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被拒绝的投标文件为无效。</w:t>
      </w:r>
    </w:p>
    <w:p w14:paraId="539C06E1">
      <w:pPr>
        <w:pStyle w:val="6"/>
        <w:keepNext w:val="0"/>
        <w:keepLines w:val="0"/>
        <w:pageBreakBefore w:val="0"/>
        <w:numPr>
          <w:ilvl w:val="0"/>
          <w:numId w:val="51"/>
        </w:numPr>
        <w:kinsoku/>
        <w:wordWrap/>
        <w:overflowPunct/>
        <w:topLinePunct w:val="0"/>
        <w:bidi w:val="0"/>
        <w:adjustRightInd/>
        <w:snapToGrid/>
        <w:spacing w:line="360" w:lineRule="auto"/>
        <w:ind w:left="0" w:leftChars="0" w:firstLine="480" w:firstLineChars="200"/>
        <w:jc w:val="left"/>
        <w:textAlignment w:val="auto"/>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其他不符合法律法规相关规定的。</w:t>
      </w:r>
    </w:p>
    <w:p w14:paraId="0620D878">
      <w:pPr>
        <w:keepNext w:val="0"/>
        <w:keepLines w:val="0"/>
        <w:pageBreakBefore w:val="0"/>
        <w:numPr>
          <w:ilvl w:val="0"/>
          <w:numId w:val="46"/>
        </w:numPr>
        <w:kinsoku/>
        <w:wordWrap/>
        <w:overflowPunct/>
        <w:topLinePunct w:val="0"/>
        <w:autoSpaceDE w:val="0"/>
        <w:autoSpaceDN w:val="0"/>
        <w:bidi w:val="0"/>
        <w:adjustRightInd/>
        <w:snapToGrid/>
        <w:spacing w:line="360" w:lineRule="auto"/>
        <w:ind w:left="0" w:leftChars="0" w:firstLine="482" w:firstLineChars="200"/>
        <w:jc w:val="left"/>
        <w:textAlignment w:val="auto"/>
        <w:rPr>
          <w:rFonts w:ascii="宋体" w:hAnsi="宋体" w:cs="宋体"/>
          <w:kern w:val="0"/>
          <w:sz w:val="24"/>
          <w:highlight w:val="none"/>
        </w:rPr>
      </w:pPr>
      <w:r>
        <w:rPr>
          <w:rFonts w:hint="eastAsia" w:ascii="宋体" w:hAnsi="宋体" w:cs="宋体"/>
          <w:b/>
          <w:kern w:val="0"/>
          <w:sz w:val="24"/>
          <w:highlight w:val="none"/>
        </w:rPr>
        <w:t>废标情形</w:t>
      </w:r>
    </w:p>
    <w:p w14:paraId="2D781DD3">
      <w:pPr>
        <w:pStyle w:val="23"/>
        <w:keepNext w:val="0"/>
        <w:keepLines w:val="0"/>
        <w:pageBreakBefore w:val="0"/>
        <w:numPr>
          <w:ilvl w:val="0"/>
          <w:numId w:val="53"/>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cs="宋体"/>
          <w:highlight w:val="none"/>
        </w:rPr>
      </w:pPr>
      <w:r>
        <w:rPr>
          <w:rFonts w:cs="宋体"/>
          <w:highlight w:val="none"/>
        </w:rPr>
        <w:t>出现影响采购公正的违法、违规行为的；</w:t>
      </w:r>
    </w:p>
    <w:p w14:paraId="0E00C891">
      <w:pPr>
        <w:pStyle w:val="23"/>
        <w:keepNext w:val="0"/>
        <w:keepLines w:val="0"/>
        <w:pageBreakBefore w:val="0"/>
        <w:numPr>
          <w:ilvl w:val="0"/>
          <w:numId w:val="53"/>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cs="宋体"/>
          <w:b/>
          <w:bCs/>
          <w:highlight w:val="none"/>
        </w:rPr>
      </w:pPr>
      <w:r>
        <w:rPr>
          <w:rFonts w:cs="宋体"/>
          <w:highlight w:val="none"/>
        </w:rPr>
        <w:t>评标委员会发现招标文件存在歧义、重大缺陷导致评标工作无法进行，或者招标文件内容违反国家有关强制性规定的；</w:t>
      </w:r>
    </w:p>
    <w:p w14:paraId="6CB8E38B">
      <w:pPr>
        <w:pStyle w:val="23"/>
        <w:keepNext w:val="0"/>
        <w:keepLines w:val="0"/>
        <w:pageBreakBefore w:val="0"/>
        <w:numPr>
          <w:ilvl w:val="0"/>
          <w:numId w:val="53"/>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cs="宋体"/>
          <w:highlight w:val="none"/>
        </w:rPr>
      </w:pPr>
      <w:r>
        <w:rPr>
          <w:rFonts w:cs="宋体"/>
          <w:highlight w:val="none"/>
        </w:rPr>
        <w:t>因重大变故，采购任务取消的；</w:t>
      </w:r>
    </w:p>
    <w:p w14:paraId="61EF46A6">
      <w:pPr>
        <w:pStyle w:val="23"/>
        <w:keepNext w:val="0"/>
        <w:keepLines w:val="0"/>
        <w:pageBreakBefore w:val="0"/>
        <w:numPr>
          <w:ilvl w:val="0"/>
          <w:numId w:val="53"/>
        </w:numPr>
        <w:kinsoku/>
        <w:wordWrap/>
        <w:overflowPunct/>
        <w:topLinePunct w:val="0"/>
        <w:bidi w:val="0"/>
        <w:adjustRightInd/>
        <w:snapToGrid/>
        <w:spacing w:before="0" w:beforeAutospacing="0" w:after="0" w:afterAutospacing="0" w:line="360" w:lineRule="auto"/>
        <w:ind w:left="0" w:leftChars="0" w:firstLine="480" w:firstLineChars="200"/>
        <w:jc w:val="left"/>
        <w:textAlignment w:val="auto"/>
        <w:rPr>
          <w:rFonts w:hint="default" w:cs="宋体"/>
          <w:highlight w:val="none"/>
        </w:rPr>
      </w:pPr>
      <w:r>
        <w:rPr>
          <w:rFonts w:cs="宋体"/>
          <w:highlight w:val="none"/>
        </w:rPr>
        <w:t>法律、法规和招标文件规定的其他导致评标结果无效的。</w:t>
      </w:r>
    </w:p>
    <w:p w14:paraId="74115FE8">
      <w:pPr>
        <w:keepNext w:val="0"/>
        <w:keepLines w:val="0"/>
        <w:pageBreakBefore w:val="0"/>
        <w:numPr>
          <w:ilvl w:val="0"/>
          <w:numId w:val="46"/>
        </w:numPr>
        <w:kinsoku/>
        <w:wordWrap/>
        <w:overflowPunct/>
        <w:topLinePunct w:val="0"/>
        <w:autoSpaceDE w:val="0"/>
        <w:autoSpaceDN w:val="0"/>
        <w:bidi w:val="0"/>
        <w:adjustRightInd/>
        <w:snapToGrid/>
        <w:spacing w:line="360" w:lineRule="auto"/>
        <w:ind w:left="0" w:leftChars="0" w:firstLine="482" w:firstLineChars="200"/>
        <w:jc w:val="left"/>
        <w:textAlignment w:val="auto"/>
        <w:rPr>
          <w:rFonts w:ascii="宋体" w:hAnsi="宋体" w:cs="宋体"/>
          <w:b/>
          <w:kern w:val="0"/>
          <w:sz w:val="24"/>
          <w:highlight w:val="none"/>
        </w:rPr>
      </w:pPr>
      <w:r>
        <w:rPr>
          <w:rFonts w:hint="eastAsia" w:ascii="宋体" w:hAnsi="宋体" w:cs="宋体"/>
          <w:b/>
          <w:kern w:val="0"/>
          <w:sz w:val="24"/>
          <w:highlight w:val="none"/>
        </w:rPr>
        <w:t>投标人有下列情形之一的，投标保证金将不予退还</w:t>
      </w:r>
    </w:p>
    <w:p w14:paraId="12150B9B">
      <w:pPr>
        <w:keepNext w:val="0"/>
        <w:keepLines w:val="0"/>
        <w:pageBreakBefore w:val="0"/>
        <w:numPr>
          <w:ilvl w:val="0"/>
          <w:numId w:val="54"/>
        </w:numPr>
        <w:kinsoku/>
        <w:wordWrap/>
        <w:overflowPunct/>
        <w:topLinePunct w:val="0"/>
        <w:bidi w:val="0"/>
        <w:adjustRightInd/>
        <w:snapToGrid/>
        <w:spacing w:line="360" w:lineRule="auto"/>
        <w:ind w:left="0" w:leftChars="0" w:firstLine="480" w:firstLineChars="200"/>
        <w:jc w:val="left"/>
        <w:textAlignment w:val="auto"/>
        <w:rPr>
          <w:rFonts w:ascii="宋体" w:hAnsi="宋体"/>
          <w:sz w:val="24"/>
          <w:highlight w:val="none"/>
        </w:rPr>
      </w:pPr>
      <w:r>
        <w:rPr>
          <w:rFonts w:hint="eastAsia" w:ascii="宋体" w:hAnsi="宋体"/>
          <w:sz w:val="24"/>
          <w:highlight w:val="none"/>
        </w:rPr>
        <w:t>投标人在投标有效期内撤回投标文件的；</w:t>
      </w:r>
    </w:p>
    <w:p w14:paraId="01C3C530">
      <w:pPr>
        <w:keepNext w:val="0"/>
        <w:keepLines w:val="0"/>
        <w:pageBreakBefore w:val="0"/>
        <w:numPr>
          <w:ilvl w:val="0"/>
          <w:numId w:val="54"/>
        </w:numPr>
        <w:kinsoku/>
        <w:wordWrap/>
        <w:overflowPunct/>
        <w:topLinePunct w:val="0"/>
        <w:bidi w:val="0"/>
        <w:adjustRightInd/>
        <w:snapToGrid/>
        <w:spacing w:line="360" w:lineRule="auto"/>
        <w:ind w:left="0" w:leftChars="0" w:firstLine="480" w:firstLineChars="200"/>
        <w:jc w:val="left"/>
        <w:textAlignment w:val="auto"/>
        <w:rPr>
          <w:rFonts w:ascii="宋体" w:hAnsi="宋体"/>
          <w:sz w:val="24"/>
          <w:highlight w:val="none"/>
        </w:rPr>
      </w:pPr>
      <w:r>
        <w:rPr>
          <w:rFonts w:hint="eastAsia" w:ascii="宋体" w:hAnsi="宋体"/>
          <w:sz w:val="24"/>
          <w:highlight w:val="none"/>
        </w:rPr>
        <w:t>投标人在投标过程中弄虚作假，提供虚假材料的；</w:t>
      </w:r>
    </w:p>
    <w:p w14:paraId="7AFEEAC8">
      <w:pPr>
        <w:keepNext w:val="0"/>
        <w:keepLines w:val="0"/>
        <w:pageBreakBefore w:val="0"/>
        <w:numPr>
          <w:ilvl w:val="0"/>
          <w:numId w:val="54"/>
        </w:numPr>
        <w:kinsoku/>
        <w:wordWrap/>
        <w:overflowPunct/>
        <w:topLinePunct w:val="0"/>
        <w:bidi w:val="0"/>
        <w:adjustRightInd/>
        <w:snapToGrid/>
        <w:spacing w:line="360" w:lineRule="auto"/>
        <w:ind w:left="0" w:leftChars="0" w:firstLine="480" w:firstLineChars="200"/>
        <w:jc w:val="left"/>
        <w:textAlignment w:val="auto"/>
        <w:rPr>
          <w:rFonts w:ascii="宋体" w:hAnsi="宋体"/>
          <w:sz w:val="24"/>
          <w:highlight w:val="none"/>
        </w:rPr>
      </w:pPr>
      <w:r>
        <w:rPr>
          <w:rFonts w:hint="eastAsia" w:ascii="宋体" w:hAnsi="宋体"/>
          <w:sz w:val="24"/>
          <w:highlight w:val="none"/>
        </w:rPr>
        <w:t>中标人无正当理由不与采购单位签订合同的；</w:t>
      </w:r>
    </w:p>
    <w:p w14:paraId="6C7E35FC">
      <w:pPr>
        <w:keepNext w:val="0"/>
        <w:keepLines w:val="0"/>
        <w:pageBreakBefore w:val="0"/>
        <w:numPr>
          <w:ilvl w:val="0"/>
          <w:numId w:val="54"/>
        </w:numPr>
        <w:kinsoku/>
        <w:wordWrap/>
        <w:overflowPunct/>
        <w:topLinePunct w:val="0"/>
        <w:bidi w:val="0"/>
        <w:adjustRightInd/>
        <w:snapToGrid/>
        <w:spacing w:line="360" w:lineRule="auto"/>
        <w:ind w:left="0" w:leftChars="0" w:firstLine="480" w:firstLineChars="200"/>
        <w:jc w:val="left"/>
        <w:textAlignment w:val="auto"/>
        <w:rPr>
          <w:rFonts w:ascii="宋体" w:hAnsi="宋体"/>
          <w:sz w:val="24"/>
          <w:highlight w:val="none"/>
        </w:rPr>
      </w:pPr>
      <w:r>
        <w:rPr>
          <w:rFonts w:hint="eastAsia" w:ascii="宋体" w:hAnsi="宋体"/>
          <w:bCs/>
          <w:sz w:val="24"/>
          <w:highlight w:val="none"/>
        </w:rPr>
        <w:t>将中标项目转让给他人或者在投标文件中未说明且未经</w:t>
      </w:r>
      <w:r>
        <w:rPr>
          <w:rFonts w:hint="eastAsia" w:ascii="宋体" w:hAnsi="宋体"/>
          <w:bCs/>
          <w:sz w:val="24"/>
          <w:highlight w:val="none"/>
          <w:lang w:eastAsia="zh-CN"/>
        </w:rPr>
        <w:t>采购人</w:t>
      </w:r>
      <w:r>
        <w:rPr>
          <w:rFonts w:hint="eastAsia" w:ascii="宋体" w:hAnsi="宋体"/>
          <w:bCs/>
          <w:sz w:val="24"/>
          <w:highlight w:val="none"/>
        </w:rPr>
        <w:t>同意，将中标项目分包给他人的；</w:t>
      </w:r>
    </w:p>
    <w:p w14:paraId="34B43180">
      <w:pPr>
        <w:keepNext w:val="0"/>
        <w:keepLines w:val="0"/>
        <w:pageBreakBefore w:val="0"/>
        <w:numPr>
          <w:ilvl w:val="0"/>
          <w:numId w:val="54"/>
        </w:numPr>
        <w:kinsoku/>
        <w:wordWrap/>
        <w:overflowPunct/>
        <w:topLinePunct w:val="0"/>
        <w:bidi w:val="0"/>
        <w:adjustRightInd/>
        <w:snapToGrid/>
        <w:spacing w:line="360" w:lineRule="auto"/>
        <w:ind w:left="0" w:leftChars="0" w:firstLine="480" w:firstLineChars="200"/>
        <w:jc w:val="left"/>
        <w:textAlignment w:val="auto"/>
        <w:rPr>
          <w:rFonts w:ascii="宋体" w:hAnsi="宋体"/>
          <w:sz w:val="24"/>
          <w:highlight w:val="none"/>
        </w:rPr>
      </w:pPr>
      <w:r>
        <w:rPr>
          <w:rFonts w:hint="eastAsia" w:ascii="宋体" w:hAnsi="宋体"/>
          <w:sz w:val="24"/>
          <w:highlight w:val="none"/>
        </w:rPr>
        <w:t>拒绝履行合同义务的；</w:t>
      </w:r>
    </w:p>
    <w:p w14:paraId="7A2BD81F">
      <w:pPr>
        <w:keepNext w:val="0"/>
        <w:keepLines w:val="0"/>
        <w:pageBreakBefore w:val="0"/>
        <w:numPr>
          <w:ilvl w:val="0"/>
          <w:numId w:val="46"/>
        </w:numPr>
        <w:kinsoku/>
        <w:wordWrap/>
        <w:overflowPunct/>
        <w:topLinePunct w:val="0"/>
        <w:autoSpaceDE w:val="0"/>
        <w:autoSpaceDN w:val="0"/>
        <w:bidi w:val="0"/>
        <w:adjustRightInd/>
        <w:snapToGrid/>
        <w:spacing w:line="360" w:lineRule="auto"/>
        <w:ind w:left="0" w:leftChars="0" w:firstLine="482" w:firstLineChars="200"/>
        <w:jc w:val="left"/>
        <w:textAlignment w:val="auto"/>
        <w:rPr>
          <w:rFonts w:ascii="宋体" w:hAnsi="宋体" w:cs="宋体"/>
          <w:b/>
          <w:kern w:val="0"/>
          <w:sz w:val="24"/>
          <w:highlight w:val="none"/>
        </w:rPr>
      </w:pPr>
      <w:r>
        <w:rPr>
          <w:rFonts w:hint="eastAsia" w:ascii="宋体" w:hAnsi="宋体" w:cs="宋体"/>
          <w:b/>
          <w:kern w:val="0"/>
          <w:sz w:val="24"/>
          <w:highlight w:val="none"/>
        </w:rPr>
        <w:t>评标过程的监控</w:t>
      </w:r>
    </w:p>
    <w:p w14:paraId="4A461E11">
      <w:pPr>
        <w:pStyle w:val="23"/>
        <w:keepNext w:val="0"/>
        <w:keepLines w:val="0"/>
        <w:pageBreakBefore w:val="0"/>
        <w:kinsoku/>
        <w:wordWrap/>
        <w:overflowPunct/>
        <w:topLinePunct w:val="0"/>
        <w:bidi w:val="0"/>
        <w:adjustRightInd/>
        <w:snapToGrid/>
        <w:spacing w:before="0" w:beforeAutospacing="0" w:after="0" w:afterAutospacing="0" w:line="360" w:lineRule="auto"/>
        <w:ind w:firstLine="480" w:firstLineChars="200"/>
        <w:jc w:val="left"/>
        <w:textAlignment w:val="auto"/>
        <w:rPr>
          <w:rFonts w:hint="default"/>
          <w:highlight w:val="none"/>
        </w:rPr>
      </w:pPr>
      <w:r>
        <w:rPr>
          <w:highlight w:val="none"/>
        </w:rPr>
        <w:t>本项目评标过程实行全程录音、录像监控，投标人在评标过程中所进行的试图影响评标结果的不公正活动，可能导致其投标被拒绝。</w:t>
      </w:r>
    </w:p>
    <w:p w14:paraId="11091A26">
      <w:pPr>
        <w:pStyle w:val="15"/>
        <w:keepNext w:val="0"/>
        <w:keepLines w:val="0"/>
        <w:pageBreakBefore w:val="0"/>
        <w:numPr>
          <w:ilvl w:val="0"/>
          <w:numId w:val="46"/>
        </w:numPr>
        <w:kinsoku/>
        <w:wordWrap/>
        <w:overflowPunct/>
        <w:topLinePunct w:val="0"/>
        <w:bidi w:val="0"/>
        <w:adjustRightInd/>
        <w:snapToGrid/>
        <w:spacing w:line="360" w:lineRule="auto"/>
        <w:ind w:left="0" w:leftChars="0" w:firstLine="482" w:firstLineChars="200"/>
        <w:jc w:val="left"/>
        <w:textAlignment w:val="auto"/>
        <w:rPr>
          <w:rFonts w:asciiTheme="minorEastAsia" w:hAnsiTheme="minorEastAsia" w:eastAsiaTheme="minorEastAsia"/>
          <w:b/>
          <w:sz w:val="24"/>
          <w:highlight w:val="none"/>
        </w:rPr>
      </w:pPr>
      <w:r>
        <w:rPr>
          <w:rFonts w:asciiTheme="minorEastAsia" w:hAnsiTheme="minorEastAsia" w:eastAsiaTheme="minorEastAsia"/>
          <w:b/>
          <w:bCs/>
          <w:sz w:val="24"/>
          <w:highlight w:val="none"/>
        </w:rPr>
        <w:t>评标程序</w:t>
      </w:r>
    </w:p>
    <w:p w14:paraId="1161C851">
      <w:pPr>
        <w:keepNext w:val="0"/>
        <w:keepLines w:val="0"/>
        <w:pageBreakBefore w:val="0"/>
        <w:numPr>
          <w:ilvl w:val="0"/>
          <w:numId w:val="55"/>
        </w:numPr>
        <w:kinsoku/>
        <w:wordWrap/>
        <w:overflowPunct/>
        <w:topLinePunct w:val="0"/>
        <w:bidi w:val="0"/>
        <w:adjustRightInd/>
        <w:snapToGrid/>
        <w:spacing w:line="360" w:lineRule="auto"/>
        <w:ind w:left="0" w:leftChars="0" w:firstLine="482" w:firstLineChars="200"/>
        <w:jc w:val="left"/>
        <w:textAlignment w:val="auto"/>
        <w:rPr>
          <w:rFonts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资格</w:t>
      </w:r>
      <w:r>
        <w:rPr>
          <w:rFonts w:asciiTheme="minorEastAsia" w:hAnsiTheme="minorEastAsia" w:eastAsiaTheme="minorEastAsia"/>
          <w:b/>
          <w:bCs/>
          <w:sz w:val="24"/>
          <w:highlight w:val="none"/>
        </w:rPr>
        <w:t>审查</w:t>
      </w:r>
    </w:p>
    <w:p w14:paraId="18BFEA78">
      <w:pPr>
        <w:pStyle w:val="9"/>
        <w:keepNext w:val="0"/>
        <w:keepLines w:val="0"/>
        <w:pageBreakBefore w:val="0"/>
        <w:kinsoku/>
        <w:wordWrap/>
        <w:overflowPunct/>
        <w:topLinePunct w:val="0"/>
        <w:bidi w:val="0"/>
        <w:adjustRightInd/>
        <w:snapToGrid/>
        <w:spacing w:line="360" w:lineRule="auto"/>
        <w:ind w:firstLine="480" w:firstLineChars="200"/>
        <w:jc w:val="left"/>
        <w:textAlignment w:val="auto"/>
        <w:rPr>
          <w:rFonts w:asciiTheme="minorEastAsia" w:hAnsiTheme="minorEastAsia" w:eastAsiaTheme="minorEastAsia"/>
          <w:sz w:val="24"/>
          <w:highlight w:val="none"/>
        </w:rPr>
      </w:pPr>
      <w:r>
        <w:rPr>
          <w:rFonts w:hint="eastAsia" w:ascii="宋体" w:hAnsi="宋体" w:cs="宋体"/>
          <w:sz w:val="24"/>
          <w:highlight w:val="none"/>
        </w:rPr>
        <w:t>投标文件解密后</w:t>
      </w:r>
      <w:r>
        <w:rPr>
          <w:rFonts w:asciiTheme="minorEastAsia" w:hAnsiTheme="minorEastAsia" w:eastAsiaTheme="minorEastAsia"/>
          <w:sz w:val="24"/>
          <w:highlight w:val="none"/>
        </w:rPr>
        <w:t>，采购人或采购组织机构依法对投标人的资格进行审查，对审查发现无效的进行必要的</w:t>
      </w:r>
      <w:r>
        <w:rPr>
          <w:rFonts w:hint="eastAsia" w:ascii="宋体" w:hAnsi="宋体" w:cs="宋体"/>
          <w:sz w:val="24"/>
          <w:highlight w:val="none"/>
        </w:rPr>
        <w:t>询问</w:t>
      </w:r>
      <w:r>
        <w:rPr>
          <w:rFonts w:asciiTheme="minorEastAsia" w:hAnsiTheme="minorEastAsia" w:eastAsiaTheme="minorEastAsia"/>
          <w:sz w:val="24"/>
          <w:highlight w:val="none"/>
        </w:rPr>
        <w:t>，</w:t>
      </w:r>
      <w:r>
        <w:rPr>
          <w:rFonts w:hint="eastAsia"/>
          <w:sz w:val="24"/>
          <w:highlight w:val="none"/>
        </w:rPr>
        <w:t>在</w:t>
      </w:r>
      <w:r>
        <w:rPr>
          <w:rFonts w:hint="eastAsia" w:ascii="宋体" w:hAnsi="宋体" w:cs="宋体"/>
          <w:sz w:val="24"/>
          <w:highlight w:val="none"/>
        </w:rPr>
        <w:t>台州湾新区小额工程电子交易平台</w:t>
      </w:r>
      <w:r>
        <w:rPr>
          <w:rFonts w:hint="eastAsia"/>
          <w:sz w:val="24"/>
          <w:highlight w:val="none"/>
        </w:rPr>
        <w:t>公布</w:t>
      </w:r>
      <w:r>
        <w:rPr>
          <w:rFonts w:asciiTheme="minorEastAsia" w:hAnsiTheme="minorEastAsia" w:eastAsiaTheme="minorEastAsia"/>
          <w:sz w:val="24"/>
          <w:highlight w:val="none"/>
        </w:rPr>
        <w:t>无效投标的投标人名单、投标无效的原因。</w:t>
      </w:r>
    </w:p>
    <w:tbl>
      <w:tblPr>
        <w:tblStyle w:val="27"/>
        <w:tblpPr w:bottomFromText="170" w:vertAnchor="text" w:tblpXSpec="center" w:tblpY="1"/>
        <w:tblOverlap w:val="never"/>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13"/>
        <w:gridCol w:w="7092"/>
      </w:tblGrid>
      <w:tr w14:paraId="34B3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13" w:type="dxa"/>
            <w:tcMar>
              <w:top w:w="57" w:type="dxa"/>
              <w:left w:w="108" w:type="dxa"/>
              <w:bottom w:w="0" w:type="dxa"/>
              <w:right w:w="108" w:type="dxa"/>
            </w:tcMar>
            <w:vAlign w:val="center"/>
          </w:tcPr>
          <w:p w14:paraId="1B8337E9">
            <w:pPr>
              <w:pStyle w:val="56"/>
              <w:spacing w:before="1" w:line="300" w:lineRule="auto"/>
              <w:ind w:right="3" w:hanging="10"/>
              <w:jc w:val="center"/>
              <w:rPr>
                <w:szCs w:val="21"/>
                <w:highlight w:val="none"/>
              </w:rPr>
            </w:pPr>
            <w:r>
              <w:rPr>
                <w:rFonts w:hint="eastAsia"/>
                <w:szCs w:val="21"/>
                <w:highlight w:val="none"/>
              </w:rPr>
              <w:t>具有独立承担民事责任的能力</w:t>
            </w:r>
          </w:p>
        </w:tc>
        <w:tc>
          <w:tcPr>
            <w:tcW w:w="7092" w:type="dxa"/>
            <w:tcMar>
              <w:top w:w="57" w:type="dxa"/>
              <w:left w:w="108" w:type="dxa"/>
              <w:bottom w:w="0" w:type="dxa"/>
              <w:right w:w="108" w:type="dxa"/>
            </w:tcMar>
            <w:vAlign w:val="center"/>
          </w:tcPr>
          <w:p w14:paraId="1B5E56BA">
            <w:pPr>
              <w:pStyle w:val="56"/>
              <w:spacing w:line="300" w:lineRule="auto"/>
              <w:ind w:left="15" w:leftChars="7" w:right="-17" w:rightChars="-8" w:firstLine="403" w:firstLineChars="192"/>
              <w:rPr>
                <w:szCs w:val="21"/>
                <w:highlight w:val="none"/>
              </w:rPr>
            </w:pPr>
            <w:r>
              <w:rPr>
                <w:rFonts w:hint="eastAsia"/>
                <w:szCs w:val="21"/>
                <w:highlight w:val="none"/>
              </w:rPr>
              <w:t>在中华人民共和国境内注册的法人或其他组织或自然人，投标时提交有效的营业执照（或事业法人登记证或身份证等相关证明）扫描件。</w:t>
            </w:r>
          </w:p>
        </w:tc>
      </w:tr>
      <w:tr w14:paraId="03F8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6CAC3AA7">
            <w:pPr>
              <w:pStyle w:val="56"/>
              <w:spacing w:before="1" w:line="300" w:lineRule="auto"/>
              <w:ind w:right="3" w:hanging="10"/>
              <w:jc w:val="center"/>
              <w:rPr>
                <w:szCs w:val="21"/>
                <w:highlight w:val="none"/>
              </w:rPr>
            </w:pPr>
            <w:r>
              <w:rPr>
                <w:rFonts w:hint="eastAsia"/>
                <w:szCs w:val="21"/>
                <w:highlight w:val="none"/>
              </w:rPr>
              <w:t>有依法缴纳税收和社会保障资金的良好记录</w:t>
            </w:r>
          </w:p>
        </w:tc>
        <w:tc>
          <w:tcPr>
            <w:tcW w:w="7092" w:type="dxa"/>
            <w:shd w:val="clear" w:color="auto" w:fill="F6F6F6"/>
            <w:tcMar>
              <w:top w:w="57" w:type="dxa"/>
              <w:left w:w="108" w:type="dxa"/>
              <w:bottom w:w="0" w:type="dxa"/>
              <w:right w:w="108" w:type="dxa"/>
            </w:tcMar>
            <w:vAlign w:val="center"/>
          </w:tcPr>
          <w:p w14:paraId="3C390ACC">
            <w:pPr>
              <w:pStyle w:val="56"/>
              <w:spacing w:line="300" w:lineRule="auto"/>
              <w:ind w:left="15" w:leftChars="7" w:right="-17" w:rightChars="-8" w:firstLine="403" w:firstLineChars="192"/>
              <w:rPr>
                <w:szCs w:val="21"/>
                <w:highlight w:val="none"/>
              </w:rPr>
            </w:pPr>
            <w:r>
              <w:rPr>
                <w:rFonts w:hint="eastAsia"/>
                <w:szCs w:val="21"/>
                <w:highlight w:val="none"/>
              </w:rPr>
              <w:t>提供具有依法缴纳税收和社会保障资金证明的承诺函。</w:t>
            </w:r>
          </w:p>
        </w:tc>
      </w:tr>
      <w:tr w14:paraId="3754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391AAAE9">
            <w:pPr>
              <w:pStyle w:val="56"/>
              <w:spacing w:before="1" w:line="300" w:lineRule="auto"/>
              <w:ind w:right="3" w:hanging="10"/>
              <w:jc w:val="center"/>
              <w:rPr>
                <w:szCs w:val="21"/>
                <w:highlight w:val="none"/>
              </w:rPr>
            </w:pPr>
            <w:r>
              <w:rPr>
                <w:rFonts w:hint="eastAsia"/>
                <w:szCs w:val="21"/>
                <w:highlight w:val="none"/>
              </w:rPr>
              <w:t>具有良好的商业信誉和健全的财务会计制度</w:t>
            </w:r>
          </w:p>
        </w:tc>
        <w:tc>
          <w:tcPr>
            <w:tcW w:w="7092" w:type="dxa"/>
            <w:tcMar>
              <w:top w:w="57" w:type="dxa"/>
              <w:left w:w="108" w:type="dxa"/>
              <w:bottom w:w="0" w:type="dxa"/>
              <w:right w:w="108" w:type="dxa"/>
            </w:tcMar>
            <w:vAlign w:val="center"/>
          </w:tcPr>
          <w:p w14:paraId="5AAB48B9">
            <w:pPr>
              <w:pStyle w:val="56"/>
              <w:spacing w:before="117" w:line="300" w:lineRule="auto"/>
              <w:ind w:left="15" w:leftChars="7" w:right="-17" w:rightChars="-8" w:firstLine="403" w:firstLineChars="192"/>
              <w:rPr>
                <w:szCs w:val="21"/>
                <w:highlight w:val="none"/>
              </w:rPr>
            </w:pPr>
            <w:r>
              <w:rPr>
                <w:rFonts w:hint="eastAsia"/>
                <w:szCs w:val="21"/>
                <w:highlight w:val="none"/>
              </w:rPr>
              <w:t>提供具有良好的商业信誉和健全的财务会计制度的承诺函。</w:t>
            </w:r>
          </w:p>
        </w:tc>
      </w:tr>
      <w:tr w14:paraId="2504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041BE0BC">
            <w:pPr>
              <w:pStyle w:val="56"/>
              <w:spacing w:before="1" w:line="300" w:lineRule="auto"/>
              <w:ind w:right="3" w:hanging="10"/>
              <w:jc w:val="center"/>
              <w:rPr>
                <w:szCs w:val="21"/>
                <w:highlight w:val="none"/>
              </w:rPr>
            </w:pPr>
            <w:r>
              <w:rPr>
                <w:rFonts w:hint="eastAsia"/>
                <w:szCs w:val="21"/>
                <w:highlight w:val="none"/>
              </w:rPr>
              <w:t>履行合同所必需的设备和专业技术能力</w:t>
            </w:r>
          </w:p>
        </w:tc>
        <w:tc>
          <w:tcPr>
            <w:tcW w:w="7092" w:type="dxa"/>
            <w:shd w:val="clear" w:color="auto" w:fill="F6F6F6"/>
            <w:tcMar>
              <w:top w:w="57" w:type="dxa"/>
              <w:left w:w="108" w:type="dxa"/>
              <w:bottom w:w="0" w:type="dxa"/>
              <w:right w:w="108" w:type="dxa"/>
            </w:tcMar>
            <w:vAlign w:val="center"/>
          </w:tcPr>
          <w:p w14:paraId="1B846AD8">
            <w:pPr>
              <w:pStyle w:val="56"/>
              <w:spacing w:before="1" w:line="300" w:lineRule="auto"/>
              <w:ind w:left="15" w:leftChars="7" w:right="-17" w:rightChars="-8" w:firstLine="403" w:firstLineChars="192"/>
              <w:rPr>
                <w:szCs w:val="21"/>
                <w:highlight w:val="none"/>
              </w:rPr>
            </w:pPr>
            <w:r>
              <w:rPr>
                <w:rFonts w:hint="eastAsia"/>
                <w:szCs w:val="21"/>
                <w:highlight w:val="none"/>
              </w:rPr>
              <w:t>提供具有履行合同所</w:t>
            </w:r>
            <w:r>
              <w:rPr>
                <w:rFonts w:hint="eastAsia"/>
                <w:szCs w:val="21"/>
                <w:highlight w:val="none"/>
                <w:lang w:eastAsia="zh-CN"/>
              </w:rPr>
              <w:t>必需的设备</w:t>
            </w:r>
            <w:r>
              <w:rPr>
                <w:rFonts w:hint="eastAsia"/>
                <w:szCs w:val="21"/>
                <w:highlight w:val="none"/>
              </w:rPr>
              <w:t>和专业技术能力的承诺函。</w:t>
            </w:r>
          </w:p>
        </w:tc>
      </w:tr>
      <w:tr w14:paraId="5DA4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2144635E">
            <w:pPr>
              <w:pStyle w:val="56"/>
              <w:spacing w:line="300" w:lineRule="auto"/>
              <w:ind w:right="3" w:hanging="10"/>
              <w:jc w:val="center"/>
              <w:rPr>
                <w:szCs w:val="21"/>
                <w:highlight w:val="none"/>
              </w:rPr>
            </w:pPr>
            <w:r>
              <w:rPr>
                <w:rFonts w:hint="eastAsia"/>
                <w:szCs w:val="21"/>
                <w:highlight w:val="none"/>
              </w:rPr>
              <w:t>参加采购活动前3年内，在经营活动中没有重大违法记录</w:t>
            </w:r>
          </w:p>
        </w:tc>
        <w:tc>
          <w:tcPr>
            <w:tcW w:w="7092" w:type="dxa"/>
            <w:tcMar>
              <w:top w:w="57" w:type="dxa"/>
              <w:left w:w="108" w:type="dxa"/>
              <w:bottom w:w="0" w:type="dxa"/>
              <w:right w:w="108" w:type="dxa"/>
            </w:tcMar>
            <w:vAlign w:val="center"/>
          </w:tcPr>
          <w:p w14:paraId="00A4EC9E">
            <w:pPr>
              <w:pStyle w:val="56"/>
              <w:spacing w:before="48" w:line="300" w:lineRule="auto"/>
              <w:ind w:left="15" w:leftChars="7" w:right="-17" w:rightChars="-8" w:firstLine="403" w:firstLineChars="192"/>
              <w:rPr>
                <w:szCs w:val="21"/>
                <w:highlight w:val="none"/>
              </w:rPr>
            </w:pPr>
            <w:r>
              <w:rPr>
                <w:rFonts w:hint="eastAsia"/>
                <w:szCs w:val="21"/>
                <w:highlight w:val="none"/>
              </w:rPr>
              <w:t>参照投标声明书相关承诺内容。重大违法记录，是指投标人因违法经营受到刑事处罚或者责令停产停业、吊销许可证或者执照、较大数额罚款等行政处罚。</w:t>
            </w:r>
          </w:p>
        </w:tc>
      </w:tr>
      <w:tr w14:paraId="1D79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6F081B2B">
            <w:pPr>
              <w:pStyle w:val="56"/>
              <w:spacing w:line="300" w:lineRule="auto"/>
              <w:ind w:right="3" w:hanging="10"/>
              <w:jc w:val="center"/>
              <w:rPr>
                <w:szCs w:val="21"/>
                <w:highlight w:val="none"/>
              </w:rPr>
            </w:pPr>
            <w:r>
              <w:rPr>
                <w:rFonts w:hint="eastAsia"/>
                <w:szCs w:val="21"/>
                <w:highlight w:val="none"/>
              </w:rPr>
              <w:t>信用记录</w:t>
            </w:r>
          </w:p>
        </w:tc>
        <w:tc>
          <w:tcPr>
            <w:tcW w:w="7092" w:type="dxa"/>
            <w:shd w:val="clear" w:color="auto" w:fill="F6F6F6"/>
            <w:tcMar>
              <w:top w:w="57" w:type="dxa"/>
              <w:left w:w="108" w:type="dxa"/>
              <w:bottom w:w="0" w:type="dxa"/>
              <w:right w:w="108" w:type="dxa"/>
            </w:tcMar>
            <w:vAlign w:val="center"/>
          </w:tcPr>
          <w:p w14:paraId="75D982E5">
            <w:pPr>
              <w:spacing w:line="300" w:lineRule="auto"/>
              <w:ind w:left="15" w:leftChars="7" w:right="-17" w:rightChars="-8" w:firstLine="403" w:firstLineChars="192"/>
              <w:rPr>
                <w:rFonts w:ascii="宋体" w:hAnsi="宋体" w:cs="宋体"/>
                <w:szCs w:val="21"/>
                <w:highlight w:val="none"/>
              </w:rPr>
            </w:pPr>
            <w:r>
              <w:rPr>
                <w:rFonts w:hint="eastAsia" w:ascii="宋体" w:hAnsi="宋体" w:cs="宋体"/>
                <w:highlight w:val="none"/>
              </w:rPr>
              <w:t>1.截止时点：开标后评标前。</w:t>
            </w:r>
          </w:p>
          <w:p w14:paraId="4FDDC19E">
            <w:pPr>
              <w:spacing w:line="300" w:lineRule="auto"/>
              <w:ind w:left="15" w:leftChars="7" w:right="-17" w:rightChars="-8" w:firstLine="403" w:firstLineChars="192"/>
              <w:rPr>
                <w:rFonts w:ascii="宋体" w:hAnsi="宋体" w:cs="宋体"/>
                <w:szCs w:val="21"/>
                <w:highlight w:val="none"/>
              </w:rPr>
            </w:pPr>
            <w:r>
              <w:rPr>
                <w:rFonts w:hint="eastAsia" w:ascii="宋体" w:hAnsi="宋体" w:cs="宋体"/>
                <w:highlight w:val="none"/>
              </w:rPr>
              <w:t>2.使用规则：投标人未被列入“信用中国”失信被执行人或重大税收违法案件当事人名单；未处于“中国政府采购网”政府采购严重违法失信行为信息记录中的禁止参加政府采购活动期间（以联合体形式投标时，联合体各方均须满足该条款）。</w:t>
            </w:r>
          </w:p>
        </w:tc>
      </w:tr>
      <w:tr w14:paraId="2784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65C18E92">
            <w:pPr>
              <w:pStyle w:val="56"/>
              <w:spacing w:line="300" w:lineRule="auto"/>
              <w:ind w:right="3" w:hanging="10"/>
              <w:jc w:val="center"/>
              <w:rPr>
                <w:szCs w:val="21"/>
                <w:highlight w:val="none"/>
              </w:rPr>
            </w:pPr>
            <w:r>
              <w:rPr>
                <w:rFonts w:hint="eastAsia"/>
                <w:szCs w:val="21"/>
                <w:highlight w:val="none"/>
              </w:rPr>
              <w:t>必须符合法律、行政法规规定的其他条件</w:t>
            </w:r>
          </w:p>
        </w:tc>
        <w:tc>
          <w:tcPr>
            <w:tcW w:w="7092" w:type="dxa"/>
            <w:tcMar>
              <w:top w:w="57" w:type="dxa"/>
              <w:left w:w="108" w:type="dxa"/>
              <w:bottom w:w="0" w:type="dxa"/>
              <w:right w:w="108" w:type="dxa"/>
            </w:tcMar>
            <w:vAlign w:val="center"/>
          </w:tcPr>
          <w:p w14:paraId="33686933">
            <w:pPr>
              <w:pStyle w:val="56"/>
              <w:spacing w:before="48" w:line="300" w:lineRule="auto"/>
              <w:ind w:left="15" w:leftChars="7" w:right="-17" w:rightChars="-8" w:firstLine="403" w:firstLineChars="192"/>
              <w:rPr>
                <w:szCs w:val="21"/>
                <w:highlight w:val="none"/>
              </w:rPr>
            </w:pPr>
            <w:r>
              <w:rPr>
                <w:rFonts w:hint="eastAsia"/>
                <w:szCs w:val="21"/>
                <w:highlight w:val="none"/>
              </w:rPr>
              <w:t>1.单位负责人为同一人或者存在直接控股、管理关系的不同供应商，不得同时参加本项目投标。</w:t>
            </w:r>
          </w:p>
          <w:p w14:paraId="5F744DDC">
            <w:pPr>
              <w:pStyle w:val="56"/>
              <w:spacing w:before="48" w:line="300" w:lineRule="auto"/>
              <w:ind w:left="15" w:leftChars="7" w:right="-17" w:rightChars="-8" w:firstLine="403" w:firstLineChars="192"/>
              <w:rPr>
                <w:szCs w:val="21"/>
                <w:highlight w:val="none"/>
              </w:rPr>
            </w:pPr>
            <w:r>
              <w:rPr>
                <w:rFonts w:hint="eastAsia"/>
                <w:szCs w:val="21"/>
                <w:highlight w:val="none"/>
              </w:rPr>
              <w:t>2.为本项目提供整体设计、规范编制或者项目管理、监理、检测等服务的供应商，不得再参与本项目投标。</w:t>
            </w:r>
          </w:p>
          <w:p w14:paraId="3D13AEAE">
            <w:pPr>
              <w:pStyle w:val="56"/>
              <w:spacing w:before="48" w:line="300" w:lineRule="auto"/>
              <w:ind w:left="15" w:leftChars="7" w:right="-17" w:rightChars="-8" w:firstLine="403" w:firstLineChars="192"/>
              <w:rPr>
                <w:szCs w:val="21"/>
                <w:highlight w:val="none"/>
              </w:rPr>
            </w:pPr>
            <w:r>
              <w:rPr>
                <w:rFonts w:hint="eastAsia"/>
                <w:szCs w:val="21"/>
                <w:highlight w:val="none"/>
              </w:rPr>
              <w:t>3.投标（报价）文件相关承诺要求内容（以联合体形式投标时，联合体各方均须满足该条款）。</w:t>
            </w:r>
          </w:p>
        </w:tc>
      </w:tr>
      <w:tr w14:paraId="115C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14:paraId="49BB0765">
            <w:pPr>
              <w:pStyle w:val="56"/>
              <w:spacing w:before="48" w:line="300" w:lineRule="auto"/>
              <w:ind w:right="3" w:hanging="10"/>
              <w:jc w:val="center"/>
              <w:rPr>
                <w:szCs w:val="21"/>
                <w:highlight w:val="none"/>
              </w:rPr>
            </w:pPr>
            <w:r>
              <w:rPr>
                <w:rFonts w:hint="eastAsia"/>
                <w:szCs w:val="21"/>
                <w:highlight w:val="none"/>
              </w:rPr>
              <w:t>联合体投标</w:t>
            </w:r>
          </w:p>
        </w:tc>
        <w:tc>
          <w:tcPr>
            <w:tcW w:w="7092" w:type="dxa"/>
            <w:shd w:val="clear" w:color="auto" w:fill="F6F6F6"/>
            <w:tcMar>
              <w:top w:w="57" w:type="dxa"/>
              <w:left w:w="108" w:type="dxa"/>
              <w:bottom w:w="0" w:type="dxa"/>
              <w:right w:w="108" w:type="dxa"/>
            </w:tcMar>
            <w:vAlign w:val="center"/>
          </w:tcPr>
          <w:p w14:paraId="7B371217">
            <w:pPr>
              <w:pStyle w:val="56"/>
              <w:spacing w:before="48" w:line="300" w:lineRule="auto"/>
              <w:ind w:left="15" w:leftChars="7" w:right="-17" w:rightChars="-8" w:firstLine="403" w:firstLineChars="192"/>
              <w:rPr>
                <w:szCs w:val="21"/>
                <w:highlight w:val="none"/>
              </w:rPr>
            </w:pPr>
            <w:r>
              <w:rPr>
                <w:rFonts w:hint="eastAsia"/>
                <w:szCs w:val="21"/>
                <w:highlight w:val="none"/>
              </w:rPr>
              <w:t>本项目不接受联合体投标。</w:t>
            </w:r>
          </w:p>
        </w:tc>
      </w:tr>
      <w:tr w14:paraId="5AD4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14:paraId="0D880A1B">
            <w:pPr>
              <w:pStyle w:val="56"/>
              <w:spacing w:line="300" w:lineRule="auto"/>
              <w:ind w:right="3" w:hanging="10"/>
              <w:jc w:val="center"/>
              <w:rPr>
                <w:szCs w:val="21"/>
                <w:highlight w:val="none"/>
              </w:rPr>
            </w:pPr>
            <w:r>
              <w:rPr>
                <w:rFonts w:hint="eastAsia"/>
                <w:szCs w:val="21"/>
                <w:highlight w:val="none"/>
              </w:rPr>
              <w:t>资质</w:t>
            </w:r>
          </w:p>
        </w:tc>
        <w:tc>
          <w:tcPr>
            <w:tcW w:w="7092" w:type="dxa"/>
            <w:tcMar>
              <w:top w:w="57" w:type="dxa"/>
              <w:left w:w="108" w:type="dxa"/>
              <w:bottom w:w="0" w:type="dxa"/>
              <w:right w:w="108" w:type="dxa"/>
            </w:tcMar>
            <w:vAlign w:val="center"/>
          </w:tcPr>
          <w:p w14:paraId="7E08B612">
            <w:pPr>
              <w:pStyle w:val="56"/>
              <w:spacing w:before="48" w:line="300" w:lineRule="auto"/>
              <w:ind w:left="15" w:leftChars="7" w:right="-17" w:rightChars="-8" w:firstLine="403" w:firstLineChars="192"/>
              <w:rPr>
                <w:szCs w:val="21"/>
                <w:highlight w:val="none"/>
              </w:rPr>
            </w:pPr>
            <w:r>
              <w:rPr>
                <w:rFonts w:hint="eastAsia"/>
                <w:szCs w:val="21"/>
                <w:highlight w:val="none"/>
              </w:rPr>
              <w:t>无</w:t>
            </w:r>
          </w:p>
        </w:tc>
      </w:tr>
    </w:tbl>
    <w:p w14:paraId="3DF003CE">
      <w:pPr>
        <w:pStyle w:val="9"/>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firstLine="482" w:firstLineChars="200"/>
        <w:textAlignment w:val="auto"/>
        <w:rPr>
          <w:rFonts w:asciiTheme="minorEastAsia" w:hAnsiTheme="minorEastAsia" w:eastAsiaTheme="minorEastAsia"/>
          <w:b/>
          <w:bCs/>
          <w:sz w:val="24"/>
          <w:highlight w:val="none"/>
        </w:rPr>
      </w:pPr>
      <w:r>
        <w:rPr>
          <w:rFonts w:asciiTheme="minorEastAsia" w:hAnsiTheme="minorEastAsia" w:eastAsiaTheme="minorEastAsia"/>
          <w:b/>
          <w:bCs/>
          <w:sz w:val="24"/>
          <w:highlight w:val="none"/>
        </w:rPr>
        <w:t>符合性审查</w:t>
      </w:r>
    </w:p>
    <w:p w14:paraId="3C48CB5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sz w:val="24"/>
          <w:highlight w:val="none"/>
        </w:rPr>
      </w:pPr>
      <w:r>
        <w:rPr>
          <w:rFonts w:asciiTheme="minorEastAsia" w:hAnsiTheme="minorEastAsia" w:eastAsiaTheme="minorEastAsia"/>
          <w:sz w:val="24"/>
          <w:highlight w:val="none"/>
        </w:rPr>
        <w:t>评标委员会应当对符合资格的投标人的投标文件进行符合性审查，以确定其是否满足招标文件的实质性要求，对审查发现无效的进行必要的</w:t>
      </w:r>
      <w:r>
        <w:rPr>
          <w:rFonts w:hint="eastAsia" w:asciiTheme="minorEastAsia" w:hAnsiTheme="minorEastAsia" w:eastAsiaTheme="minorEastAsia"/>
          <w:sz w:val="24"/>
          <w:highlight w:val="none"/>
        </w:rPr>
        <w:t>询问</w:t>
      </w:r>
      <w:r>
        <w:rPr>
          <w:rFonts w:asciiTheme="minorEastAsia" w:hAnsiTheme="minorEastAsia" w:eastAsiaTheme="minorEastAsia"/>
          <w:sz w:val="24"/>
          <w:highlight w:val="none"/>
        </w:rPr>
        <w:t>，</w:t>
      </w:r>
      <w:r>
        <w:rPr>
          <w:rFonts w:hint="eastAsia" w:ascii="宋体" w:hAnsi="宋体" w:cs="宋体"/>
          <w:sz w:val="24"/>
          <w:highlight w:val="none"/>
        </w:rPr>
        <w:t>在台州湾新区小额工程电子交易平台公布无效投标的投标人名单、投标无效的原因</w:t>
      </w:r>
      <w:r>
        <w:rPr>
          <w:rFonts w:hint="eastAsia" w:asciiTheme="minorEastAsia" w:hAnsiTheme="minorEastAsia" w:eastAsiaTheme="minorEastAsia"/>
          <w:sz w:val="24"/>
          <w:highlight w:val="none"/>
        </w:rPr>
        <w:t>。</w:t>
      </w:r>
    </w:p>
    <w:tbl>
      <w:tblPr>
        <w:tblStyle w:val="27"/>
        <w:tblpPr w:leftFromText="181" w:rightFromText="181" w:bottomFromText="170" w:vertAnchor="text" w:tblpXSpec="center" w:tblpY="1"/>
        <w:tblOverlap w:val="never"/>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0"/>
        <w:gridCol w:w="7183"/>
      </w:tblGrid>
      <w:tr w14:paraId="4414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80" w:type="dxa"/>
            <w:tcMar>
              <w:top w:w="57" w:type="dxa"/>
              <w:left w:w="108" w:type="dxa"/>
              <w:bottom w:w="0" w:type="dxa"/>
              <w:right w:w="108" w:type="dxa"/>
            </w:tcMar>
            <w:vAlign w:val="center"/>
          </w:tcPr>
          <w:p w14:paraId="3DFF0CF2">
            <w:pPr>
              <w:pStyle w:val="56"/>
              <w:spacing w:line="300" w:lineRule="auto"/>
              <w:ind w:right="3" w:hanging="10"/>
              <w:jc w:val="center"/>
              <w:rPr>
                <w:szCs w:val="21"/>
                <w:highlight w:val="none"/>
              </w:rPr>
            </w:pPr>
            <w:r>
              <w:rPr>
                <w:rFonts w:hint="eastAsia"/>
                <w:szCs w:val="21"/>
                <w:highlight w:val="none"/>
              </w:rPr>
              <w:t>投标文件</w:t>
            </w:r>
          </w:p>
        </w:tc>
        <w:tc>
          <w:tcPr>
            <w:tcW w:w="7183" w:type="dxa"/>
            <w:tcMar>
              <w:top w:w="57" w:type="dxa"/>
              <w:left w:w="108" w:type="dxa"/>
              <w:bottom w:w="0" w:type="dxa"/>
              <w:right w:w="108" w:type="dxa"/>
            </w:tcMar>
            <w:vAlign w:val="center"/>
          </w:tcPr>
          <w:p w14:paraId="12516755">
            <w:pPr>
              <w:pStyle w:val="9"/>
              <w:spacing w:line="300" w:lineRule="auto"/>
              <w:ind w:left="15" w:leftChars="7" w:right="-17" w:rightChars="-8" w:firstLine="403" w:firstLineChars="192"/>
              <w:jc w:val="both"/>
              <w:rPr>
                <w:highlight w:val="none"/>
              </w:rPr>
            </w:pPr>
            <w:r>
              <w:rPr>
                <w:rFonts w:hint="eastAsia"/>
                <w:highlight w:val="none"/>
              </w:rPr>
              <w:t>投标文件内容基本完整，无重大错漏，并按要求签署、盖章。</w:t>
            </w:r>
          </w:p>
        </w:tc>
      </w:tr>
      <w:tr w14:paraId="4FE9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shd w:val="clear" w:color="auto" w:fill="F6F6F6"/>
            <w:tcMar>
              <w:top w:w="57" w:type="dxa"/>
              <w:left w:w="108" w:type="dxa"/>
              <w:bottom w:w="0" w:type="dxa"/>
              <w:right w:w="108" w:type="dxa"/>
            </w:tcMar>
            <w:vAlign w:val="center"/>
          </w:tcPr>
          <w:p w14:paraId="7F111673">
            <w:pPr>
              <w:pStyle w:val="56"/>
              <w:spacing w:line="300" w:lineRule="auto"/>
              <w:ind w:right="3" w:hanging="10"/>
              <w:jc w:val="center"/>
              <w:rPr>
                <w:szCs w:val="21"/>
                <w:highlight w:val="none"/>
              </w:rPr>
            </w:pPr>
            <w:r>
              <w:rPr>
                <w:rFonts w:hint="eastAsia"/>
                <w:szCs w:val="21"/>
                <w:highlight w:val="none"/>
              </w:rPr>
              <w:t>法定代表人/负责人授权委托书</w:t>
            </w:r>
          </w:p>
        </w:tc>
        <w:tc>
          <w:tcPr>
            <w:tcW w:w="7183" w:type="dxa"/>
            <w:shd w:val="clear" w:color="auto" w:fill="F6F6F6"/>
            <w:tcMar>
              <w:top w:w="57" w:type="dxa"/>
              <w:left w:w="108" w:type="dxa"/>
              <w:bottom w:w="0" w:type="dxa"/>
              <w:right w:w="108" w:type="dxa"/>
            </w:tcMar>
            <w:vAlign w:val="center"/>
          </w:tcPr>
          <w:p w14:paraId="07481D46">
            <w:pPr>
              <w:pStyle w:val="9"/>
              <w:spacing w:line="300" w:lineRule="auto"/>
              <w:ind w:left="15" w:leftChars="7" w:right="-17" w:rightChars="-8" w:firstLine="403" w:firstLineChars="192"/>
              <w:jc w:val="both"/>
              <w:rPr>
                <w:highlight w:val="none"/>
              </w:rPr>
            </w:pPr>
            <w:r>
              <w:rPr>
                <w:rFonts w:hint="eastAsia"/>
                <w:highlight w:val="none"/>
              </w:rPr>
              <w:t>法定代表人/负责人授权委托书，按对应格式文件签署、盖章。</w:t>
            </w:r>
          </w:p>
        </w:tc>
      </w:tr>
      <w:tr w14:paraId="75D0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57" w:type="dxa"/>
              <w:left w:w="108" w:type="dxa"/>
              <w:bottom w:w="0" w:type="dxa"/>
              <w:right w:w="108" w:type="dxa"/>
            </w:tcMar>
            <w:vAlign w:val="center"/>
          </w:tcPr>
          <w:p w14:paraId="4C4034DE">
            <w:pPr>
              <w:pStyle w:val="56"/>
              <w:spacing w:line="300" w:lineRule="auto"/>
              <w:ind w:right="3" w:hanging="10"/>
              <w:jc w:val="center"/>
              <w:rPr>
                <w:szCs w:val="21"/>
                <w:highlight w:val="none"/>
              </w:rPr>
            </w:pPr>
            <w:r>
              <w:rPr>
                <w:rFonts w:hint="eastAsia"/>
                <w:szCs w:val="21"/>
                <w:highlight w:val="none"/>
              </w:rPr>
              <w:t>“▲”实质性条款</w:t>
            </w:r>
          </w:p>
        </w:tc>
        <w:tc>
          <w:tcPr>
            <w:tcW w:w="7183" w:type="dxa"/>
            <w:tcMar>
              <w:top w:w="57" w:type="dxa"/>
              <w:left w:w="108" w:type="dxa"/>
              <w:bottom w:w="0" w:type="dxa"/>
              <w:right w:w="108" w:type="dxa"/>
            </w:tcMar>
            <w:vAlign w:val="center"/>
          </w:tcPr>
          <w:p w14:paraId="7F45E775">
            <w:pPr>
              <w:pStyle w:val="9"/>
              <w:spacing w:line="300" w:lineRule="auto"/>
              <w:ind w:left="15" w:leftChars="7" w:right="-17" w:rightChars="-8" w:firstLine="403" w:firstLineChars="192"/>
              <w:jc w:val="both"/>
              <w:rPr>
                <w:highlight w:val="none"/>
              </w:rPr>
            </w:pPr>
            <w:r>
              <w:rPr>
                <w:rFonts w:hint="eastAsia"/>
                <w:highlight w:val="none"/>
              </w:rPr>
              <w:t>“▲”实质性条款必须满足招标文件要求。</w:t>
            </w:r>
          </w:p>
        </w:tc>
      </w:tr>
      <w:tr w14:paraId="4D86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shd w:val="clear" w:color="auto" w:fill="F6F6F6"/>
            <w:tcMar>
              <w:top w:w="57" w:type="dxa"/>
              <w:left w:w="108" w:type="dxa"/>
              <w:bottom w:w="0" w:type="dxa"/>
              <w:right w:w="108" w:type="dxa"/>
            </w:tcMar>
            <w:vAlign w:val="center"/>
          </w:tcPr>
          <w:p w14:paraId="1FC24395">
            <w:pPr>
              <w:pStyle w:val="56"/>
              <w:spacing w:line="300" w:lineRule="auto"/>
              <w:ind w:right="3" w:hanging="10"/>
              <w:jc w:val="center"/>
              <w:rPr>
                <w:szCs w:val="21"/>
                <w:highlight w:val="none"/>
              </w:rPr>
            </w:pPr>
            <w:r>
              <w:rPr>
                <w:rFonts w:hint="eastAsia"/>
                <w:szCs w:val="21"/>
                <w:highlight w:val="none"/>
              </w:rPr>
              <w:t>串通投标</w:t>
            </w:r>
          </w:p>
        </w:tc>
        <w:tc>
          <w:tcPr>
            <w:tcW w:w="7183" w:type="dxa"/>
            <w:shd w:val="clear" w:color="auto" w:fill="F6F6F6"/>
            <w:tcMar>
              <w:top w:w="57" w:type="dxa"/>
              <w:left w:w="108" w:type="dxa"/>
              <w:bottom w:w="0" w:type="dxa"/>
              <w:right w:w="108" w:type="dxa"/>
            </w:tcMar>
            <w:vAlign w:val="center"/>
          </w:tcPr>
          <w:p w14:paraId="583B68B7">
            <w:pPr>
              <w:pStyle w:val="9"/>
              <w:spacing w:line="300" w:lineRule="auto"/>
              <w:ind w:left="15" w:leftChars="7" w:right="-17" w:rightChars="-8" w:firstLine="403" w:firstLineChars="192"/>
              <w:jc w:val="both"/>
              <w:rPr>
                <w:highlight w:val="none"/>
              </w:rPr>
            </w:pPr>
            <w:r>
              <w:rPr>
                <w:rFonts w:hint="eastAsia"/>
                <w:highlight w:val="none"/>
              </w:rPr>
              <w:t>未出现财政部87号令《政府采购货物和服务招标投标管理办法》第三十七条规定的串通投标情形。</w:t>
            </w:r>
          </w:p>
        </w:tc>
      </w:tr>
      <w:tr w14:paraId="2C2F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57" w:type="dxa"/>
              <w:left w:w="108" w:type="dxa"/>
              <w:bottom w:w="0" w:type="dxa"/>
              <w:right w:w="108" w:type="dxa"/>
            </w:tcMar>
            <w:vAlign w:val="center"/>
          </w:tcPr>
          <w:p w14:paraId="27F04154">
            <w:pPr>
              <w:pStyle w:val="56"/>
              <w:spacing w:line="300" w:lineRule="auto"/>
              <w:ind w:right="3" w:hanging="10"/>
              <w:jc w:val="center"/>
              <w:rPr>
                <w:szCs w:val="21"/>
                <w:highlight w:val="none"/>
              </w:rPr>
            </w:pPr>
            <w:r>
              <w:rPr>
                <w:rFonts w:hint="eastAsia"/>
                <w:szCs w:val="21"/>
                <w:highlight w:val="none"/>
              </w:rPr>
              <w:t>附加条件</w:t>
            </w:r>
          </w:p>
        </w:tc>
        <w:tc>
          <w:tcPr>
            <w:tcW w:w="7183" w:type="dxa"/>
            <w:tcMar>
              <w:top w:w="57" w:type="dxa"/>
              <w:left w:w="108" w:type="dxa"/>
              <w:bottom w:w="0" w:type="dxa"/>
              <w:right w:w="108" w:type="dxa"/>
            </w:tcMar>
            <w:vAlign w:val="center"/>
          </w:tcPr>
          <w:p w14:paraId="5CF8B244">
            <w:pPr>
              <w:pStyle w:val="9"/>
              <w:spacing w:line="300" w:lineRule="auto"/>
              <w:ind w:left="15" w:leftChars="7" w:right="-17" w:rightChars="-8" w:firstLine="403" w:firstLineChars="192"/>
              <w:jc w:val="both"/>
              <w:rPr>
                <w:highlight w:val="none"/>
              </w:rPr>
            </w:pPr>
            <w:r>
              <w:rPr>
                <w:rFonts w:hint="eastAsia"/>
                <w:highlight w:val="none"/>
              </w:rPr>
              <w:t>投标文件未含有采购人不可接受的附加条件。</w:t>
            </w:r>
          </w:p>
        </w:tc>
      </w:tr>
    </w:tbl>
    <w:p w14:paraId="0607B23D">
      <w:pPr>
        <w:pStyle w:val="23"/>
        <w:keepNext w:val="0"/>
        <w:keepLines w:val="0"/>
        <w:pageBreakBefore w:val="0"/>
        <w:numPr>
          <w:ilvl w:val="0"/>
          <w:numId w:val="55"/>
        </w:numPr>
        <w:kinsoku/>
        <w:wordWrap/>
        <w:overflowPunct/>
        <w:topLinePunct w:val="0"/>
        <w:bidi w:val="0"/>
        <w:adjustRightInd/>
        <w:snapToGrid/>
        <w:spacing w:before="0" w:beforeAutospacing="0" w:after="0" w:afterAutospacing="0" w:line="360" w:lineRule="auto"/>
        <w:ind w:left="0" w:leftChars="0" w:right="0" w:firstLine="482" w:firstLineChars="200"/>
        <w:jc w:val="left"/>
        <w:textAlignment w:val="auto"/>
        <w:rPr>
          <w:rFonts w:hint="default" w:asciiTheme="minorEastAsia" w:hAnsiTheme="minorEastAsia" w:eastAsiaTheme="minorEastAsia"/>
          <w:highlight w:val="none"/>
        </w:rPr>
      </w:pPr>
      <w:r>
        <w:rPr>
          <w:rFonts w:ascii="Arial" w:hAnsi="Arial" w:cs="Arial" w:eastAsiaTheme="minorEastAsia"/>
          <w:b/>
          <w:bCs/>
          <w:highlight w:val="none"/>
        </w:rPr>
        <w:t>技术标及商务标评审</w:t>
      </w:r>
    </w:p>
    <w:p w14:paraId="47998EA6">
      <w:pPr>
        <w:keepNext w:val="0"/>
        <w:keepLines w:val="0"/>
        <w:pageBreakBefore w:val="0"/>
        <w:kinsoku/>
        <w:wordWrap/>
        <w:overflowPunct/>
        <w:topLinePunct w:val="0"/>
        <w:autoSpaceDE w:val="0"/>
        <w:autoSpaceDN w:val="0"/>
        <w:bidi w:val="0"/>
        <w:adjustRightInd/>
        <w:snapToGrid/>
        <w:spacing w:line="360" w:lineRule="auto"/>
        <w:ind w:right="0" w:firstLine="480" w:firstLineChars="200"/>
        <w:jc w:val="left"/>
        <w:textAlignment w:val="auto"/>
        <w:rPr>
          <w:rFonts w:ascii="宋体"/>
          <w:b/>
          <w:bCs/>
          <w:sz w:val="24"/>
          <w:highlight w:val="none"/>
        </w:rPr>
      </w:pPr>
      <w:r>
        <w:rPr>
          <w:rFonts w:hint="eastAsia" w:asciiTheme="minorEastAsia" w:hAnsiTheme="minorEastAsia" w:eastAsiaTheme="minorEastAsia"/>
          <w:kern w:val="0"/>
          <w:sz w:val="24"/>
          <w:highlight w:val="none"/>
        </w:rPr>
        <w:t>项目评标方法为综合评分法，总计100分，评标按以下标准及要求进行：</w:t>
      </w:r>
    </w:p>
    <w:p w14:paraId="393AAF6C">
      <w:pPr>
        <w:keepNext w:val="0"/>
        <w:keepLines w:val="0"/>
        <w:pageBreakBefore w:val="0"/>
        <w:numPr>
          <w:ilvl w:val="0"/>
          <w:numId w:val="56"/>
        </w:numPr>
        <w:kinsoku/>
        <w:wordWrap/>
        <w:overflowPunct/>
        <w:topLinePunct w:val="0"/>
        <w:autoSpaceDE w:val="0"/>
        <w:autoSpaceDN w:val="0"/>
        <w:bidi w:val="0"/>
        <w:adjustRightInd/>
        <w:snapToGrid/>
        <w:spacing w:line="360" w:lineRule="auto"/>
        <w:ind w:left="0" w:leftChars="0" w:right="0" w:firstLine="482" w:firstLineChars="200"/>
        <w:jc w:val="left"/>
        <w:textAlignment w:val="auto"/>
        <w:rPr>
          <w:rFonts w:hint="eastAsia" w:ascii="宋体"/>
          <w:b/>
          <w:bCs/>
          <w:sz w:val="24"/>
          <w:highlight w:val="none"/>
        </w:rPr>
      </w:pPr>
      <w:r>
        <w:rPr>
          <w:rFonts w:hint="eastAsia" w:ascii="宋体"/>
          <w:b/>
          <w:bCs/>
          <w:sz w:val="24"/>
          <w:highlight w:val="none"/>
        </w:rPr>
        <w:t>评分标准</w:t>
      </w:r>
    </w:p>
    <w:p w14:paraId="3BAF8B13">
      <w:pPr>
        <w:rPr>
          <w:rFonts w:hint="eastAsia" w:ascii="宋体"/>
          <w:b/>
          <w:bCs/>
          <w:sz w:val="24"/>
          <w:highlight w:val="none"/>
        </w:rPr>
      </w:pPr>
      <w:r>
        <w:rPr>
          <w:rFonts w:hint="eastAsia" w:ascii="宋体"/>
          <w:b/>
          <w:bCs/>
          <w:sz w:val="24"/>
          <w:highlight w:val="none"/>
        </w:rPr>
        <w:br w:type="page"/>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000"/>
        <w:gridCol w:w="5744"/>
        <w:gridCol w:w="767"/>
      </w:tblGrid>
      <w:tr w14:paraId="3865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005" w:type="dxa"/>
            <w:shd w:val="clear" w:color="auto" w:fill="DDDDDD"/>
            <w:vAlign w:val="center"/>
          </w:tcPr>
          <w:p w14:paraId="798F4A21">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评分项目</w:t>
            </w:r>
          </w:p>
        </w:tc>
        <w:tc>
          <w:tcPr>
            <w:tcW w:w="6744" w:type="dxa"/>
            <w:gridSpan w:val="2"/>
            <w:shd w:val="clear" w:color="auto" w:fill="DDDDDD"/>
            <w:vAlign w:val="center"/>
          </w:tcPr>
          <w:p w14:paraId="5300BFD2">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评分细则</w:t>
            </w:r>
          </w:p>
        </w:tc>
        <w:tc>
          <w:tcPr>
            <w:tcW w:w="767" w:type="dxa"/>
            <w:shd w:val="clear" w:color="auto" w:fill="DDDDDD"/>
            <w:vAlign w:val="center"/>
          </w:tcPr>
          <w:p w14:paraId="6CC6E152">
            <w:pPr>
              <w:adjustRightInd w:val="0"/>
              <w:snapToGrid w:val="0"/>
              <w:ind w:right="-105" w:rightChars="-5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r>
      <w:tr w14:paraId="1518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05" w:type="dxa"/>
            <w:vMerge w:val="restart"/>
            <w:vAlign w:val="center"/>
          </w:tcPr>
          <w:p w14:paraId="64D1333A">
            <w:pPr>
              <w:adjustRightInd w:val="0"/>
              <w:snapToGrid w:val="0"/>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rPr>
              <w:t>技术</w:t>
            </w:r>
            <w:r>
              <w:rPr>
                <w:rFonts w:hint="eastAsia" w:ascii="宋体" w:hAnsi="宋体" w:cs="宋体"/>
                <w:snapToGrid w:val="0"/>
                <w:color w:val="auto"/>
                <w:sz w:val="21"/>
                <w:szCs w:val="21"/>
                <w:highlight w:val="none"/>
                <w:lang w:val="en-US" w:eastAsia="zh-CN"/>
              </w:rPr>
              <w:t>标</w:t>
            </w:r>
          </w:p>
        </w:tc>
        <w:tc>
          <w:tcPr>
            <w:tcW w:w="1000" w:type="dxa"/>
            <w:vAlign w:val="center"/>
          </w:tcPr>
          <w:p w14:paraId="3FF0C434">
            <w:pPr>
              <w:bidi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样品</w:t>
            </w:r>
          </w:p>
        </w:tc>
        <w:tc>
          <w:tcPr>
            <w:tcW w:w="5744" w:type="dxa"/>
            <w:vAlign w:val="center"/>
          </w:tcPr>
          <w:p w14:paraId="6C235299">
            <w:pPr>
              <w:bidi w:val="0"/>
              <w:rPr>
                <w:rFonts w:hint="default"/>
                <w:sz w:val="20"/>
                <w:szCs w:val="20"/>
                <w:lang w:val="en-US" w:eastAsia="zh-CN"/>
              </w:rPr>
            </w:pPr>
            <w:r>
              <w:rPr>
                <w:rFonts w:hint="default"/>
                <w:sz w:val="20"/>
                <w:szCs w:val="20"/>
                <w:lang w:val="en-US" w:eastAsia="zh-CN"/>
              </w:rPr>
              <w:t>1.按照要求提供以下样</w:t>
            </w:r>
            <w:r>
              <w:rPr>
                <w:rFonts w:hint="default"/>
                <w:color w:val="auto"/>
                <w:sz w:val="20"/>
                <w:szCs w:val="20"/>
                <w:lang w:val="en-US" w:eastAsia="zh-CN"/>
              </w:rPr>
              <w:t>品：“序号4-4人桌.可调节、序号5-椅.23cm.可叠，序号39-托育婴幼儿活动床1.24m，序号50-原木3层高柜.全背板”，未按规定提供样品的相应评分项不得分。每</w:t>
            </w:r>
            <w:r>
              <w:rPr>
                <w:rFonts w:hint="eastAsia"/>
                <w:color w:val="auto"/>
                <w:sz w:val="20"/>
                <w:szCs w:val="20"/>
                <w:lang w:val="en-US" w:eastAsia="zh-CN"/>
              </w:rPr>
              <w:t>个</w:t>
            </w:r>
            <w:r>
              <w:rPr>
                <w:rFonts w:hint="default"/>
                <w:color w:val="auto"/>
                <w:sz w:val="20"/>
                <w:szCs w:val="20"/>
                <w:lang w:val="en-US" w:eastAsia="zh-CN"/>
              </w:rPr>
              <w:t>样品</w:t>
            </w:r>
            <w:r>
              <w:rPr>
                <w:rFonts w:hint="eastAsia"/>
                <w:color w:val="auto"/>
                <w:sz w:val="20"/>
                <w:szCs w:val="20"/>
                <w:lang w:val="en-US" w:eastAsia="zh-CN"/>
              </w:rPr>
              <w:t>3</w:t>
            </w:r>
            <w:r>
              <w:rPr>
                <w:rFonts w:hint="default"/>
                <w:color w:val="auto"/>
                <w:sz w:val="20"/>
                <w:szCs w:val="20"/>
                <w:lang w:val="en-US" w:eastAsia="zh-CN"/>
              </w:rPr>
              <w:t>分，满分1</w:t>
            </w:r>
            <w:r>
              <w:rPr>
                <w:rFonts w:hint="eastAsia"/>
                <w:color w:val="auto"/>
                <w:sz w:val="20"/>
                <w:szCs w:val="20"/>
                <w:lang w:val="en-US" w:eastAsia="zh-CN"/>
              </w:rPr>
              <w:t>2</w:t>
            </w:r>
            <w:r>
              <w:rPr>
                <w:rFonts w:hint="default"/>
                <w:color w:val="auto"/>
                <w:sz w:val="20"/>
                <w:szCs w:val="20"/>
                <w:lang w:val="en-US" w:eastAsia="zh-CN"/>
              </w:rPr>
              <w:t>分</w:t>
            </w:r>
            <w:r>
              <w:rPr>
                <w:rFonts w:hint="eastAsia"/>
                <w:color w:val="auto"/>
                <w:sz w:val="20"/>
                <w:szCs w:val="20"/>
                <w:lang w:val="en-US" w:eastAsia="zh-CN"/>
              </w:rPr>
              <w:t>。</w:t>
            </w:r>
            <w:r>
              <w:rPr>
                <w:rFonts w:hint="default"/>
                <w:color w:val="auto"/>
                <w:sz w:val="20"/>
                <w:szCs w:val="20"/>
                <w:lang w:val="en-US" w:eastAsia="zh-CN"/>
              </w:rPr>
              <w:t>评</w:t>
            </w:r>
            <w:r>
              <w:rPr>
                <w:rFonts w:hint="default"/>
                <w:sz w:val="20"/>
                <w:szCs w:val="20"/>
                <w:lang w:val="en-US" w:eastAsia="zh-CN"/>
              </w:rPr>
              <w:t>分依据要求：</w:t>
            </w:r>
          </w:p>
          <w:p w14:paraId="20A8D98C">
            <w:pPr>
              <w:bidi w:val="0"/>
              <w:rPr>
                <w:rFonts w:hint="default"/>
                <w:sz w:val="20"/>
                <w:szCs w:val="20"/>
                <w:lang w:val="en-US" w:eastAsia="zh-CN"/>
              </w:rPr>
            </w:pPr>
            <w:r>
              <w:rPr>
                <w:rFonts w:hint="default"/>
                <w:sz w:val="20"/>
                <w:szCs w:val="20"/>
                <w:lang w:val="en-US" w:eastAsia="zh-CN"/>
              </w:rPr>
              <w:t>1）产品选用的板材、材料是</w:t>
            </w:r>
            <w:r>
              <w:rPr>
                <w:rFonts w:hint="eastAsia"/>
                <w:sz w:val="20"/>
                <w:szCs w:val="20"/>
                <w:lang w:val="en-US" w:eastAsia="zh-CN"/>
              </w:rPr>
              <w:t>否</w:t>
            </w:r>
            <w:r>
              <w:rPr>
                <w:rFonts w:hint="default"/>
                <w:sz w:val="20"/>
                <w:szCs w:val="20"/>
                <w:lang w:val="en-US" w:eastAsia="zh-CN"/>
              </w:rPr>
              <w:t>符合或优于技术要求，制造工艺先进、外观无毛刺，无异味，色泽一致等（0-</w:t>
            </w:r>
            <w:r>
              <w:rPr>
                <w:rFonts w:hint="eastAsia"/>
                <w:sz w:val="20"/>
                <w:szCs w:val="20"/>
                <w:lang w:val="en-US" w:eastAsia="zh-CN"/>
              </w:rPr>
              <w:t>1.5</w:t>
            </w:r>
            <w:r>
              <w:rPr>
                <w:rFonts w:hint="default"/>
                <w:sz w:val="20"/>
                <w:szCs w:val="20"/>
                <w:lang w:val="en-US" w:eastAsia="zh-CN"/>
              </w:rPr>
              <w:t>分）；</w:t>
            </w:r>
          </w:p>
          <w:p w14:paraId="05E6261E">
            <w:pPr>
              <w:bidi w:val="0"/>
              <w:rPr>
                <w:rFonts w:hint="default"/>
                <w:sz w:val="20"/>
                <w:szCs w:val="20"/>
                <w:lang w:val="en-US" w:eastAsia="zh-CN"/>
              </w:rPr>
            </w:pPr>
            <w:r>
              <w:rPr>
                <w:rFonts w:hint="default"/>
                <w:sz w:val="20"/>
                <w:szCs w:val="20"/>
                <w:lang w:val="en-US" w:eastAsia="zh-CN"/>
              </w:rPr>
              <w:t>2）产品尺寸、形状符合</w:t>
            </w:r>
            <w:r>
              <w:rPr>
                <w:rFonts w:hint="eastAsia"/>
                <w:sz w:val="20"/>
                <w:szCs w:val="20"/>
                <w:lang w:val="en-US" w:eastAsia="zh-CN"/>
              </w:rPr>
              <w:t>是否</w:t>
            </w:r>
            <w:r>
              <w:rPr>
                <w:rFonts w:hint="default"/>
                <w:sz w:val="20"/>
                <w:szCs w:val="20"/>
                <w:lang w:val="en-US" w:eastAsia="zh-CN"/>
              </w:rPr>
              <w:t>符合招标要求，零部件结构是否先进、稳定，安装后灵活使用、安全性能高等（0-</w:t>
            </w:r>
            <w:r>
              <w:rPr>
                <w:rFonts w:hint="eastAsia"/>
                <w:sz w:val="20"/>
                <w:szCs w:val="20"/>
                <w:lang w:val="en-US" w:eastAsia="zh-CN"/>
              </w:rPr>
              <w:t>1.5</w:t>
            </w:r>
            <w:r>
              <w:rPr>
                <w:rFonts w:hint="default"/>
                <w:sz w:val="20"/>
                <w:szCs w:val="20"/>
                <w:lang w:val="en-US" w:eastAsia="zh-CN"/>
              </w:rPr>
              <w:t>分）。</w:t>
            </w:r>
          </w:p>
        </w:tc>
        <w:tc>
          <w:tcPr>
            <w:tcW w:w="767" w:type="dxa"/>
            <w:vAlign w:val="center"/>
          </w:tcPr>
          <w:p w14:paraId="0DF98C2E">
            <w:pPr>
              <w:adjustRightInd w:val="0"/>
              <w:snapToGrid w:val="0"/>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12</w:t>
            </w:r>
          </w:p>
        </w:tc>
      </w:tr>
      <w:tr w14:paraId="024F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45781665">
            <w:pPr>
              <w:adjustRightInd w:val="0"/>
              <w:snapToGrid w:val="0"/>
              <w:rPr>
                <w:rFonts w:hint="eastAsia" w:ascii="宋体" w:hAnsi="宋体" w:eastAsia="宋体" w:cs="宋体"/>
                <w:snapToGrid w:val="0"/>
                <w:color w:val="auto"/>
                <w:sz w:val="21"/>
                <w:szCs w:val="21"/>
                <w:highlight w:val="none"/>
              </w:rPr>
            </w:pPr>
          </w:p>
        </w:tc>
        <w:tc>
          <w:tcPr>
            <w:tcW w:w="1000" w:type="dxa"/>
            <w:vAlign w:val="center"/>
          </w:tcPr>
          <w:p w14:paraId="547D2D23">
            <w:pPr>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成品检测报告</w:t>
            </w:r>
          </w:p>
        </w:tc>
        <w:tc>
          <w:tcPr>
            <w:tcW w:w="5744" w:type="dxa"/>
            <w:vAlign w:val="center"/>
          </w:tcPr>
          <w:p w14:paraId="43CCDB3C">
            <w:pPr>
              <w:bidi w:val="0"/>
              <w:rPr>
                <w:rFonts w:hint="eastAsia"/>
                <w:sz w:val="20"/>
                <w:szCs w:val="20"/>
                <w:lang w:val="en-US" w:eastAsia="zh-CN"/>
              </w:rPr>
            </w:pPr>
            <w:r>
              <w:rPr>
                <w:rFonts w:hint="eastAsia"/>
                <w:sz w:val="20"/>
                <w:szCs w:val="20"/>
                <w:lang w:val="en-US" w:eastAsia="zh-CN"/>
              </w:rPr>
              <w:t>提供国家认可的第三方检测机构出具的与采购标的同品类（指原木桌、原木椅、百宝箱、教具篮、沙发）成品检测报告（有效期内），满足以下检测标准及结果的，每提供一品类得2分，最高得10分。</w:t>
            </w:r>
          </w:p>
          <w:p w14:paraId="38540FD3">
            <w:pPr>
              <w:numPr>
                <w:ilvl w:val="0"/>
                <w:numId w:val="57"/>
              </w:numPr>
              <w:bidi w:val="0"/>
              <w:ind w:left="425" w:leftChars="0" w:hanging="425" w:firstLineChars="0"/>
              <w:rPr>
                <w:rFonts w:hint="eastAsia"/>
                <w:sz w:val="20"/>
                <w:szCs w:val="20"/>
                <w:lang w:val="en-US" w:eastAsia="zh-CN"/>
              </w:rPr>
            </w:pPr>
            <w:r>
              <w:rPr>
                <w:rFonts w:hint="eastAsia"/>
                <w:sz w:val="20"/>
                <w:szCs w:val="20"/>
                <w:lang w:val="en-US" w:eastAsia="zh-CN"/>
              </w:rPr>
              <w:t>原木桌、原木椅的检测标准：GB18584-2024《家具中有害物质限量》及GB/T43002-2023《儿童家具 质量检验及质量判定》。</w:t>
            </w:r>
          </w:p>
          <w:p w14:paraId="06A6D99C">
            <w:pPr>
              <w:bidi w:val="0"/>
              <w:rPr>
                <w:rFonts w:hint="default"/>
                <w:sz w:val="20"/>
                <w:szCs w:val="20"/>
                <w:lang w:val="en-US" w:eastAsia="zh-CN"/>
              </w:rPr>
            </w:pPr>
            <w:r>
              <w:rPr>
                <w:rFonts w:hint="eastAsia"/>
                <w:sz w:val="20"/>
                <w:szCs w:val="20"/>
                <w:lang w:val="en-US" w:eastAsia="zh-CN"/>
              </w:rPr>
              <w:t>检测结果：</w:t>
            </w:r>
            <w:r>
              <w:rPr>
                <w:rFonts w:hint="eastAsia"/>
                <w:sz w:val="20"/>
                <w:szCs w:val="20"/>
                <w:lang w:val="zh-CN" w:eastAsia="zh-CN"/>
              </w:rPr>
              <w:t>（1）外观要求（木制件外观、人造板件外观、塑料件外观、木工要求、漆膜外观要求）符合标准要求。（2）力学性能符合标准要求。（3）邻苯二甲酸酯（DBP、BBP、DEHP、DNOP、DINP、DIDP）、18种多环芳烃(PAH)总量均未检出。（4）甲醛、苯、甲苯、二甲苯、TVOC、可迁移有害元素（铅、镉、铬、汞、锑、钡、硒、砷）符合标准要求。</w:t>
            </w:r>
          </w:p>
          <w:p w14:paraId="3CA693FF">
            <w:pPr>
              <w:numPr>
                <w:ilvl w:val="0"/>
                <w:numId w:val="57"/>
              </w:numPr>
              <w:bidi w:val="0"/>
              <w:ind w:left="425" w:leftChars="0" w:hanging="425" w:firstLineChars="0"/>
              <w:rPr>
                <w:rFonts w:hint="eastAsia"/>
                <w:sz w:val="20"/>
                <w:szCs w:val="20"/>
                <w:lang w:val="en-US" w:eastAsia="zh-CN"/>
              </w:rPr>
            </w:pPr>
            <w:r>
              <w:rPr>
                <w:rFonts w:hint="eastAsia"/>
                <w:sz w:val="20"/>
                <w:szCs w:val="20"/>
                <w:lang w:val="en-US" w:eastAsia="zh-CN"/>
              </w:rPr>
              <w:t>百宝箱的检测标准：GB/T32487-2016《塑料家具通用技术条件》、GB/T17657-2022《人造板及饰面人造板理化性能试验方法》及GB/T1633-2000《热塑性塑料维卡软化温度（VST）的测定》。</w:t>
            </w:r>
          </w:p>
          <w:p w14:paraId="0CF84B77">
            <w:pPr>
              <w:bidi w:val="0"/>
              <w:rPr>
                <w:rFonts w:hint="default"/>
                <w:sz w:val="20"/>
                <w:szCs w:val="20"/>
                <w:lang w:val="en-US" w:eastAsia="zh-CN"/>
              </w:rPr>
            </w:pPr>
            <w:r>
              <w:rPr>
                <w:rFonts w:hint="default"/>
                <w:sz w:val="20"/>
                <w:szCs w:val="20"/>
                <w:lang w:val="en-US" w:eastAsia="zh-CN"/>
              </w:rPr>
              <w:t>检测结果：（1）冲击强度的保持率≥60%，冲击强度符合要求。（2）24h吸水膨胀率≤6%，静曲强度≥55MPa，弹性模量≥6000MPa，耐光色牢度≥4级灰色样卡，耐黄变色牢度≥4级灰色样卡,表面耐污染≥4级。（3）维卡软化温度≥140℃</w:t>
            </w:r>
            <w:r>
              <w:rPr>
                <w:rFonts w:hint="eastAsia"/>
                <w:sz w:val="20"/>
                <w:szCs w:val="20"/>
                <w:lang w:val="en-US" w:eastAsia="zh-CN"/>
              </w:rPr>
              <w:t>。</w:t>
            </w:r>
          </w:p>
          <w:p w14:paraId="5B006541">
            <w:pPr>
              <w:numPr>
                <w:ilvl w:val="0"/>
                <w:numId w:val="57"/>
              </w:numPr>
              <w:bidi w:val="0"/>
              <w:ind w:left="425" w:leftChars="0" w:hanging="425" w:firstLineChars="0"/>
              <w:rPr>
                <w:rFonts w:hint="eastAsia"/>
                <w:sz w:val="20"/>
                <w:szCs w:val="20"/>
                <w:lang w:val="en-US" w:eastAsia="zh-CN"/>
              </w:rPr>
            </w:pPr>
            <w:r>
              <w:rPr>
                <w:rFonts w:hint="eastAsia"/>
                <w:sz w:val="20"/>
                <w:szCs w:val="20"/>
                <w:lang w:val="en-US" w:eastAsia="zh-CN"/>
              </w:rPr>
              <w:t>教具篮的检测标准：GB/T1634.1-2019《塑料 负荷变形温度的测定 第1部分:通用试验方法》、GB/T16422.2-2022《塑料 实验室光源暴露试验方法 第2部分：氙弧灯》及GB/T30401-2013《塑料储藏盒》。</w:t>
            </w:r>
          </w:p>
          <w:p w14:paraId="39D835C5">
            <w:pPr>
              <w:bidi w:val="0"/>
              <w:rPr>
                <w:rFonts w:hint="eastAsia"/>
                <w:sz w:val="20"/>
                <w:szCs w:val="20"/>
                <w:lang w:val="en-US" w:eastAsia="zh-CN"/>
              </w:rPr>
            </w:pPr>
            <w:r>
              <w:rPr>
                <w:rFonts w:hint="eastAsia"/>
                <w:sz w:val="20"/>
                <w:szCs w:val="20"/>
                <w:lang w:val="en-US" w:eastAsia="zh-CN"/>
              </w:rPr>
              <w:t>检测结果：（1）连续光照，102min干燥及18min喷淋，循环周期≥480H后，外观无发粘、裂纹等异常现象。（2）负荷变形温度≥69℃。（3）外观（表面效果、气泡、黑点、杂质、浇口、毛边、毛刺、变形、色差、混色）符合标准要求，气味1级（不易感觉到），容量偏差为0~1%，经低温试验后，应无破裂，无明显变形。</w:t>
            </w:r>
          </w:p>
          <w:p w14:paraId="6F1840B1">
            <w:pPr>
              <w:numPr>
                <w:ilvl w:val="0"/>
                <w:numId w:val="57"/>
              </w:numPr>
              <w:bidi w:val="0"/>
              <w:ind w:left="425" w:leftChars="0" w:hanging="425" w:firstLineChars="0"/>
              <w:rPr>
                <w:rFonts w:hint="eastAsia"/>
                <w:sz w:val="20"/>
                <w:szCs w:val="20"/>
                <w:lang w:val="en-US" w:eastAsia="zh-CN"/>
              </w:rPr>
            </w:pPr>
            <w:r>
              <w:rPr>
                <w:rFonts w:hint="eastAsia"/>
                <w:sz w:val="20"/>
                <w:szCs w:val="20"/>
                <w:lang w:val="en-US" w:eastAsia="zh-CN"/>
              </w:rPr>
              <w:t>沙发的检测标准：GB20286-2006《公共场所阻燃制品及组件燃烧性能要求和标识》及QB/T4371-2012《家具抗菌性能的评价》。</w:t>
            </w:r>
          </w:p>
          <w:p w14:paraId="3D6D1517">
            <w:pPr>
              <w:bidi w:val="0"/>
              <w:rPr>
                <w:rFonts w:hint="default"/>
                <w:sz w:val="20"/>
                <w:szCs w:val="20"/>
                <w:lang w:val="en-US" w:eastAsia="zh-CN"/>
              </w:rPr>
            </w:pPr>
            <w:r>
              <w:rPr>
                <w:rFonts w:hint="eastAsia"/>
                <w:sz w:val="20"/>
                <w:szCs w:val="20"/>
                <w:lang w:val="en-US" w:eastAsia="zh-CN"/>
              </w:rPr>
              <w:t>检测结果：（1）热释放速率峰值≤80kw;5min内放出的总能量≤10MJ；最大烟密度≤75%。（2）抗菌性能测试，检测内容至少包含鼠伤寒沙门氏菌、金黄色葡萄球菌、大肠埃希氏菌、甲型副伤寒沙门氏菌、乙型副伤寒沙门氏菌及肺炎链球菌等检测结果抗菌率达到99%及以上。</w:t>
            </w:r>
          </w:p>
          <w:p w14:paraId="42A5449F">
            <w:pPr>
              <w:bidi w:val="0"/>
              <w:rPr>
                <w:rFonts w:hint="eastAsia"/>
                <w:b/>
                <w:bCs/>
                <w:sz w:val="20"/>
                <w:szCs w:val="20"/>
                <w:lang w:val="en-US" w:eastAsia="zh-CN"/>
              </w:rPr>
            </w:pPr>
            <w:r>
              <w:rPr>
                <w:rFonts w:hint="eastAsia"/>
                <w:b/>
                <w:bCs/>
                <w:sz w:val="20"/>
                <w:szCs w:val="20"/>
                <w:lang w:val="en-US" w:eastAsia="zh-CN"/>
              </w:rPr>
              <w:t>检测报告的成品名称与上述名称稍有不同的，视为符合。</w:t>
            </w:r>
          </w:p>
          <w:p w14:paraId="6773EAE6">
            <w:pPr>
              <w:bidi w:val="0"/>
              <w:rPr>
                <w:rFonts w:hint="eastAsia"/>
                <w:b/>
                <w:bCs/>
                <w:sz w:val="20"/>
                <w:szCs w:val="20"/>
                <w:lang w:val="zh-CN" w:eastAsia="zh-CN"/>
              </w:rPr>
            </w:pPr>
            <w:r>
              <w:rPr>
                <w:rFonts w:hint="eastAsia"/>
                <w:b/>
                <w:bCs/>
                <w:sz w:val="20"/>
                <w:szCs w:val="20"/>
                <w:lang w:val="zh-CN" w:eastAsia="zh-CN"/>
              </w:rPr>
              <w:t>报告委托单位或报告抬头公司名称须与本次投标</w:t>
            </w:r>
            <w:r>
              <w:rPr>
                <w:rFonts w:hint="eastAsia"/>
                <w:b/>
                <w:bCs/>
                <w:sz w:val="20"/>
                <w:szCs w:val="20"/>
                <w:lang w:val="en-US" w:eastAsia="zh-CN"/>
              </w:rPr>
              <w:t>人或</w:t>
            </w:r>
            <w:r>
              <w:rPr>
                <w:rFonts w:hint="eastAsia"/>
                <w:b/>
                <w:bCs/>
                <w:sz w:val="20"/>
                <w:szCs w:val="20"/>
                <w:lang w:val="zh-CN" w:eastAsia="zh-CN"/>
              </w:rPr>
              <w:t>所提供货物制造商一致。</w:t>
            </w:r>
          </w:p>
          <w:p w14:paraId="57905B28">
            <w:pPr>
              <w:bidi w:val="0"/>
              <w:rPr>
                <w:rFonts w:hint="eastAsia"/>
                <w:sz w:val="20"/>
                <w:szCs w:val="20"/>
                <w:lang w:val="en-US" w:eastAsia="zh-CN"/>
              </w:rPr>
            </w:pPr>
            <w:r>
              <w:rPr>
                <w:rFonts w:hint="eastAsia"/>
                <w:b/>
                <w:bCs/>
                <w:sz w:val="20"/>
                <w:szCs w:val="20"/>
                <w:lang w:val="zh-CN" w:eastAsia="zh-CN"/>
              </w:rPr>
              <w:t>需同时提供检测报告全页扫描件以及全国认证认可信息公共服务平台网站（http://cx.cnca.cn/CertECloud/qts/qts/qtsPage）查询截图作为</w:t>
            </w:r>
            <w:r>
              <w:rPr>
                <w:rFonts w:hint="eastAsia"/>
                <w:b/>
                <w:bCs/>
                <w:sz w:val="20"/>
                <w:szCs w:val="20"/>
                <w:lang w:val="en-US" w:eastAsia="zh-CN"/>
              </w:rPr>
              <w:t>评审</w:t>
            </w:r>
            <w:r>
              <w:rPr>
                <w:rFonts w:hint="eastAsia"/>
                <w:b/>
                <w:bCs/>
                <w:sz w:val="20"/>
                <w:szCs w:val="20"/>
                <w:lang w:val="zh-CN" w:eastAsia="zh-CN"/>
              </w:rPr>
              <w:t>依据，</w:t>
            </w:r>
            <w:r>
              <w:rPr>
                <w:rFonts w:hint="eastAsia"/>
                <w:b/>
                <w:bCs/>
                <w:sz w:val="20"/>
                <w:szCs w:val="20"/>
                <w:lang w:val="en-US" w:eastAsia="zh-CN"/>
              </w:rPr>
              <w:t>未</w:t>
            </w:r>
            <w:r>
              <w:rPr>
                <w:rFonts w:hint="eastAsia"/>
                <w:b/>
                <w:bCs/>
                <w:sz w:val="20"/>
                <w:szCs w:val="20"/>
                <w:lang w:val="zh-CN" w:eastAsia="zh-CN"/>
              </w:rPr>
              <w:t>提供或不符合要求的不得分。</w:t>
            </w:r>
          </w:p>
        </w:tc>
        <w:tc>
          <w:tcPr>
            <w:tcW w:w="767" w:type="dxa"/>
            <w:vAlign w:val="center"/>
          </w:tcPr>
          <w:p w14:paraId="48C2DA97">
            <w:pPr>
              <w:adjustRightInd w:val="0"/>
              <w:snapToGrid w:val="0"/>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10</w:t>
            </w:r>
          </w:p>
        </w:tc>
      </w:tr>
      <w:tr w14:paraId="5DE4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1311F993">
            <w:pPr>
              <w:adjustRightInd w:val="0"/>
              <w:snapToGrid w:val="0"/>
              <w:rPr>
                <w:rFonts w:hint="eastAsia" w:ascii="宋体" w:hAnsi="宋体" w:eastAsia="宋体" w:cs="宋体"/>
                <w:snapToGrid w:val="0"/>
                <w:color w:val="auto"/>
                <w:sz w:val="21"/>
                <w:szCs w:val="21"/>
                <w:highlight w:val="none"/>
              </w:rPr>
            </w:pPr>
          </w:p>
        </w:tc>
        <w:tc>
          <w:tcPr>
            <w:tcW w:w="1000" w:type="dxa"/>
            <w:vAlign w:val="center"/>
          </w:tcPr>
          <w:p w14:paraId="726488F5">
            <w:pPr>
              <w:jc w:val="center"/>
              <w:rPr>
                <w:rFonts w:hint="eastAsia" w:ascii="宋体" w:hAnsi="宋体" w:cs="宋体"/>
                <w:color w:val="auto"/>
                <w:kern w:val="2"/>
                <w:sz w:val="20"/>
                <w:szCs w:val="20"/>
                <w:highlight w:val="none"/>
                <w:lang w:val="en-US" w:eastAsia="zh-CN" w:bidi="ar-SA"/>
              </w:rPr>
            </w:pPr>
            <w:r>
              <w:rPr>
                <w:rFonts w:hint="eastAsia" w:eastAsia="宋体"/>
                <w:sz w:val="20"/>
                <w:szCs w:val="20"/>
                <w:lang w:val="en-US" w:eastAsia="zh-CN"/>
              </w:rPr>
              <w:t>原材料检测报告</w:t>
            </w:r>
          </w:p>
        </w:tc>
        <w:tc>
          <w:tcPr>
            <w:tcW w:w="5744" w:type="dxa"/>
            <w:vAlign w:val="center"/>
          </w:tcPr>
          <w:p w14:paraId="1932157E">
            <w:pPr>
              <w:bidi w:val="0"/>
              <w:rPr>
                <w:rFonts w:hint="eastAsia"/>
                <w:sz w:val="20"/>
                <w:szCs w:val="20"/>
                <w:lang w:val="en-US" w:eastAsia="zh-CN"/>
              </w:rPr>
            </w:pPr>
            <w:r>
              <w:rPr>
                <w:rFonts w:hint="eastAsia"/>
                <w:sz w:val="20"/>
                <w:szCs w:val="20"/>
                <w:lang w:val="en-US" w:eastAsia="zh-CN"/>
              </w:rPr>
              <w:t>提供国家认可的第三方检测机构出具的原材料（指洞洞板、水性漆、聚氨酯合成革超柔皮、波纹板、五金件）检测报告（有效期内），满足以下检测标准及结果的，每提供一品类得2分，最高得10分。</w:t>
            </w:r>
          </w:p>
          <w:p w14:paraId="5D2BB7EF">
            <w:pPr>
              <w:numPr>
                <w:ilvl w:val="0"/>
                <w:numId w:val="58"/>
              </w:numPr>
              <w:bidi w:val="0"/>
              <w:ind w:left="425" w:leftChars="0" w:hanging="425" w:firstLineChars="0"/>
              <w:rPr>
                <w:rFonts w:hint="eastAsia"/>
                <w:sz w:val="20"/>
                <w:szCs w:val="20"/>
                <w:lang w:val="en-US" w:eastAsia="zh-CN"/>
              </w:rPr>
            </w:pPr>
            <w:r>
              <w:rPr>
                <w:rFonts w:hint="eastAsia"/>
                <w:sz w:val="20"/>
                <w:szCs w:val="20"/>
                <w:lang w:val="en-US" w:eastAsia="zh-CN"/>
              </w:rPr>
              <w:t>洞洞板的检测标准：QB/T4767-2014《家具用钢构件》、QB/T3827-1999《轻工产品金属镀层和化学处理层的耐腐蚀试验方法乙酸盐雾试验(ASS)法》、QB/T3832-1999《轻工产品金属镀层腐蚀试验结果的评价》。</w:t>
            </w:r>
          </w:p>
          <w:p w14:paraId="47E8D887">
            <w:pPr>
              <w:bidi w:val="0"/>
              <w:rPr>
                <w:rFonts w:hint="default"/>
                <w:sz w:val="20"/>
                <w:szCs w:val="20"/>
                <w:lang w:val="en-US" w:eastAsia="zh-CN"/>
              </w:rPr>
            </w:pPr>
            <w:r>
              <w:rPr>
                <w:rFonts w:hint="eastAsia"/>
                <w:sz w:val="20"/>
                <w:szCs w:val="20"/>
                <w:lang w:val="en-US" w:eastAsia="zh-CN"/>
              </w:rPr>
              <w:t>检测结果：</w:t>
            </w:r>
            <w:r>
              <w:rPr>
                <w:rFonts w:hint="eastAsia"/>
                <w:sz w:val="20"/>
                <w:szCs w:val="20"/>
                <w:lang w:val="zh-CN" w:eastAsia="zh-CN"/>
              </w:rPr>
              <w:t>安全性能（可溶性元素Pb、Cd、Cr、Hg均未检出)；产品表面涂层理化性能（金属喷涂层的硬度≥H，冲击强度，附着力，涂层厚度，24h中性盐雾不低于8级）；乙酸盐雾连续喷雾≥480H后涂层本身耐腐蚀等级≥9级，涂层对基本的保护等级≥9级。</w:t>
            </w:r>
          </w:p>
          <w:p w14:paraId="5961951E">
            <w:pPr>
              <w:numPr>
                <w:ilvl w:val="0"/>
                <w:numId w:val="58"/>
              </w:numPr>
              <w:bidi w:val="0"/>
              <w:ind w:left="425" w:leftChars="0" w:hanging="425" w:firstLineChars="0"/>
              <w:rPr>
                <w:rFonts w:hint="eastAsia"/>
                <w:sz w:val="20"/>
                <w:szCs w:val="20"/>
                <w:lang w:val="en-US" w:eastAsia="zh-CN"/>
              </w:rPr>
            </w:pPr>
            <w:r>
              <w:rPr>
                <w:rFonts w:hint="eastAsia"/>
                <w:sz w:val="20"/>
                <w:szCs w:val="20"/>
                <w:lang w:val="en-US" w:eastAsia="zh-CN"/>
              </w:rPr>
              <w:t>水性漆的检测标准：GB/T23994-2009《与人体接触的消费产品用涂料中特定有害元素限量》。</w:t>
            </w:r>
          </w:p>
          <w:p w14:paraId="4738B0EC">
            <w:pPr>
              <w:bidi w:val="0"/>
              <w:rPr>
                <w:rFonts w:hint="default"/>
                <w:sz w:val="20"/>
                <w:szCs w:val="20"/>
                <w:lang w:val="en-US" w:eastAsia="zh-CN"/>
              </w:rPr>
            </w:pPr>
            <w:r>
              <w:rPr>
                <w:rFonts w:hint="default"/>
                <w:sz w:val="20"/>
                <w:szCs w:val="20"/>
                <w:lang w:val="en-US" w:eastAsia="zh-CN"/>
              </w:rPr>
              <w:t>检测结果：</w:t>
            </w:r>
            <w:r>
              <w:rPr>
                <w:rFonts w:hint="eastAsia"/>
                <w:sz w:val="20"/>
                <w:szCs w:val="20"/>
                <w:lang w:val="en-US" w:eastAsia="zh-CN"/>
              </w:rPr>
              <w:t>铅（Pb）、镉（Cd）、铬（Cr）、钡（Ba)、砷（As)≤1mg/kg，汞（Hg）、硒（Se)、锑（Sb)≤0.1mg/kg，总铅（pb）含量≤2.5mg/kg。</w:t>
            </w:r>
          </w:p>
          <w:p w14:paraId="1EAC9D1B">
            <w:pPr>
              <w:numPr>
                <w:ilvl w:val="0"/>
                <w:numId w:val="58"/>
              </w:numPr>
              <w:bidi w:val="0"/>
              <w:ind w:left="425" w:leftChars="0" w:hanging="425" w:firstLineChars="0"/>
              <w:rPr>
                <w:rFonts w:hint="eastAsia"/>
                <w:sz w:val="20"/>
                <w:szCs w:val="20"/>
                <w:lang w:val="en-US" w:eastAsia="zh-CN"/>
              </w:rPr>
            </w:pPr>
            <w:r>
              <w:rPr>
                <w:rFonts w:hint="eastAsia"/>
                <w:sz w:val="20"/>
                <w:szCs w:val="20"/>
                <w:lang w:val="en-US" w:eastAsia="zh-CN"/>
              </w:rPr>
              <w:t>聚氨酯合成革超柔皮的检测标准：QB/T4199-2011《皮革防霉性能测试方法》。</w:t>
            </w:r>
          </w:p>
          <w:p w14:paraId="643D3B89">
            <w:pPr>
              <w:bidi w:val="0"/>
              <w:rPr>
                <w:rFonts w:hint="eastAsia"/>
                <w:sz w:val="20"/>
                <w:szCs w:val="20"/>
                <w:lang w:val="en-US" w:eastAsia="zh-CN"/>
              </w:rPr>
            </w:pPr>
            <w:r>
              <w:rPr>
                <w:rFonts w:hint="eastAsia"/>
                <w:sz w:val="20"/>
                <w:szCs w:val="20"/>
                <w:lang w:val="en-US" w:eastAsia="zh-CN"/>
              </w:rPr>
              <w:t>检测结果：防霉效果评估等级为1级（无霉菌生长，具有防霉性）。</w:t>
            </w:r>
          </w:p>
          <w:p w14:paraId="330BC8CE">
            <w:pPr>
              <w:numPr>
                <w:ilvl w:val="0"/>
                <w:numId w:val="58"/>
              </w:numPr>
              <w:bidi w:val="0"/>
              <w:ind w:left="425" w:leftChars="0" w:hanging="425" w:firstLineChars="0"/>
              <w:rPr>
                <w:rFonts w:hint="eastAsia"/>
                <w:sz w:val="20"/>
                <w:szCs w:val="20"/>
                <w:lang w:val="en-US" w:eastAsia="zh-CN"/>
              </w:rPr>
            </w:pPr>
            <w:r>
              <w:rPr>
                <w:rFonts w:hint="eastAsia"/>
                <w:sz w:val="20"/>
                <w:szCs w:val="20"/>
                <w:lang w:val="en-US" w:eastAsia="zh-CN"/>
              </w:rPr>
              <w:t>波纹板的检测标准：</w:t>
            </w:r>
            <w:r>
              <w:rPr>
                <w:rFonts w:hint="eastAsia"/>
                <w:sz w:val="20"/>
                <w:szCs w:val="20"/>
                <w:lang w:val="zh-CN" w:eastAsia="zh-CN"/>
              </w:rPr>
              <w:t>GB/T 19466.1-2004《塑料 差示扫描量热法（DSC）第1部分：通则》</w:t>
            </w:r>
            <w:r>
              <w:rPr>
                <w:rFonts w:hint="eastAsia"/>
                <w:sz w:val="20"/>
                <w:szCs w:val="20"/>
                <w:lang w:val="en-US" w:eastAsia="zh-CN"/>
              </w:rPr>
              <w:t>及GB/T 19466.3-2004《塑料 差示扫描量热法（DSC）第3部分：熔融和结晶温度及热焓的测定》。</w:t>
            </w:r>
          </w:p>
          <w:p w14:paraId="25990619">
            <w:pPr>
              <w:bidi w:val="0"/>
              <w:rPr>
                <w:rFonts w:hint="eastAsia"/>
                <w:sz w:val="20"/>
                <w:szCs w:val="20"/>
                <w:lang w:val="en-US" w:eastAsia="zh-CN"/>
              </w:rPr>
            </w:pPr>
            <w:r>
              <w:rPr>
                <w:rFonts w:hint="eastAsia"/>
                <w:sz w:val="20"/>
                <w:szCs w:val="20"/>
                <w:lang w:val="en-US" w:eastAsia="zh-CN"/>
              </w:rPr>
              <w:t>检测结果：</w:t>
            </w:r>
            <w:r>
              <w:rPr>
                <w:rFonts w:hint="eastAsia"/>
                <w:sz w:val="20"/>
                <w:szCs w:val="20"/>
                <w:lang w:val="zh-CN" w:eastAsia="zh-CN"/>
              </w:rPr>
              <w:t>耐高温升到300℃无明显熔融现象</w:t>
            </w:r>
            <w:r>
              <w:rPr>
                <w:rFonts w:hint="eastAsia"/>
                <w:sz w:val="20"/>
                <w:szCs w:val="20"/>
                <w:lang w:val="en-US" w:eastAsia="zh-CN"/>
              </w:rPr>
              <w:t>。</w:t>
            </w:r>
          </w:p>
          <w:p w14:paraId="615D900F">
            <w:pPr>
              <w:numPr>
                <w:ilvl w:val="0"/>
                <w:numId w:val="58"/>
              </w:numPr>
              <w:bidi w:val="0"/>
              <w:ind w:left="425" w:leftChars="0" w:hanging="425" w:firstLineChars="0"/>
              <w:rPr>
                <w:rFonts w:hint="eastAsia"/>
                <w:sz w:val="20"/>
                <w:szCs w:val="20"/>
                <w:lang w:val="en-US" w:eastAsia="zh-CN"/>
              </w:rPr>
            </w:pPr>
            <w:r>
              <w:rPr>
                <w:rFonts w:hint="eastAsia"/>
                <w:sz w:val="20"/>
                <w:szCs w:val="20"/>
                <w:lang w:val="en-US" w:eastAsia="zh-CN"/>
              </w:rPr>
              <w:t>五金件的检测标准：</w:t>
            </w:r>
            <w:r>
              <w:rPr>
                <w:rFonts w:hint="eastAsia"/>
                <w:sz w:val="20"/>
                <w:szCs w:val="20"/>
                <w:lang w:val="zh-CN" w:eastAsia="zh-CN"/>
              </w:rPr>
              <w:t>GB/T 10125-2021《人造气氛腐蚀试验 盐雾试验》</w:t>
            </w:r>
            <w:r>
              <w:rPr>
                <w:rFonts w:hint="eastAsia"/>
                <w:sz w:val="20"/>
                <w:szCs w:val="20"/>
                <w:lang w:val="en-US" w:eastAsia="zh-CN"/>
              </w:rPr>
              <w:t>。</w:t>
            </w:r>
          </w:p>
          <w:p w14:paraId="378FC8A8">
            <w:pPr>
              <w:bidi w:val="0"/>
              <w:rPr>
                <w:rFonts w:hint="default"/>
                <w:sz w:val="20"/>
                <w:szCs w:val="20"/>
                <w:lang w:val="en-US" w:eastAsia="zh-CN"/>
              </w:rPr>
            </w:pPr>
            <w:r>
              <w:rPr>
                <w:rFonts w:hint="eastAsia"/>
                <w:sz w:val="20"/>
                <w:szCs w:val="20"/>
                <w:lang w:val="en-US" w:eastAsia="zh-CN"/>
              </w:rPr>
              <w:t>检测结果：经≥100h中性盐雾测试，五金件无腐蚀现象，耐腐蚀性能等级的保护评级(Rp)与外观评级(RA)≥9级。</w:t>
            </w:r>
          </w:p>
          <w:p w14:paraId="452EF388">
            <w:pPr>
              <w:bidi w:val="0"/>
              <w:rPr>
                <w:rFonts w:hint="eastAsia"/>
                <w:b/>
                <w:bCs/>
                <w:sz w:val="20"/>
                <w:szCs w:val="20"/>
                <w:lang w:val="en-US" w:eastAsia="zh-CN"/>
              </w:rPr>
            </w:pPr>
            <w:r>
              <w:rPr>
                <w:rFonts w:hint="eastAsia"/>
                <w:b/>
                <w:bCs/>
                <w:sz w:val="20"/>
                <w:szCs w:val="20"/>
                <w:lang w:val="en-US" w:eastAsia="zh-CN"/>
              </w:rPr>
              <w:t>检测报告的原材料名称与上述名称稍有不同的，视为符合。</w:t>
            </w:r>
          </w:p>
          <w:p w14:paraId="7C5542FF">
            <w:pPr>
              <w:bidi w:val="0"/>
              <w:rPr>
                <w:rFonts w:hint="eastAsia"/>
                <w:b/>
                <w:bCs/>
                <w:sz w:val="20"/>
                <w:szCs w:val="20"/>
                <w:lang w:val="zh-CN" w:eastAsia="zh-CN"/>
              </w:rPr>
            </w:pPr>
            <w:r>
              <w:rPr>
                <w:rFonts w:hint="eastAsia"/>
                <w:b/>
                <w:bCs/>
                <w:sz w:val="20"/>
                <w:szCs w:val="20"/>
                <w:lang w:val="zh-CN" w:eastAsia="zh-CN"/>
              </w:rPr>
              <w:t>报告委托单位或报告抬头公司名称须与本次投标</w:t>
            </w:r>
            <w:r>
              <w:rPr>
                <w:rFonts w:hint="eastAsia"/>
                <w:b/>
                <w:bCs/>
                <w:sz w:val="20"/>
                <w:szCs w:val="20"/>
                <w:lang w:val="en-US" w:eastAsia="zh-CN"/>
              </w:rPr>
              <w:t>人或</w:t>
            </w:r>
            <w:r>
              <w:rPr>
                <w:rFonts w:hint="eastAsia"/>
                <w:b/>
                <w:bCs/>
                <w:sz w:val="20"/>
                <w:szCs w:val="20"/>
                <w:lang w:val="zh-CN" w:eastAsia="zh-CN"/>
              </w:rPr>
              <w:t>所提供货物制造商一致。</w:t>
            </w:r>
          </w:p>
          <w:p w14:paraId="26BA4D8B">
            <w:pPr>
              <w:bidi w:val="0"/>
              <w:rPr>
                <w:rFonts w:hint="eastAsia" w:ascii="Times New Roman" w:hAnsi="Times New Roman" w:eastAsia="宋体" w:cs="Times New Roman"/>
                <w:color w:val="auto"/>
                <w:kern w:val="2"/>
                <w:sz w:val="20"/>
                <w:szCs w:val="20"/>
                <w:highlight w:val="none"/>
                <w:lang w:val="en-US" w:eastAsia="zh-CN" w:bidi="ar-SA"/>
              </w:rPr>
            </w:pPr>
            <w:r>
              <w:rPr>
                <w:rFonts w:hint="eastAsia"/>
                <w:b/>
                <w:bCs/>
                <w:sz w:val="20"/>
                <w:szCs w:val="20"/>
                <w:lang w:val="zh-CN" w:eastAsia="zh-CN"/>
              </w:rPr>
              <w:t>需同时提供检测报告全页扫描件以及全国认证认可信息公共服务平台网站（http://cx.cnca.cn/CertECloud/qts/qts/qtsPage）查询截图作为</w:t>
            </w:r>
            <w:r>
              <w:rPr>
                <w:rFonts w:hint="eastAsia"/>
                <w:b/>
                <w:bCs/>
                <w:sz w:val="20"/>
                <w:szCs w:val="20"/>
                <w:lang w:val="en-US" w:eastAsia="zh-CN"/>
              </w:rPr>
              <w:t>评审</w:t>
            </w:r>
            <w:r>
              <w:rPr>
                <w:rFonts w:hint="eastAsia"/>
                <w:b/>
                <w:bCs/>
                <w:sz w:val="20"/>
                <w:szCs w:val="20"/>
                <w:lang w:val="zh-CN" w:eastAsia="zh-CN"/>
              </w:rPr>
              <w:t>依据，</w:t>
            </w:r>
            <w:r>
              <w:rPr>
                <w:rFonts w:hint="eastAsia"/>
                <w:b/>
                <w:bCs/>
                <w:sz w:val="20"/>
                <w:szCs w:val="20"/>
                <w:lang w:val="en-US" w:eastAsia="zh-CN"/>
              </w:rPr>
              <w:t>未</w:t>
            </w:r>
            <w:r>
              <w:rPr>
                <w:rFonts w:hint="eastAsia"/>
                <w:b/>
                <w:bCs/>
                <w:sz w:val="20"/>
                <w:szCs w:val="20"/>
                <w:lang w:val="zh-CN" w:eastAsia="zh-CN"/>
              </w:rPr>
              <w:t>提供或不符合要求的不得分。</w:t>
            </w:r>
          </w:p>
        </w:tc>
        <w:tc>
          <w:tcPr>
            <w:tcW w:w="767" w:type="dxa"/>
            <w:vAlign w:val="center"/>
          </w:tcPr>
          <w:p w14:paraId="2C53F963">
            <w:pPr>
              <w:adjustRightInd w:val="0"/>
              <w:snapToGrid w:val="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10</w:t>
            </w:r>
          </w:p>
        </w:tc>
      </w:tr>
      <w:tr w14:paraId="0C79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0D23310F">
            <w:pPr>
              <w:adjustRightInd w:val="0"/>
              <w:snapToGrid w:val="0"/>
              <w:rPr>
                <w:rFonts w:hint="eastAsia" w:ascii="宋体" w:hAnsi="宋体" w:eastAsia="宋体" w:cs="宋体"/>
                <w:snapToGrid w:val="0"/>
                <w:color w:val="auto"/>
                <w:sz w:val="21"/>
                <w:szCs w:val="21"/>
                <w:highlight w:val="none"/>
              </w:rPr>
            </w:pPr>
          </w:p>
        </w:tc>
        <w:tc>
          <w:tcPr>
            <w:tcW w:w="1000" w:type="dxa"/>
            <w:vAlign w:val="center"/>
          </w:tcPr>
          <w:p w14:paraId="1534DEDF">
            <w:pPr>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技术参数</w:t>
            </w:r>
          </w:p>
        </w:tc>
        <w:tc>
          <w:tcPr>
            <w:tcW w:w="5744" w:type="dxa"/>
            <w:vAlign w:val="center"/>
          </w:tcPr>
          <w:p w14:paraId="63C0579B">
            <w:pPr>
              <w:pStyle w:val="32"/>
              <w:rPr>
                <w:rFonts w:hint="eastAsia" w:ascii="Times New Roman" w:hAnsi="Times New Roman" w:eastAsia="宋体" w:cs="Times New Roman"/>
                <w:color w:val="auto"/>
                <w:kern w:val="2"/>
                <w:sz w:val="20"/>
                <w:szCs w:val="20"/>
                <w:highlight w:val="none"/>
                <w:lang w:val="en-US" w:eastAsia="zh-CN" w:bidi="ar-SA"/>
              </w:rPr>
            </w:pPr>
            <w:r>
              <w:rPr>
                <w:rFonts w:hint="eastAsia" w:ascii="Times New Roman" w:hAnsi="Times New Roman" w:eastAsia="宋体" w:cs="Times New Roman"/>
                <w:color w:val="auto"/>
                <w:kern w:val="2"/>
                <w:sz w:val="20"/>
                <w:szCs w:val="20"/>
                <w:highlight w:val="none"/>
                <w:lang w:val="en-US" w:eastAsia="zh-CN" w:bidi="ar-SA"/>
              </w:rPr>
              <w:t>根据投标产品的各项技术性能指标、功能要求与采购文件要求的符合程度及偏离情况进行评审：</w:t>
            </w:r>
          </w:p>
          <w:p w14:paraId="3C287F58">
            <w:pPr>
              <w:pStyle w:val="32"/>
              <w:rPr>
                <w:rFonts w:hint="eastAsia"/>
                <w:sz w:val="20"/>
                <w:szCs w:val="20"/>
                <w:highlight w:val="none"/>
                <w:lang w:val="en-US" w:eastAsia="zh-CN"/>
              </w:rPr>
            </w:pPr>
            <w:r>
              <w:rPr>
                <w:rFonts w:hint="eastAsia" w:ascii="Times New Roman" w:hAnsi="Times New Roman" w:eastAsia="宋体" w:cs="Times New Roman"/>
                <w:color w:val="auto"/>
                <w:kern w:val="2"/>
                <w:sz w:val="20"/>
                <w:szCs w:val="20"/>
                <w:highlight w:val="none"/>
                <w:lang w:val="en-US" w:eastAsia="zh-CN" w:bidi="ar-SA"/>
              </w:rPr>
              <w:t>一般技术条款共</w:t>
            </w:r>
            <w:r>
              <w:rPr>
                <w:rFonts w:hint="eastAsia" w:ascii="Times New Roman" w:hAnsi="Times New Roman" w:cs="Times New Roman"/>
                <w:color w:val="auto"/>
                <w:kern w:val="2"/>
                <w:sz w:val="20"/>
                <w:szCs w:val="20"/>
                <w:highlight w:val="none"/>
                <w:lang w:val="en-US" w:eastAsia="zh-CN" w:bidi="ar-SA"/>
              </w:rPr>
              <w:t>104</w:t>
            </w:r>
            <w:r>
              <w:rPr>
                <w:rFonts w:hint="eastAsia" w:ascii="Times New Roman" w:hAnsi="Times New Roman" w:eastAsia="宋体" w:cs="Times New Roman"/>
                <w:color w:val="auto"/>
                <w:kern w:val="2"/>
                <w:sz w:val="20"/>
                <w:szCs w:val="20"/>
                <w:highlight w:val="none"/>
                <w:lang w:val="en-US" w:eastAsia="zh-CN" w:bidi="ar-SA"/>
              </w:rPr>
              <w:t>项，偏离超过20项的</w:t>
            </w:r>
            <w:r>
              <w:rPr>
                <w:rFonts w:hint="eastAsia" w:ascii="Times New Roman" w:hAnsi="Times New Roman" w:cs="Times New Roman"/>
                <w:color w:val="auto"/>
                <w:kern w:val="2"/>
                <w:sz w:val="20"/>
                <w:szCs w:val="20"/>
                <w:highlight w:val="none"/>
                <w:lang w:val="en-US" w:eastAsia="zh-CN" w:bidi="ar-SA"/>
              </w:rPr>
              <w:t>本项不得分</w:t>
            </w:r>
            <w:r>
              <w:rPr>
                <w:rFonts w:hint="eastAsia" w:ascii="Times New Roman" w:hAnsi="Times New Roman" w:eastAsia="宋体" w:cs="Times New Roman"/>
                <w:color w:val="auto"/>
                <w:kern w:val="2"/>
                <w:sz w:val="20"/>
                <w:szCs w:val="20"/>
                <w:highlight w:val="none"/>
                <w:lang w:val="en-US" w:eastAsia="zh-CN" w:bidi="ar-SA"/>
              </w:rPr>
              <w:t>；偏离在20项及以内的，每项扣</w:t>
            </w:r>
            <w:r>
              <w:rPr>
                <w:rFonts w:hint="eastAsia" w:ascii="Times New Roman" w:hAnsi="Times New Roman" w:cs="Times New Roman"/>
                <w:color w:val="auto"/>
                <w:kern w:val="2"/>
                <w:sz w:val="20"/>
                <w:szCs w:val="20"/>
                <w:highlight w:val="none"/>
                <w:lang w:val="en-US" w:eastAsia="zh-CN" w:bidi="ar-SA"/>
              </w:rPr>
              <w:t>0.5</w:t>
            </w:r>
            <w:r>
              <w:rPr>
                <w:rFonts w:hint="eastAsia" w:ascii="Times New Roman" w:hAnsi="Times New Roman" w:eastAsia="宋体" w:cs="Times New Roman"/>
                <w:color w:val="auto"/>
                <w:kern w:val="2"/>
                <w:sz w:val="20"/>
                <w:szCs w:val="20"/>
                <w:highlight w:val="none"/>
                <w:lang w:val="en-US" w:eastAsia="zh-CN" w:bidi="ar-SA"/>
              </w:rPr>
              <w:t>分。</w:t>
            </w:r>
          </w:p>
        </w:tc>
        <w:tc>
          <w:tcPr>
            <w:tcW w:w="767" w:type="dxa"/>
            <w:vAlign w:val="center"/>
          </w:tcPr>
          <w:p w14:paraId="4121A2C8">
            <w:pPr>
              <w:adjustRightInd w:val="0"/>
              <w:snapToGrid w:val="0"/>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10</w:t>
            </w:r>
          </w:p>
        </w:tc>
      </w:tr>
      <w:tr w14:paraId="4056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1968B22B">
            <w:pPr>
              <w:adjustRightInd w:val="0"/>
              <w:snapToGrid w:val="0"/>
              <w:rPr>
                <w:rFonts w:hint="eastAsia" w:ascii="宋体" w:hAnsi="宋体" w:eastAsia="宋体" w:cs="宋体"/>
                <w:snapToGrid w:val="0"/>
                <w:color w:val="auto"/>
                <w:sz w:val="21"/>
                <w:szCs w:val="21"/>
                <w:highlight w:val="none"/>
              </w:rPr>
            </w:pPr>
          </w:p>
        </w:tc>
        <w:tc>
          <w:tcPr>
            <w:tcW w:w="1000" w:type="dxa"/>
            <w:vAlign w:val="center"/>
          </w:tcPr>
          <w:p w14:paraId="27062D62">
            <w:pPr>
              <w:bidi w:val="0"/>
              <w:jc w:val="center"/>
              <w:rPr>
                <w:rFonts w:hint="eastAsia"/>
                <w:sz w:val="20"/>
                <w:szCs w:val="20"/>
                <w:lang w:val="en-US" w:eastAsia="zh-CN"/>
              </w:rPr>
            </w:pPr>
            <w:r>
              <w:rPr>
                <w:rFonts w:hint="eastAsia"/>
                <w:sz w:val="20"/>
                <w:szCs w:val="20"/>
                <w:lang w:val="en-US" w:eastAsia="zh-CN"/>
              </w:rPr>
              <w:t>设计方案</w:t>
            </w:r>
          </w:p>
        </w:tc>
        <w:tc>
          <w:tcPr>
            <w:tcW w:w="5744" w:type="dxa"/>
            <w:vAlign w:val="center"/>
          </w:tcPr>
          <w:p w14:paraId="45AF88D6">
            <w:pPr>
              <w:bidi w:val="0"/>
              <w:rPr>
                <w:rFonts w:hint="default" w:eastAsia="宋体"/>
                <w:sz w:val="20"/>
                <w:szCs w:val="20"/>
                <w:lang w:val="en-US" w:eastAsia="zh-CN"/>
              </w:rPr>
            </w:pPr>
            <w:r>
              <w:rPr>
                <w:sz w:val="20"/>
                <w:szCs w:val="20"/>
              </w:rPr>
              <w:t>投标人应提供</w:t>
            </w:r>
            <w:r>
              <w:rPr>
                <w:rFonts w:hint="eastAsia"/>
                <w:sz w:val="20"/>
                <w:szCs w:val="20"/>
                <w:lang w:val="en-US" w:eastAsia="zh-CN"/>
              </w:rPr>
              <w:t>托班课室、</w:t>
            </w:r>
            <w:r>
              <w:rPr>
                <w:sz w:val="20"/>
                <w:szCs w:val="20"/>
              </w:rPr>
              <w:t>小班</w:t>
            </w:r>
            <w:r>
              <w:rPr>
                <w:rFonts w:hint="eastAsia"/>
                <w:sz w:val="20"/>
                <w:szCs w:val="20"/>
                <w:lang w:val="en-US" w:eastAsia="zh-CN"/>
              </w:rPr>
              <w:t>课室、美工室、阅读室空间设计方案</w:t>
            </w:r>
            <w:r>
              <w:rPr>
                <w:sz w:val="20"/>
                <w:szCs w:val="20"/>
              </w:rPr>
              <w:t>，</w:t>
            </w:r>
            <w:r>
              <w:rPr>
                <w:rFonts w:hint="eastAsia"/>
                <w:sz w:val="20"/>
                <w:szCs w:val="20"/>
              </w:rPr>
              <w:t>提供对应的空间效果图和平面布置图，每个室的图纸不少于3张</w:t>
            </w:r>
            <w:r>
              <w:rPr>
                <w:rFonts w:hint="eastAsia"/>
                <w:sz w:val="20"/>
                <w:szCs w:val="20"/>
                <w:lang w:eastAsia="zh-CN"/>
              </w:rPr>
              <w:t>，</w:t>
            </w:r>
            <w:r>
              <w:rPr>
                <w:rFonts w:hint="eastAsia"/>
                <w:sz w:val="20"/>
                <w:szCs w:val="20"/>
                <w:lang w:val="en-US" w:eastAsia="zh-CN"/>
              </w:rPr>
              <w:t>每个室3分，共12分：</w:t>
            </w:r>
          </w:p>
          <w:p w14:paraId="094F63BA">
            <w:pPr>
              <w:bidi w:val="0"/>
              <w:rPr>
                <w:rFonts w:hint="eastAsia"/>
                <w:sz w:val="20"/>
                <w:szCs w:val="20"/>
              </w:rPr>
            </w:pPr>
            <w:r>
              <w:rPr>
                <w:rFonts w:hint="eastAsia"/>
                <w:sz w:val="20"/>
                <w:szCs w:val="20"/>
              </w:rPr>
              <w:t>1.图纸规范、完整，多角度展示空间效果好，区域布局合理，整体效果好，完全符合要求的得</w:t>
            </w:r>
            <w:r>
              <w:rPr>
                <w:rFonts w:hint="eastAsia"/>
                <w:sz w:val="20"/>
                <w:szCs w:val="20"/>
                <w:lang w:val="en-US" w:eastAsia="zh-CN"/>
              </w:rPr>
              <w:t>2.1-3</w:t>
            </w:r>
            <w:r>
              <w:rPr>
                <w:rFonts w:hint="eastAsia"/>
                <w:sz w:val="20"/>
                <w:szCs w:val="20"/>
              </w:rPr>
              <w:t>分；</w:t>
            </w:r>
          </w:p>
          <w:p w14:paraId="621C3614">
            <w:pPr>
              <w:bidi w:val="0"/>
              <w:rPr>
                <w:rFonts w:hint="eastAsia"/>
                <w:sz w:val="20"/>
                <w:szCs w:val="20"/>
              </w:rPr>
            </w:pPr>
            <w:r>
              <w:rPr>
                <w:rFonts w:hint="eastAsia"/>
                <w:sz w:val="20"/>
                <w:szCs w:val="20"/>
              </w:rPr>
              <w:t>2.图纸规范、完整、多角度展示空间效果较好，区域布局较合理，整体效果较好，基本符合要求的得</w:t>
            </w:r>
            <w:r>
              <w:rPr>
                <w:rFonts w:hint="eastAsia"/>
                <w:sz w:val="20"/>
                <w:szCs w:val="20"/>
                <w:lang w:val="en-US" w:eastAsia="zh-CN"/>
              </w:rPr>
              <w:t>1.1-2</w:t>
            </w:r>
            <w:r>
              <w:rPr>
                <w:rFonts w:hint="eastAsia"/>
                <w:sz w:val="20"/>
                <w:szCs w:val="20"/>
              </w:rPr>
              <w:t>分；</w:t>
            </w:r>
          </w:p>
          <w:p w14:paraId="3C5D20DA">
            <w:pPr>
              <w:bidi w:val="0"/>
              <w:rPr>
                <w:rFonts w:hint="eastAsia"/>
                <w:sz w:val="20"/>
                <w:szCs w:val="20"/>
              </w:rPr>
            </w:pPr>
            <w:r>
              <w:rPr>
                <w:rFonts w:hint="eastAsia"/>
                <w:sz w:val="20"/>
                <w:szCs w:val="20"/>
              </w:rPr>
              <w:t>3.图纸规范、完整，多角度展示空间效果一般，区域布局一般，整体效果一般，仅部分符合要求的得</w:t>
            </w:r>
            <w:r>
              <w:rPr>
                <w:rFonts w:hint="eastAsia"/>
                <w:sz w:val="20"/>
                <w:szCs w:val="20"/>
                <w:lang w:val="en-US" w:eastAsia="zh-CN"/>
              </w:rPr>
              <w:t>0-1</w:t>
            </w:r>
            <w:r>
              <w:rPr>
                <w:rFonts w:hint="eastAsia"/>
                <w:sz w:val="20"/>
                <w:szCs w:val="20"/>
              </w:rPr>
              <w:t>分；</w:t>
            </w:r>
          </w:p>
          <w:p w14:paraId="594D280B">
            <w:pPr>
              <w:bidi w:val="0"/>
              <w:rPr>
                <w:rFonts w:hint="eastAsia"/>
                <w:sz w:val="20"/>
                <w:szCs w:val="20"/>
                <w:lang w:eastAsia="zh-CN"/>
              </w:rPr>
            </w:pPr>
            <w:r>
              <w:rPr>
                <w:rFonts w:hint="eastAsia"/>
                <w:sz w:val="20"/>
                <w:szCs w:val="20"/>
              </w:rPr>
              <w:t>未提供方案或图纸提供不完整或方案被认定为与本项目不相关的，不得分。 </w:t>
            </w:r>
          </w:p>
        </w:tc>
        <w:tc>
          <w:tcPr>
            <w:tcW w:w="767" w:type="dxa"/>
            <w:vAlign w:val="center"/>
          </w:tcPr>
          <w:p w14:paraId="4F777F2F">
            <w:pPr>
              <w:adjustRightInd w:val="0"/>
              <w:snapToGrid w:val="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12</w:t>
            </w:r>
          </w:p>
        </w:tc>
      </w:tr>
      <w:tr w14:paraId="3F0A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42DE291E">
            <w:pPr>
              <w:adjustRightInd w:val="0"/>
              <w:snapToGrid w:val="0"/>
              <w:rPr>
                <w:rFonts w:hint="eastAsia" w:ascii="宋体" w:hAnsi="宋体" w:eastAsia="宋体" w:cs="宋体"/>
                <w:snapToGrid w:val="0"/>
                <w:color w:val="auto"/>
                <w:sz w:val="21"/>
                <w:szCs w:val="21"/>
                <w:highlight w:val="none"/>
              </w:rPr>
            </w:pPr>
          </w:p>
        </w:tc>
        <w:tc>
          <w:tcPr>
            <w:tcW w:w="1000" w:type="dxa"/>
            <w:vAlign w:val="center"/>
          </w:tcPr>
          <w:p w14:paraId="563D42EC">
            <w:pPr>
              <w:widowControl/>
              <w:spacing w:line="240" w:lineRule="auto"/>
              <w:jc w:val="center"/>
              <w:rPr>
                <w:rFonts w:hint="eastAsia"/>
                <w:b w:val="0"/>
                <w:bCs w:val="0"/>
                <w:sz w:val="20"/>
                <w:szCs w:val="20"/>
                <w:highlight w:val="none"/>
                <w:lang w:eastAsia="zh-CN"/>
              </w:rPr>
            </w:pPr>
            <w:r>
              <w:rPr>
                <w:rFonts w:hint="eastAsia" w:ascii="宋体" w:hAnsi="宋体" w:cs="宋体"/>
                <w:b w:val="0"/>
                <w:bCs w:val="0"/>
                <w:color w:val="000000" w:themeColor="text1"/>
                <w:sz w:val="20"/>
                <w:szCs w:val="20"/>
                <w14:textFill>
                  <w14:solidFill>
                    <w14:schemeClr w14:val="tx1"/>
                  </w14:solidFill>
                </w14:textFill>
              </w:rPr>
              <w:t>实施方案</w:t>
            </w:r>
          </w:p>
        </w:tc>
        <w:tc>
          <w:tcPr>
            <w:tcW w:w="5744" w:type="dxa"/>
            <w:vAlign w:val="center"/>
          </w:tcPr>
          <w:p w14:paraId="2A89BC25">
            <w:pPr>
              <w:pStyle w:val="6"/>
              <w:spacing w:line="240" w:lineRule="auto"/>
              <w:ind w:firstLine="0" w:firstLineChars="0"/>
              <w:rPr>
                <w:rFonts w:hint="eastAsia" w:ascii="宋体" w:hAnsi="宋体" w:eastAsia="宋体" w:cs="宋体"/>
                <w:b w:val="0"/>
                <w:bCs w:val="0"/>
                <w:color w:val="000000" w:themeColor="text1"/>
                <w:sz w:val="20"/>
                <w:szCs w:val="20"/>
                <w:lang w:eastAsia="zh-CN"/>
                <w14:textFill>
                  <w14:solidFill>
                    <w14:schemeClr w14:val="tx1"/>
                  </w14:solidFill>
                </w14:textFill>
              </w:rPr>
            </w:pPr>
            <w:r>
              <w:rPr>
                <w:rFonts w:hint="eastAsia" w:ascii="宋体" w:hAnsi="宋体" w:eastAsia="宋体" w:cs="宋体"/>
                <w:b w:val="0"/>
                <w:bCs w:val="0"/>
                <w:color w:val="000000" w:themeColor="text1"/>
                <w:sz w:val="20"/>
                <w:szCs w:val="20"/>
                <w14:textFill>
                  <w14:solidFill>
                    <w14:schemeClr w14:val="tx1"/>
                  </w14:solidFill>
                </w14:textFill>
              </w:rPr>
              <w:t>提供本项目整体实施方案</w:t>
            </w:r>
            <w:r>
              <w:rPr>
                <w:rFonts w:hint="eastAsia" w:ascii="宋体" w:hAnsi="宋体" w:eastAsia="宋体" w:cs="宋体"/>
                <w:b w:val="0"/>
                <w:bCs w:val="0"/>
                <w:color w:val="000000" w:themeColor="text1"/>
                <w:sz w:val="20"/>
                <w:szCs w:val="20"/>
                <w:lang w:eastAsia="zh-CN"/>
                <w14:textFill>
                  <w14:solidFill>
                    <w14:schemeClr w14:val="tx1"/>
                  </w14:solidFill>
                </w14:textFill>
              </w:rPr>
              <w:t>（</w:t>
            </w:r>
            <w:r>
              <w:rPr>
                <w:rFonts w:hint="eastAsia" w:ascii="宋体" w:hAnsi="宋体" w:eastAsia="宋体" w:cs="宋体"/>
                <w:b w:val="0"/>
                <w:bCs w:val="0"/>
                <w:color w:val="000000" w:themeColor="text1"/>
                <w:sz w:val="20"/>
                <w:szCs w:val="20"/>
                <w14:textFill>
                  <w14:solidFill>
                    <w14:schemeClr w14:val="tx1"/>
                  </w14:solidFill>
                </w14:textFill>
              </w:rPr>
              <w:t>供货方案、工期进度安排、送货安装时间和人员安排</w:t>
            </w:r>
            <w:r>
              <w:rPr>
                <w:rFonts w:hint="eastAsia" w:ascii="宋体" w:hAnsi="宋体" w:eastAsia="宋体" w:cs="宋体"/>
                <w:b w:val="0"/>
                <w:bCs w:val="0"/>
                <w:color w:val="000000" w:themeColor="text1"/>
                <w:sz w:val="20"/>
                <w:szCs w:val="20"/>
                <w:lang w:val="en-US" w:eastAsia="zh-CN"/>
                <w14:textFill>
                  <w14:solidFill>
                    <w14:schemeClr w14:val="tx1"/>
                  </w14:solidFill>
                </w14:textFill>
              </w:rPr>
              <w:t>等</w:t>
            </w:r>
            <w:r>
              <w:rPr>
                <w:rFonts w:hint="eastAsia" w:ascii="宋体" w:hAnsi="宋体" w:eastAsia="宋体" w:cs="宋体"/>
                <w:b w:val="0"/>
                <w:bCs w:val="0"/>
                <w:color w:val="000000" w:themeColor="text1"/>
                <w:sz w:val="20"/>
                <w:szCs w:val="20"/>
                <w:lang w:eastAsia="zh-CN"/>
                <w14:textFill>
                  <w14:solidFill>
                    <w14:schemeClr w14:val="tx1"/>
                  </w14:solidFill>
                </w14:textFill>
              </w:rPr>
              <w:t>）：</w:t>
            </w:r>
          </w:p>
          <w:p w14:paraId="524900D7">
            <w:pPr>
              <w:bidi w:val="0"/>
              <w:rPr>
                <w:rFonts w:hint="eastAsia"/>
                <w:b w:val="0"/>
                <w:bCs w:val="0"/>
                <w:sz w:val="20"/>
                <w:szCs w:val="20"/>
                <w:highlight w:val="none"/>
                <w:lang w:eastAsia="zh-CN"/>
              </w:rPr>
            </w:pPr>
            <w:r>
              <w:rPr>
                <w:rFonts w:hint="eastAsia"/>
                <w:b w:val="0"/>
                <w:bCs w:val="0"/>
                <w:sz w:val="20"/>
                <w:szCs w:val="20"/>
                <w:highlight w:val="none"/>
                <w:lang w:eastAsia="zh-CN"/>
              </w:rPr>
              <w:t>方案详实、内容完整、操作性强的</w:t>
            </w:r>
            <w:r>
              <w:rPr>
                <w:rFonts w:hint="eastAsia"/>
                <w:b w:val="0"/>
                <w:bCs w:val="0"/>
                <w:sz w:val="20"/>
                <w:szCs w:val="20"/>
                <w:highlight w:val="none"/>
                <w:lang w:val="en-US" w:eastAsia="zh-CN"/>
              </w:rPr>
              <w:t>得2.1-3</w:t>
            </w:r>
            <w:r>
              <w:rPr>
                <w:rFonts w:hint="eastAsia"/>
                <w:b w:val="0"/>
                <w:bCs w:val="0"/>
                <w:sz w:val="20"/>
                <w:szCs w:val="20"/>
                <w:highlight w:val="none"/>
                <w:lang w:eastAsia="zh-CN"/>
              </w:rPr>
              <w:t>分；</w:t>
            </w:r>
          </w:p>
          <w:p w14:paraId="3BF03D27">
            <w:pPr>
              <w:bidi w:val="0"/>
              <w:rPr>
                <w:rFonts w:hint="eastAsia"/>
                <w:b w:val="0"/>
                <w:bCs w:val="0"/>
                <w:sz w:val="20"/>
                <w:szCs w:val="20"/>
                <w:highlight w:val="none"/>
                <w:lang w:eastAsia="zh-CN"/>
              </w:rPr>
            </w:pPr>
            <w:r>
              <w:rPr>
                <w:rFonts w:hint="eastAsia"/>
                <w:b w:val="0"/>
                <w:bCs w:val="0"/>
                <w:sz w:val="20"/>
                <w:szCs w:val="20"/>
                <w:highlight w:val="none"/>
                <w:lang w:eastAsia="zh-CN"/>
              </w:rPr>
              <w:t>方案合理、内容常规、操作简略的</w:t>
            </w:r>
            <w:r>
              <w:rPr>
                <w:rFonts w:hint="eastAsia"/>
                <w:b w:val="0"/>
                <w:bCs w:val="0"/>
                <w:sz w:val="20"/>
                <w:szCs w:val="20"/>
                <w:highlight w:val="none"/>
                <w:lang w:val="en-US" w:eastAsia="zh-CN"/>
              </w:rPr>
              <w:t>得1.1-2</w:t>
            </w:r>
            <w:r>
              <w:rPr>
                <w:rFonts w:hint="eastAsia"/>
                <w:b w:val="0"/>
                <w:bCs w:val="0"/>
                <w:sz w:val="20"/>
                <w:szCs w:val="20"/>
                <w:highlight w:val="none"/>
                <w:lang w:eastAsia="zh-CN"/>
              </w:rPr>
              <w:t>分；</w:t>
            </w:r>
          </w:p>
          <w:p w14:paraId="647A04F8">
            <w:pPr>
              <w:pStyle w:val="6"/>
              <w:spacing w:line="240" w:lineRule="auto"/>
              <w:ind w:firstLine="0" w:firstLineChars="0"/>
              <w:rPr>
                <w:rFonts w:hint="eastAsia"/>
                <w:b w:val="0"/>
                <w:bCs w:val="0"/>
                <w:sz w:val="20"/>
                <w:szCs w:val="20"/>
                <w:highlight w:val="none"/>
                <w:lang w:eastAsia="zh-CN"/>
              </w:rPr>
            </w:pPr>
            <w:r>
              <w:rPr>
                <w:rFonts w:hint="eastAsia"/>
                <w:b w:val="0"/>
                <w:bCs w:val="0"/>
                <w:sz w:val="20"/>
                <w:szCs w:val="20"/>
                <w:highlight w:val="none"/>
                <w:lang w:eastAsia="zh-CN"/>
              </w:rPr>
              <w:t>方案粗糙、内容缺漏、操作性差的</w:t>
            </w:r>
            <w:r>
              <w:rPr>
                <w:rFonts w:hint="eastAsia"/>
                <w:b w:val="0"/>
                <w:bCs w:val="0"/>
                <w:sz w:val="20"/>
                <w:szCs w:val="20"/>
                <w:highlight w:val="none"/>
                <w:lang w:val="en-US" w:eastAsia="zh-CN"/>
              </w:rPr>
              <w:t>得0-1</w:t>
            </w:r>
            <w:r>
              <w:rPr>
                <w:rFonts w:hint="eastAsia"/>
                <w:b w:val="0"/>
                <w:bCs w:val="0"/>
                <w:sz w:val="20"/>
                <w:szCs w:val="20"/>
                <w:highlight w:val="none"/>
                <w:lang w:eastAsia="zh-CN"/>
              </w:rPr>
              <w:t>分。</w:t>
            </w:r>
          </w:p>
        </w:tc>
        <w:tc>
          <w:tcPr>
            <w:tcW w:w="767" w:type="dxa"/>
            <w:vAlign w:val="center"/>
          </w:tcPr>
          <w:p w14:paraId="57D98EC4">
            <w:pPr>
              <w:adjustRightInd w:val="0"/>
              <w:snapToGrid w:val="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r>
      <w:tr w14:paraId="56E8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1D4FB354">
            <w:pPr>
              <w:adjustRightInd w:val="0"/>
              <w:snapToGrid w:val="0"/>
              <w:rPr>
                <w:rFonts w:hint="eastAsia" w:ascii="宋体" w:hAnsi="宋体" w:eastAsia="宋体" w:cs="宋体"/>
                <w:snapToGrid w:val="0"/>
                <w:color w:val="auto"/>
                <w:sz w:val="21"/>
                <w:szCs w:val="21"/>
                <w:highlight w:val="none"/>
              </w:rPr>
            </w:pPr>
          </w:p>
        </w:tc>
        <w:tc>
          <w:tcPr>
            <w:tcW w:w="1000" w:type="dxa"/>
            <w:vAlign w:val="center"/>
          </w:tcPr>
          <w:p w14:paraId="21AB7768">
            <w:pPr>
              <w:bidi w:val="0"/>
              <w:jc w:val="center"/>
              <w:rPr>
                <w:rFonts w:hint="eastAsia"/>
                <w:b w:val="0"/>
                <w:bCs w:val="0"/>
                <w:sz w:val="20"/>
                <w:szCs w:val="20"/>
                <w:highlight w:val="none"/>
                <w:lang w:val="en-US" w:eastAsia="zh-CN"/>
              </w:rPr>
            </w:pPr>
            <w:r>
              <w:rPr>
                <w:rFonts w:hint="eastAsia"/>
                <w:b w:val="0"/>
                <w:bCs w:val="0"/>
                <w:sz w:val="20"/>
                <w:szCs w:val="20"/>
                <w:highlight w:val="none"/>
                <w:lang w:eastAsia="zh-CN"/>
              </w:rPr>
              <w:t>售后服务</w:t>
            </w:r>
          </w:p>
        </w:tc>
        <w:tc>
          <w:tcPr>
            <w:tcW w:w="5744" w:type="dxa"/>
            <w:vAlign w:val="center"/>
          </w:tcPr>
          <w:p w14:paraId="76B76BE5">
            <w:pPr>
              <w:bidi w:val="0"/>
              <w:rPr>
                <w:rFonts w:hint="eastAsia" w:eastAsia="宋体"/>
                <w:b w:val="0"/>
                <w:bCs w:val="0"/>
                <w:sz w:val="20"/>
                <w:szCs w:val="20"/>
                <w:highlight w:val="none"/>
                <w:lang w:eastAsia="zh-CN"/>
              </w:rPr>
            </w:pPr>
            <w:r>
              <w:rPr>
                <w:rFonts w:hint="eastAsia" w:ascii="宋体" w:hAnsi="宋体" w:eastAsia="宋体" w:cs="宋体"/>
                <w:sz w:val="20"/>
                <w:szCs w:val="20"/>
                <w:lang w:val="en-US" w:eastAsia="zh-CN"/>
              </w:rPr>
              <w:t>评委根据供应商</w:t>
            </w:r>
            <w:r>
              <w:rPr>
                <w:rFonts w:hint="eastAsia" w:ascii="宋体" w:hAnsi="宋体" w:eastAsia="宋体" w:cs="宋体"/>
                <w:sz w:val="20"/>
                <w:szCs w:val="20"/>
              </w:rPr>
              <w:t>提供</w:t>
            </w:r>
            <w:r>
              <w:rPr>
                <w:rFonts w:hint="eastAsia" w:ascii="宋体" w:hAnsi="宋体" w:eastAsia="宋体" w:cs="宋体"/>
                <w:sz w:val="20"/>
                <w:szCs w:val="20"/>
                <w:lang w:val="en-US" w:eastAsia="zh-CN"/>
              </w:rPr>
              <w:t>的</w:t>
            </w:r>
            <w:r>
              <w:rPr>
                <w:rFonts w:hint="eastAsia" w:ascii="宋体" w:hAnsi="宋体" w:eastAsia="宋体" w:cs="宋体"/>
                <w:sz w:val="20"/>
                <w:szCs w:val="20"/>
              </w:rPr>
              <w:t>详细完整的“三包”措施，</w:t>
            </w:r>
            <w:r>
              <w:rPr>
                <w:rFonts w:hint="eastAsia" w:ascii="宋体" w:hAnsi="宋体" w:eastAsia="宋体" w:cs="宋体"/>
                <w:sz w:val="20"/>
                <w:szCs w:val="20"/>
                <w:lang w:val="en-US" w:eastAsia="zh-CN"/>
              </w:rPr>
              <w:t>以</w:t>
            </w:r>
            <w:r>
              <w:rPr>
                <w:rFonts w:hint="eastAsia" w:ascii="宋体" w:hAnsi="宋体" w:eastAsia="宋体" w:cs="宋体"/>
                <w:sz w:val="20"/>
                <w:szCs w:val="20"/>
              </w:rPr>
              <w:t>及售后服务方案（包括服务措施、产品质量保证、定期回访、维修保养、应急维修响应时间等</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进行评审</w:t>
            </w:r>
            <w:r>
              <w:rPr>
                <w:rFonts w:hint="eastAsia" w:ascii="宋体" w:hAnsi="宋体" w:eastAsia="宋体" w:cs="宋体"/>
                <w:sz w:val="20"/>
                <w:szCs w:val="20"/>
                <w:lang w:eastAsia="zh-CN"/>
              </w:rPr>
              <w:t>：</w:t>
            </w:r>
          </w:p>
          <w:p w14:paraId="28E04D7A">
            <w:pPr>
              <w:bidi w:val="0"/>
              <w:rPr>
                <w:rFonts w:hint="eastAsia" w:ascii="宋体" w:hAnsi="宋体" w:eastAsia="宋体" w:cs="宋体"/>
                <w:sz w:val="20"/>
                <w:szCs w:val="20"/>
                <w:lang w:eastAsia="zh-CN"/>
              </w:rPr>
            </w:pPr>
            <w:r>
              <w:rPr>
                <w:rFonts w:hint="eastAsia" w:ascii="宋体" w:hAnsi="宋体" w:eastAsia="宋体" w:cs="宋体"/>
                <w:sz w:val="20"/>
                <w:szCs w:val="20"/>
                <w:lang w:eastAsia="zh-CN"/>
              </w:rPr>
              <w:t>方案详实、内容完整、操作性强的</w:t>
            </w:r>
            <w:r>
              <w:rPr>
                <w:rFonts w:hint="eastAsia" w:ascii="宋体" w:hAnsi="宋体" w:eastAsia="宋体" w:cs="宋体"/>
                <w:sz w:val="20"/>
                <w:szCs w:val="20"/>
                <w:lang w:val="en-US" w:eastAsia="zh-CN"/>
              </w:rPr>
              <w:t>得2.1-3</w:t>
            </w:r>
            <w:r>
              <w:rPr>
                <w:rFonts w:hint="eastAsia" w:ascii="宋体" w:hAnsi="宋体" w:eastAsia="宋体" w:cs="宋体"/>
                <w:sz w:val="20"/>
                <w:szCs w:val="20"/>
                <w:lang w:eastAsia="zh-CN"/>
              </w:rPr>
              <w:t>分；</w:t>
            </w:r>
          </w:p>
          <w:p w14:paraId="65AA8A4E">
            <w:pPr>
              <w:bidi w:val="0"/>
              <w:rPr>
                <w:rFonts w:hint="eastAsia" w:ascii="宋体" w:hAnsi="宋体" w:eastAsia="宋体" w:cs="宋体"/>
                <w:sz w:val="20"/>
                <w:szCs w:val="20"/>
                <w:lang w:eastAsia="zh-CN"/>
              </w:rPr>
            </w:pPr>
            <w:r>
              <w:rPr>
                <w:rFonts w:hint="eastAsia" w:ascii="宋体" w:hAnsi="宋体" w:eastAsia="宋体" w:cs="宋体"/>
                <w:sz w:val="20"/>
                <w:szCs w:val="20"/>
                <w:lang w:eastAsia="zh-CN"/>
              </w:rPr>
              <w:t>方案合理、内容常规、操作简略的</w:t>
            </w:r>
            <w:r>
              <w:rPr>
                <w:rFonts w:hint="eastAsia" w:ascii="宋体" w:hAnsi="宋体" w:eastAsia="宋体" w:cs="宋体"/>
                <w:sz w:val="20"/>
                <w:szCs w:val="20"/>
                <w:lang w:val="en-US" w:eastAsia="zh-CN"/>
              </w:rPr>
              <w:t>得1.1-2</w:t>
            </w:r>
            <w:r>
              <w:rPr>
                <w:rFonts w:hint="eastAsia" w:ascii="宋体" w:hAnsi="宋体" w:eastAsia="宋体" w:cs="宋体"/>
                <w:sz w:val="20"/>
                <w:szCs w:val="20"/>
                <w:lang w:eastAsia="zh-CN"/>
              </w:rPr>
              <w:t>分；</w:t>
            </w:r>
          </w:p>
          <w:p w14:paraId="03C78954">
            <w:pPr>
              <w:bidi w:val="0"/>
              <w:rPr>
                <w:rFonts w:hint="eastAsia"/>
                <w:b w:val="0"/>
                <w:bCs w:val="0"/>
                <w:sz w:val="20"/>
                <w:szCs w:val="20"/>
                <w:highlight w:val="none"/>
                <w:lang w:eastAsia="zh-CN"/>
              </w:rPr>
            </w:pPr>
            <w:r>
              <w:rPr>
                <w:rFonts w:hint="eastAsia" w:ascii="宋体" w:hAnsi="宋体" w:eastAsia="宋体" w:cs="宋体"/>
                <w:sz w:val="20"/>
                <w:szCs w:val="20"/>
                <w:lang w:eastAsia="zh-CN"/>
              </w:rPr>
              <w:t>方案粗糙、内容缺漏、操作性差的</w:t>
            </w:r>
            <w:r>
              <w:rPr>
                <w:rFonts w:hint="eastAsia" w:ascii="宋体" w:hAnsi="宋体" w:eastAsia="宋体" w:cs="宋体"/>
                <w:sz w:val="20"/>
                <w:szCs w:val="20"/>
                <w:lang w:val="en-US" w:eastAsia="zh-CN"/>
              </w:rPr>
              <w:t>得0-1</w:t>
            </w:r>
            <w:r>
              <w:rPr>
                <w:rFonts w:hint="eastAsia" w:ascii="宋体" w:hAnsi="宋体" w:eastAsia="宋体" w:cs="宋体"/>
                <w:sz w:val="20"/>
                <w:szCs w:val="20"/>
                <w:lang w:eastAsia="zh-CN"/>
              </w:rPr>
              <w:t>分。</w:t>
            </w:r>
          </w:p>
        </w:tc>
        <w:tc>
          <w:tcPr>
            <w:tcW w:w="767" w:type="dxa"/>
            <w:vAlign w:val="center"/>
          </w:tcPr>
          <w:p w14:paraId="10C04C9E">
            <w:pPr>
              <w:adjustRightInd w:val="0"/>
              <w:snapToGrid w:val="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r>
      <w:tr w14:paraId="6C15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0360A5BA">
            <w:pPr>
              <w:adjustRightInd w:val="0"/>
              <w:snapToGrid w:val="0"/>
              <w:rPr>
                <w:rFonts w:hint="eastAsia" w:ascii="宋体" w:hAnsi="宋体" w:eastAsia="宋体" w:cs="宋体"/>
                <w:snapToGrid w:val="0"/>
                <w:color w:val="auto"/>
                <w:sz w:val="21"/>
                <w:szCs w:val="21"/>
                <w:highlight w:val="none"/>
              </w:rPr>
            </w:pPr>
          </w:p>
        </w:tc>
        <w:tc>
          <w:tcPr>
            <w:tcW w:w="1000" w:type="dxa"/>
            <w:vMerge w:val="restart"/>
            <w:vAlign w:val="center"/>
          </w:tcPr>
          <w:p w14:paraId="7126B10D">
            <w:pPr>
              <w:bidi w:val="0"/>
              <w:jc w:val="center"/>
              <w:rPr>
                <w:rFonts w:hint="default" w:eastAsia="宋体"/>
                <w:b w:val="0"/>
                <w:bCs w:val="0"/>
                <w:sz w:val="20"/>
                <w:szCs w:val="20"/>
                <w:highlight w:val="none"/>
                <w:lang w:val="en-US" w:eastAsia="zh-CN"/>
              </w:rPr>
            </w:pPr>
            <w:r>
              <w:rPr>
                <w:rFonts w:hint="eastAsia"/>
                <w:b w:val="0"/>
                <w:bCs w:val="0"/>
                <w:sz w:val="20"/>
                <w:szCs w:val="20"/>
                <w:highlight w:val="none"/>
                <w:lang w:val="en-US" w:eastAsia="zh-CN"/>
              </w:rPr>
              <w:t>投标人或制造商企业实力</w:t>
            </w:r>
          </w:p>
        </w:tc>
        <w:tc>
          <w:tcPr>
            <w:tcW w:w="5744" w:type="dxa"/>
            <w:vAlign w:val="center"/>
          </w:tcPr>
          <w:p w14:paraId="4946B61B">
            <w:pPr>
              <w:bidi w:val="0"/>
              <w:rPr>
                <w:rFonts w:hint="eastAsia"/>
                <w:b/>
                <w:bCs/>
                <w:sz w:val="20"/>
                <w:szCs w:val="20"/>
                <w:highlight w:val="none"/>
                <w:lang w:eastAsia="zh-CN"/>
              </w:rPr>
            </w:pPr>
            <w:r>
              <w:rPr>
                <w:rFonts w:hint="eastAsia"/>
                <w:b w:val="0"/>
                <w:bCs w:val="0"/>
                <w:sz w:val="20"/>
                <w:szCs w:val="20"/>
                <w:highlight w:val="none"/>
                <w:lang w:eastAsia="zh-CN"/>
              </w:rPr>
              <w:t>具有ISO14001环境管理体系认证证书、ISO45001职业健康安全管理体系认证证书、ISO9001 质量管理体系证书且在有效期内，</w:t>
            </w:r>
            <w:r>
              <w:rPr>
                <w:rFonts w:hint="eastAsia"/>
                <w:b w:val="0"/>
                <w:bCs w:val="0"/>
                <w:sz w:val="20"/>
                <w:szCs w:val="20"/>
                <w:highlight w:val="none"/>
                <w:lang w:val="en-US" w:eastAsia="zh-CN"/>
              </w:rPr>
              <w:t>认证范围包含家具生产相关内容，</w:t>
            </w:r>
            <w:r>
              <w:rPr>
                <w:rFonts w:hint="eastAsia"/>
                <w:b w:val="0"/>
                <w:bCs w:val="0"/>
                <w:sz w:val="20"/>
                <w:szCs w:val="20"/>
                <w:highlight w:val="none"/>
                <w:lang w:eastAsia="zh-CN"/>
              </w:rPr>
              <w:t>每提供一个得1分，最高得3分。</w:t>
            </w:r>
          </w:p>
          <w:p w14:paraId="641D34F6">
            <w:pPr>
              <w:bidi w:val="0"/>
              <w:rPr>
                <w:rFonts w:hint="eastAsia"/>
                <w:b/>
                <w:bCs/>
                <w:sz w:val="20"/>
                <w:szCs w:val="20"/>
                <w:highlight w:val="none"/>
                <w:lang w:eastAsia="zh-CN"/>
              </w:rPr>
            </w:pPr>
            <w:r>
              <w:rPr>
                <w:rFonts w:hint="eastAsia"/>
                <w:b/>
                <w:bCs/>
                <w:sz w:val="20"/>
                <w:szCs w:val="20"/>
                <w:highlight w:val="none"/>
                <w:lang w:eastAsia="zh-CN"/>
              </w:rPr>
              <w:t>需提供由具备有效资质的认证机构出具的证书扫描件或权威网站（如：全国认证认可信息公共服务平台）查询页面截图。</w:t>
            </w:r>
          </w:p>
        </w:tc>
        <w:tc>
          <w:tcPr>
            <w:tcW w:w="767" w:type="dxa"/>
            <w:vAlign w:val="center"/>
          </w:tcPr>
          <w:p w14:paraId="38D78217">
            <w:pPr>
              <w:adjustRightInd w:val="0"/>
              <w:snapToGrid w:val="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r>
      <w:tr w14:paraId="2405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3F90BE4D">
            <w:pPr>
              <w:adjustRightInd w:val="0"/>
              <w:snapToGrid w:val="0"/>
              <w:rPr>
                <w:rFonts w:hint="eastAsia" w:ascii="宋体" w:hAnsi="宋体" w:eastAsia="宋体" w:cs="宋体"/>
                <w:snapToGrid w:val="0"/>
                <w:color w:val="auto"/>
                <w:sz w:val="21"/>
                <w:szCs w:val="21"/>
                <w:highlight w:val="none"/>
              </w:rPr>
            </w:pPr>
          </w:p>
        </w:tc>
        <w:tc>
          <w:tcPr>
            <w:tcW w:w="1000" w:type="dxa"/>
            <w:vMerge w:val="continue"/>
            <w:vAlign w:val="center"/>
          </w:tcPr>
          <w:p w14:paraId="558408FE">
            <w:pPr>
              <w:bidi w:val="0"/>
              <w:jc w:val="center"/>
              <w:rPr>
                <w:rFonts w:hint="eastAsia"/>
                <w:b w:val="0"/>
                <w:bCs w:val="0"/>
                <w:sz w:val="20"/>
                <w:szCs w:val="20"/>
                <w:highlight w:val="none"/>
                <w:lang w:val="en-US" w:eastAsia="zh-CN"/>
              </w:rPr>
            </w:pPr>
          </w:p>
        </w:tc>
        <w:tc>
          <w:tcPr>
            <w:tcW w:w="5744" w:type="dxa"/>
            <w:vAlign w:val="center"/>
          </w:tcPr>
          <w:p w14:paraId="4DFEAEEB">
            <w:pPr>
              <w:bidi w:val="0"/>
              <w:rPr>
                <w:rFonts w:hint="eastAsia"/>
                <w:b w:val="0"/>
                <w:bCs w:val="0"/>
                <w:sz w:val="20"/>
                <w:szCs w:val="20"/>
                <w:highlight w:val="none"/>
                <w:lang w:val="en-US" w:eastAsia="zh-CN"/>
              </w:rPr>
            </w:pPr>
            <w:r>
              <w:rPr>
                <w:rFonts w:hint="eastAsia"/>
                <w:b w:val="0"/>
                <w:bCs w:val="0"/>
                <w:sz w:val="20"/>
                <w:szCs w:val="20"/>
                <w:highlight w:val="none"/>
                <w:lang w:eastAsia="zh-CN"/>
              </w:rPr>
              <w:t>具有《儿童安全级产品认证证书》，认证单元：实木家具、综合类家具，</w:t>
            </w:r>
            <w:r>
              <w:rPr>
                <w:rFonts w:hint="eastAsia"/>
                <w:b w:val="0"/>
                <w:bCs w:val="0"/>
                <w:sz w:val="20"/>
                <w:szCs w:val="20"/>
                <w:highlight w:val="none"/>
                <w:lang w:val="en-US" w:eastAsia="zh-CN"/>
              </w:rPr>
              <w:t>每一类</w:t>
            </w:r>
            <w:r>
              <w:rPr>
                <w:rFonts w:hint="eastAsia"/>
                <w:b w:val="0"/>
                <w:bCs w:val="0"/>
                <w:sz w:val="20"/>
                <w:szCs w:val="20"/>
                <w:highlight w:val="none"/>
                <w:lang w:eastAsia="zh-CN"/>
              </w:rPr>
              <w:t>得1分，</w:t>
            </w:r>
            <w:r>
              <w:rPr>
                <w:rFonts w:hint="eastAsia"/>
                <w:b w:val="0"/>
                <w:bCs w:val="0"/>
                <w:sz w:val="20"/>
                <w:szCs w:val="20"/>
                <w:highlight w:val="none"/>
                <w:lang w:val="en-US" w:eastAsia="zh-CN"/>
              </w:rPr>
              <w:t>最高得2分。</w:t>
            </w:r>
          </w:p>
          <w:p w14:paraId="74B0D320">
            <w:pPr>
              <w:bidi w:val="0"/>
              <w:rPr>
                <w:rFonts w:hint="eastAsia"/>
                <w:b w:val="0"/>
                <w:bCs w:val="0"/>
                <w:sz w:val="20"/>
                <w:szCs w:val="20"/>
                <w:highlight w:val="none"/>
                <w:lang w:val="en-US" w:eastAsia="zh-CN"/>
              </w:rPr>
            </w:pPr>
            <w:r>
              <w:rPr>
                <w:rFonts w:hint="eastAsia"/>
                <w:b/>
                <w:bCs/>
                <w:sz w:val="20"/>
                <w:szCs w:val="20"/>
                <w:highlight w:val="none"/>
                <w:lang w:eastAsia="zh-CN"/>
              </w:rPr>
              <w:t>需提供由具备有效资质的认证机构出具的证书扫描件或权威网站（如：全国认证认可信息公共服务平台）查询页面截图。</w:t>
            </w:r>
          </w:p>
        </w:tc>
        <w:tc>
          <w:tcPr>
            <w:tcW w:w="767" w:type="dxa"/>
            <w:vAlign w:val="center"/>
          </w:tcPr>
          <w:p w14:paraId="1A0C8242">
            <w:pPr>
              <w:adjustRightInd w:val="0"/>
              <w:snapToGrid w:val="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2</w:t>
            </w:r>
          </w:p>
        </w:tc>
      </w:tr>
      <w:tr w14:paraId="305C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37AD0C45">
            <w:pPr>
              <w:adjustRightInd w:val="0"/>
              <w:snapToGrid w:val="0"/>
              <w:rPr>
                <w:rFonts w:hint="eastAsia" w:ascii="宋体" w:hAnsi="宋体" w:eastAsia="宋体" w:cs="宋体"/>
                <w:snapToGrid w:val="0"/>
                <w:color w:val="auto"/>
                <w:sz w:val="21"/>
                <w:szCs w:val="21"/>
                <w:highlight w:val="none"/>
              </w:rPr>
            </w:pPr>
          </w:p>
        </w:tc>
        <w:tc>
          <w:tcPr>
            <w:tcW w:w="1000" w:type="dxa"/>
            <w:vMerge w:val="continue"/>
            <w:vAlign w:val="center"/>
          </w:tcPr>
          <w:p w14:paraId="7ABE8F4C">
            <w:pPr>
              <w:bidi w:val="0"/>
              <w:jc w:val="center"/>
              <w:rPr>
                <w:rFonts w:hint="default" w:eastAsia="宋体"/>
                <w:b w:val="0"/>
                <w:bCs w:val="0"/>
                <w:sz w:val="20"/>
                <w:szCs w:val="20"/>
                <w:highlight w:val="none"/>
                <w:lang w:val="en-US" w:eastAsia="zh-CN"/>
              </w:rPr>
            </w:pPr>
          </w:p>
        </w:tc>
        <w:tc>
          <w:tcPr>
            <w:tcW w:w="5744" w:type="dxa"/>
            <w:vAlign w:val="center"/>
          </w:tcPr>
          <w:p w14:paraId="2F5C07D7">
            <w:pPr>
              <w:bidi w:val="0"/>
              <w:rPr>
                <w:rFonts w:hint="eastAsia"/>
                <w:b w:val="0"/>
                <w:bCs w:val="0"/>
                <w:sz w:val="20"/>
                <w:szCs w:val="20"/>
                <w:highlight w:val="none"/>
                <w:lang w:val="en-US" w:eastAsia="zh-CN"/>
              </w:rPr>
            </w:pPr>
            <w:bookmarkStart w:id="38" w:name="OLE_LINK13"/>
            <w:r>
              <w:rPr>
                <w:rFonts w:hint="eastAsia"/>
                <w:b w:val="0"/>
                <w:bCs w:val="0"/>
                <w:sz w:val="20"/>
                <w:szCs w:val="20"/>
                <w:highlight w:val="none"/>
                <w:lang w:eastAsia="zh-CN"/>
              </w:rPr>
              <w:t>具有《低甲醛家具产品认证证书》，认证单元：木家具、</w:t>
            </w:r>
            <w:r>
              <w:rPr>
                <w:rFonts w:hint="eastAsia"/>
                <w:b w:val="0"/>
                <w:bCs w:val="0"/>
                <w:sz w:val="20"/>
                <w:szCs w:val="20"/>
                <w:highlight w:val="none"/>
                <w:lang w:val="en-US" w:eastAsia="zh-CN"/>
              </w:rPr>
              <w:t>软体</w:t>
            </w:r>
            <w:r>
              <w:rPr>
                <w:rFonts w:hint="eastAsia"/>
                <w:b w:val="0"/>
                <w:bCs w:val="0"/>
                <w:sz w:val="20"/>
                <w:szCs w:val="20"/>
                <w:highlight w:val="none"/>
                <w:lang w:eastAsia="zh-CN"/>
              </w:rPr>
              <w:t>家具，</w:t>
            </w:r>
            <w:r>
              <w:rPr>
                <w:rFonts w:hint="eastAsia"/>
                <w:b w:val="0"/>
                <w:bCs w:val="0"/>
                <w:sz w:val="20"/>
                <w:szCs w:val="20"/>
                <w:highlight w:val="none"/>
                <w:lang w:val="en-US" w:eastAsia="zh-CN"/>
              </w:rPr>
              <w:t>每一类</w:t>
            </w:r>
            <w:r>
              <w:rPr>
                <w:rFonts w:hint="eastAsia"/>
                <w:b w:val="0"/>
                <w:bCs w:val="0"/>
                <w:sz w:val="20"/>
                <w:szCs w:val="20"/>
                <w:highlight w:val="none"/>
                <w:lang w:eastAsia="zh-CN"/>
              </w:rPr>
              <w:t>得1分，</w:t>
            </w:r>
            <w:r>
              <w:rPr>
                <w:rFonts w:hint="eastAsia"/>
                <w:b w:val="0"/>
                <w:bCs w:val="0"/>
                <w:sz w:val="20"/>
                <w:szCs w:val="20"/>
                <w:highlight w:val="none"/>
                <w:lang w:val="en-US" w:eastAsia="zh-CN"/>
              </w:rPr>
              <w:t>最高得2分。</w:t>
            </w:r>
          </w:p>
          <w:p w14:paraId="19CFBDF9">
            <w:pPr>
              <w:bidi w:val="0"/>
              <w:rPr>
                <w:rFonts w:hint="default"/>
                <w:b w:val="0"/>
                <w:bCs w:val="0"/>
                <w:sz w:val="20"/>
                <w:szCs w:val="20"/>
                <w:highlight w:val="none"/>
                <w:lang w:val="en-US" w:eastAsia="zh-CN"/>
              </w:rPr>
            </w:pPr>
            <w:r>
              <w:rPr>
                <w:rFonts w:hint="eastAsia"/>
                <w:b/>
                <w:bCs/>
                <w:sz w:val="20"/>
                <w:szCs w:val="20"/>
                <w:highlight w:val="none"/>
                <w:lang w:eastAsia="zh-CN"/>
              </w:rPr>
              <w:t>需提供由具备有效资质的认证机构出具的证书扫描件或权威网站（如：全国认证认可信息公共服务平台）查询页面截图。</w:t>
            </w:r>
            <w:bookmarkEnd w:id="38"/>
          </w:p>
        </w:tc>
        <w:tc>
          <w:tcPr>
            <w:tcW w:w="767" w:type="dxa"/>
            <w:vAlign w:val="center"/>
          </w:tcPr>
          <w:p w14:paraId="08CC039A">
            <w:pPr>
              <w:adjustRightInd w:val="0"/>
              <w:snapToGrid w:val="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2</w:t>
            </w:r>
          </w:p>
        </w:tc>
      </w:tr>
      <w:tr w14:paraId="0BDB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05" w:type="dxa"/>
            <w:vMerge w:val="continue"/>
            <w:vAlign w:val="center"/>
          </w:tcPr>
          <w:p w14:paraId="0935C8CA">
            <w:pPr>
              <w:adjustRightInd w:val="0"/>
              <w:snapToGrid w:val="0"/>
              <w:rPr>
                <w:rFonts w:hint="eastAsia" w:ascii="宋体" w:hAnsi="宋体" w:eastAsia="宋体" w:cs="宋体"/>
                <w:snapToGrid w:val="0"/>
                <w:color w:val="auto"/>
                <w:sz w:val="21"/>
                <w:szCs w:val="21"/>
                <w:highlight w:val="none"/>
              </w:rPr>
            </w:pPr>
          </w:p>
        </w:tc>
        <w:tc>
          <w:tcPr>
            <w:tcW w:w="1000" w:type="dxa"/>
            <w:vAlign w:val="center"/>
          </w:tcPr>
          <w:p w14:paraId="6720DD47">
            <w:pPr>
              <w:bidi w:val="0"/>
              <w:jc w:val="center"/>
              <w:rPr>
                <w:rFonts w:hint="default" w:ascii="Times New Roman" w:hAnsi="Times New Roman" w:eastAsia="宋体" w:cs="Times New Roman"/>
                <w:color w:val="auto"/>
                <w:kern w:val="2"/>
                <w:sz w:val="20"/>
                <w:szCs w:val="20"/>
                <w:highlight w:val="none"/>
                <w:lang w:val="en-US" w:eastAsia="zh-CN" w:bidi="ar-SA"/>
              </w:rPr>
            </w:pPr>
            <w:r>
              <w:rPr>
                <w:rFonts w:hint="eastAsia"/>
                <w:sz w:val="20"/>
                <w:szCs w:val="20"/>
                <w:highlight w:val="none"/>
              </w:rPr>
              <w:t>业绩</w:t>
            </w:r>
          </w:p>
        </w:tc>
        <w:tc>
          <w:tcPr>
            <w:tcW w:w="5744" w:type="dxa"/>
            <w:vAlign w:val="center"/>
          </w:tcPr>
          <w:p w14:paraId="67494978">
            <w:pPr>
              <w:bidi w:val="0"/>
              <w:rPr>
                <w:rFonts w:hint="eastAsia"/>
                <w:sz w:val="20"/>
                <w:szCs w:val="20"/>
                <w:highlight w:val="none"/>
                <w:lang w:val="en-US" w:eastAsia="zh-CN"/>
              </w:rPr>
            </w:pPr>
            <w:r>
              <w:rPr>
                <w:rFonts w:hint="eastAsia"/>
                <w:sz w:val="20"/>
                <w:szCs w:val="20"/>
                <w:highlight w:val="none"/>
              </w:rPr>
              <w:t>根据</w:t>
            </w:r>
            <w:r>
              <w:rPr>
                <w:rFonts w:hint="eastAsia"/>
                <w:sz w:val="20"/>
                <w:szCs w:val="20"/>
                <w:highlight w:val="none"/>
                <w:lang w:val="en-US" w:eastAsia="zh-CN"/>
              </w:rPr>
              <w:t>投标人2022年01月01日至今（以合同签订时间为准）</w:t>
            </w:r>
            <w:r>
              <w:rPr>
                <w:rFonts w:hint="eastAsia"/>
                <w:sz w:val="20"/>
                <w:szCs w:val="20"/>
                <w:highlight w:val="none"/>
              </w:rPr>
              <w:t>的</w:t>
            </w:r>
            <w:r>
              <w:rPr>
                <w:rFonts w:hint="eastAsia"/>
                <w:sz w:val="20"/>
                <w:szCs w:val="20"/>
                <w:highlight w:val="none"/>
                <w:lang w:eastAsia="zh-CN"/>
              </w:rPr>
              <w:t>同类</w:t>
            </w:r>
            <w:r>
              <w:rPr>
                <w:rFonts w:hint="eastAsia"/>
                <w:sz w:val="20"/>
                <w:szCs w:val="20"/>
                <w:highlight w:val="none"/>
              </w:rPr>
              <w:t>项目业绩的数量</w:t>
            </w:r>
            <w:r>
              <w:rPr>
                <w:rFonts w:hint="eastAsia"/>
                <w:sz w:val="20"/>
                <w:szCs w:val="20"/>
                <w:highlight w:val="none"/>
                <w:lang w:eastAsia="zh-CN"/>
              </w:rPr>
              <w:t>进行评审，每提供一个业绩得</w:t>
            </w:r>
            <w:r>
              <w:rPr>
                <w:rFonts w:hint="eastAsia"/>
                <w:sz w:val="20"/>
                <w:szCs w:val="20"/>
                <w:highlight w:val="none"/>
                <w:lang w:val="en-US" w:eastAsia="zh-CN"/>
              </w:rPr>
              <w:t>1分，最高得3分。</w:t>
            </w:r>
          </w:p>
          <w:p w14:paraId="06F5ED2D">
            <w:pPr>
              <w:bidi w:val="0"/>
              <w:rPr>
                <w:rFonts w:hint="eastAsia" w:ascii="Times New Roman" w:hAnsi="Times New Roman" w:eastAsia="宋体" w:cs="Times New Roman"/>
                <w:color w:val="auto"/>
                <w:kern w:val="2"/>
                <w:sz w:val="20"/>
                <w:szCs w:val="20"/>
                <w:highlight w:val="none"/>
                <w:lang w:val="en-US" w:eastAsia="zh-CN" w:bidi="ar-SA"/>
              </w:rPr>
            </w:pPr>
            <w:r>
              <w:rPr>
                <w:rFonts w:hint="eastAsia"/>
                <w:b/>
                <w:bCs/>
                <w:sz w:val="20"/>
                <w:szCs w:val="20"/>
                <w:highlight w:val="none"/>
                <w:lang w:eastAsia="zh-CN"/>
              </w:rPr>
              <w:t>业绩证明为合同，未提供的不计入评审。</w:t>
            </w:r>
          </w:p>
        </w:tc>
        <w:tc>
          <w:tcPr>
            <w:tcW w:w="767" w:type="dxa"/>
            <w:vAlign w:val="center"/>
          </w:tcPr>
          <w:p w14:paraId="6A4DFB84">
            <w:pPr>
              <w:adjustRightInd w:val="0"/>
              <w:snapToGrid w:val="0"/>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w:t>
            </w:r>
          </w:p>
        </w:tc>
      </w:tr>
      <w:tr w14:paraId="171D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05" w:type="dxa"/>
            <w:vAlign w:val="center"/>
          </w:tcPr>
          <w:p w14:paraId="78BF426D">
            <w:pPr>
              <w:jc w:val="center"/>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lang w:val="en-US" w:eastAsia="zh-CN"/>
              </w:rPr>
              <w:t>商务标</w:t>
            </w:r>
          </w:p>
        </w:tc>
        <w:tc>
          <w:tcPr>
            <w:tcW w:w="6744" w:type="dxa"/>
            <w:gridSpan w:val="2"/>
            <w:vAlign w:val="center"/>
          </w:tcPr>
          <w:p w14:paraId="6238EE13">
            <w:pP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取投标合格</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的投标最终报价最低价为基准价。基准价为</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分。投标报价得分＝（评标基准价/最终投标报价）×</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%×100（小数点后保留2位小数）。</w:t>
            </w:r>
          </w:p>
        </w:tc>
        <w:tc>
          <w:tcPr>
            <w:tcW w:w="767" w:type="dxa"/>
            <w:vAlign w:val="center"/>
          </w:tcPr>
          <w:p w14:paraId="549A2942">
            <w:pPr>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r>
    </w:tbl>
    <w:p w14:paraId="428425F1">
      <w:pPr>
        <w:pStyle w:val="15"/>
        <w:keepNext w:val="0"/>
        <w:keepLines w:val="0"/>
        <w:pageBreakBefore w:val="0"/>
        <w:widowControl w:val="0"/>
        <w:numPr>
          <w:ilvl w:val="0"/>
          <w:numId w:val="56"/>
        </w:numPr>
        <w:kinsoku/>
        <w:wordWrap/>
        <w:overflowPunct/>
        <w:topLinePunct w:val="0"/>
        <w:autoSpaceDE/>
        <w:autoSpaceDN/>
        <w:bidi w:val="0"/>
        <w:adjustRightInd/>
        <w:snapToGrid/>
        <w:spacing w:line="360" w:lineRule="auto"/>
        <w:ind w:left="0" w:leftChars="0" w:firstLine="482" w:firstLineChars="200"/>
        <w:jc w:val="left"/>
        <w:textAlignment w:val="auto"/>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评审要求</w:t>
      </w:r>
    </w:p>
    <w:p w14:paraId="4930D44D">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cs="宋体"/>
          <w:b w:val="0"/>
          <w:bCs w:val="0"/>
          <w:color w:val="auto"/>
          <w:sz w:val="24"/>
          <w:highlight w:val="none"/>
        </w:rPr>
      </w:pPr>
      <w:r>
        <w:rPr>
          <w:rFonts w:hint="eastAsia" w:ascii="宋体" w:hAnsi="宋体" w:cs="宋体"/>
          <w:sz w:val="24"/>
          <w:highlight w:val="none"/>
        </w:rPr>
        <w:t>评标委员会应当按照招标文件中规定的评标方法和标准，对符合性审查合格的</w:t>
      </w:r>
      <w:r>
        <w:rPr>
          <w:rFonts w:hint="eastAsia" w:ascii="宋体" w:hAnsi="宋体" w:cs="宋体"/>
          <w:b w:val="0"/>
          <w:bCs w:val="0"/>
          <w:color w:val="auto"/>
          <w:sz w:val="24"/>
          <w:highlight w:val="none"/>
        </w:rPr>
        <w:t>投标文件的商务部分和技术部分进行综合比较与评价，其中</w:t>
      </w:r>
      <w:r>
        <w:rPr>
          <w:rFonts w:hint="eastAsia" w:ascii="宋体"/>
          <w:b w:val="0"/>
          <w:bCs w:val="0"/>
          <w:color w:val="auto"/>
          <w:sz w:val="24"/>
          <w:highlight w:val="none"/>
          <w:lang w:val="zh-CN"/>
        </w:rPr>
        <w:t>客观</w:t>
      </w:r>
      <w:r>
        <w:rPr>
          <w:rFonts w:hint="eastAsia" w:ascii="宋体"/>
          <w:b w:val="0"/>
          <w:bCs w:val="0"/>
          <w:color w:val="auto"/>
          <w:sz w:val="24"/>
          <w:highlight w:val="none"/>
        </w:rPr>
        <w:t>评分项的分值</w:t>
      </w:r>
      <w:r>
        <w:rPr>
          <w:rFonts w:hint="eastAsia" w:ascii="宋体"/>
          <w:b w:val="0"/>
          <w:bCs w:val="0"/>
          <w:color w:val="auto"/>
          <w:sz w:val="24"/>
          <w:highlight w:val="none"/>
          <w:lang w:val="zh-CN"/>
        </w:rPr>
        <w:t>应当一致。</w:t>
      </w:r>
    </w:p>
    <w:p w14:paraId="7035808B">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cs="宋体"/>
          <w:b w:val="0"/>
          <w:bCs w:val="0"/>
          <w:color w:val="auto"/>
          <w:sz w:val="24"/>
          <w:highlight w:val="none"/>
        </w:rPr>
      </w:pPr>
      <w:r>
        <w:rPr>
          <w:rFonts w:hint="eastAsia" w:ascii="宋体" w:hAnsi="宋体" w:cs="宋体"/>
          <w:b w:val="0"/>
          <w:bCs w:val="0"/>
          <w:color w:val="auto"/>
          <w:sz w:val="24"/>
          <w:highlight w:val="none"/>
        </w:rPr>
        <w:t>对于投标文件报价出现前后不一致的，除招标文件另有规定外，按照下列规定修正：</w:t>
      </w:r>
    </w:p>
    <w:p w14:paraId="5A27916D">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cs="宋体"/>
          <w:b w:val="0"/>
          <w:bCs w:val="0"/>
          <w:color w:val="auto"/>
          <w:sz w:val="24"/>
          <w:highlight w:val="none"/>
        </w:rPr>
      </w:pPr>
      <w:r>
        <w:rPr>
          <w:rFonts w:hint="eastAsia" w:ascii="宋体" w:hAnsi="宋体" w:cs="宋体"/>
          <w:b w:val="0"/>
          <w:bCs w:val="0"/>
          <w:color w:val="auto"/>
          <w:sz w:val="24"/>
          <w:highlight w:val="none"/>
        </w:rPr>
        <w:t>“台州湾新区小额工程电子交易平台”上开启的投标报价与电子投标文件中开标一览表（报价表）内容不一致的，以电子投标文件中开标一览表（报价表）为准；</w:t>
      </w:r>
    </w:p>
    <w:p w14:paraId="272705CB">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cs="宋体"/>
          <w:b w:val="0"/>
          <w:bCs w:val="0"/>
          <w:color w:val="auto"/>
          <w:sz w:val="24"/>
          <w:highlight w:val="none"/>
        </w:rPr>
      </w:pPr>
      <w:r>
        <w:rPr>
          <w:rFonts w:hint="eastAsia" w:ascii="宋体" w:hAnsi="宋体" w:cs="宋体"/>
          <w:b w:val="0"/>
          <w:bCs w:val="0"/>
          <w:color w:val="auto"/>
          <w:sz w:val="24"/>
          <w:highlight w:val="none"/>
        </w:rPr>
        <w:t>投标文件中开标一览表（报价表）内容与投标文件中相应内容不一致的，以开标一览表（报价表）为准；</w:t>
      </w:r>
    </w:p>
    <w:p w14:paraId="6845F080">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cs="宋体"/>
          <w:b w:val="0"/>
          <w:bCs w:val="0"/>
          <w:color w:val="auto"/>
          <w:sz w:val="24"/>
          <w:highlight w:val="none"/>
        </w:rPr>
      </w:pPr>
      <w:r>
        <w:rPr>
          <w:rFonts w:hint="eastAsia" w:ascii="宋体" w:hAnsi="宋体" w:cs="宋体"/>
          <w:b w:val="0"/>
          <w:bCs w:val="0"/>
          <w:color w:val="auto"/>
          <w:sz w:val="24"/>
          <w:highlight w:val="none"/>
        </w:rPr>
        <w:t>大写金额和小写金额不一致的，以大写金额为准。</w:t>
      </w:r>
    </w:p>
    <w:p w14:paraId="1EA25D93">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单价金额小数点或者百分比有明显错位的，以开标一览表的总价为准，并修改单价；</w:t>
      </w:r>
    </w:p>
    <w:p w14:paraId="54810A72">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总价金额与按单价汇总金额不一致的，以单价金额计算结果为准。</w:t>
      </w:r>
    </w:p>
    <w:p w14:paraId="300610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b w:val="0"/>
          <w:bCs w:val="0"/>
          <w:color w:val="auto"/>
          <w:sz w:val="24"/>
          <w:highlight w:val="none"/>
        </w:rPr>
      </w:pPr>
      <w:r>
        <w:rPr>
          <w:rFonts w:hint="eastAsia" w:ascii="宋体" w:hAnsi="宋体" w:cs="宋体"/>
          <w:b w:val="0"/>
          <w:bCs w:val="0"/>
          <w:color w:val="auto"/>
          <w:sz w:val="24"/>
          <w:highlight w:val="none"/>
        </w:rPr>
        <w:t>同时出现两种以上不一致的，按照前款规定的顺序修正。修正应当采用询标的形式，并加盖公章。</w:t>
      </w:r>
    </w:p>
    <w:p w14:paraId="08348FE4">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cs="宋体"/>
          <w:sz w:val="24"/>
          <w:highlight w:val="none"/>
        </w:rPr>
      </w:pPr>
      <w:r>
        <w:rPr>
          <w:rFonts w:hint="eastAsia" w:ascii="宋体" w:hAnsi="宋体" w:cs="宋体"/>
          <w:sz w:val="24"/>
          <w:highlight w:val="none"/>
        </w:rPr>
        <w:t>对于投标文件中含义不明确、同类问题表述不一致或者有明显文字和计算错误的内容，评标委员会应当要求投标人作出必要的澄清、说明或者补正。</w:t>
      </w:r>
    </w:p>
    <w:p w14:paraId="42D50CCD">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s="宋体"/>
          <w:sz w:val="24"/>
          <w:highlight w:val="none"/>
        </w:rPr>
      </w:pPr>
      <w:r>
        <w:rPr>
          <w:rFonts w:hint="eastAsia" w:ascii="宋体" w:hAnsi="宋体" w:cs="宋体"/>
          <w:sz w:val="24"/>
          <w:highlight w:val="none"/>
        </w:rPr>
        <w:t>投标人的澄清、说明或者补正采用书面形式，并加盖公章或者由法定代表人或授权代表签字，且不得超出投标文件的范围或者改变投标文件的实质性内容。</w:t>
      </w:r>
    </w:p>
    <w:p w14:paraId="79F79D39">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firstLine="482" w:firstLineChars="200"/>
        <w:jc w:val="left"/>
        <w:textAlignment w:val="auto"/>
        <w:rPr>
          <w:rFonts w:ascii="宋体"/>
          <w:sz w:val="24"/>
          <w:highlight w:val="none"/>
        </w:rPr>
      </w:pPr>
      <w:r>
        <w:rPr>
          <w:rFonts w:hint="eastAsia" w:ascii="宋体" w:hAnsi="宋体" w:cs="宋体"/>
          <w:b/>
          <w:bCs/>
          <w:sz w:val="24"/>
          <w:highlight w:val="none"/>
        </w:rPr>
        <w:t>结果汇总及排序</w:t>
      </w:r>
    </w:p>
    <w:p w14:paraId="4C8833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highlight w:val="none"/>
        </w:rPr>
      </w:pPr>
      <w:r>
        <w:rPr>
          <w:rFonts w:hint="eastAsia" w:ascii="宋体" w:hAnsi="宋体" w:cs="宋体"/>
          <w:sz w:val="24"/>
          <w:highlight w:val="none"/>
        </w:rPr>
        <w:t>评标结果按评审后综合得分由高到低顺序排列。</w:t>
      </w:r>
      <w:r>
        <w:rPr>
          <w:rFonts w:hint="eastAsia" w:ascii="宋体" w:hAnsi="宋体" w:cs="宋体"/>
          <w:sz w:val="24"/>
          <w:highlight w:val="none"/>
          <w:lang w:val="en-US" w:eastAsia="zh-CN"/>
        </w:rPr>
        <w:t>综合</w:t>
      </w:r>
      <w:r>
        <w:rPr>
          <w:rFonts w:hint="eastAsia" w:ascii="宋体" w:hAnsi="宋体" w:cs="宋体"/>
          <w:sz w:val="24"/>
          <w:highlight w:val="none"/>
          <w:lang w:val="zh-CN"/>
        </w:rPr>
        <w:t>得分相同</w:t>
      </w:r>
      <w:r>
        <w:rPr>
          <w:rFonts w:hint="eastAsia" w:ascii="宋体" w:hAnsi="宋体" w:cs="宋体"/>
          <w:sz w:val="24"/>
          <w:highlight w:val="none"/>
        </w:rPr>
        <w:t>的</w:t>
      </w:r>
      <w:r>
        <w:rPr>
          <w:rFonts w:hint="eastAsia" w:ascii="宋体" w:hAnsi="宋体" w:cs="宋体"/>
          <w:sz w:val="24"/>
          <w:highlight w:val="none"/>
          <w:lang w:val="zh-CN"/>
        </w:rPr>
        <w:t>，</w:t>
      </w:r>
      <w:r>
        <w:rPr>
          <w:rFonts w:hint="eastAsia" w:ascii="宋体" w:hAnsi="宋体" w:cs="宋体"/>
          <w:sz w:val="24"/>
          <w:highlight w:val="none"/>
        </w:rPr>
        <w:t>按</w:t>
      </w:r>
      <w:r>
        <w:rPr>
          <w:rFonts w:hint="eastAsia" w:ascii="宋体" w:hAnsi="宋体" w:cs="宋体"/>
          <w:sz w:val="24"/>
          <w:highlight w:val="none"/>
          <w:lang w:val="zh-CN"/>
        </w:rPr>
        <w:t>投标报价</w:t>
      </w:r>
      <w:r>
        <w:rPr>
          <w:rFonts w:hint="eastAsia" w:ascii="宋体" w:hAnsi="宋体" w:cs="宋体"/>
          <w:sz w:val="24"/>
          <w:highlight w:val="none"/>
        </w:rPr>
        <w:t>由</w:t>
      </w:r>
      <w:r>
        <w:rPr>
          <w:rFonts w:hint="eastAsia" w:ascii="宋体" w:hAnsi="宋体" w:cs="宋体"/>
          <w:sz w:val="24"/>
          <w:highlight w:val="none"/>
          <w:lang w:val="zh-CN"/>
        </w:rPr>
        <w:t>低</w:t>
      </w:r>
      <w:r>
        <w:rPr>
          <w:rFonts w:hint="eastAsia" w:ascii="宋体" w:hAnsi="宋体" w:cs="宋体"/>
          <w:sz w:val="24"/>
          <w:highlight w:val="none"/>
        </w:rPr>
        <w:t>到高顺序排列。</w:t>
      </w:r>
      <w:r>
        <w:rPr>
          <w:rFonts w:hint="eastAsia" w:ascii="宋体" w:hAnsi="宋体" w:eastAsia="宋体" w:cs="宋体"/>
          <w:color w:val="auto"/>
          <w:sz w:val="24"/>
          <w:szCs w:val="24"/>
          <w:highlight w:val="none"/>
          <w:lang w:val="zh-CN"/>
        </w:rPr>
        <w:t>综合得分且投标报价</w:t>
      </w:r>
      <w:r>
        <w:rPr>
          <w:rFonts w:hint="eastAsia" w:ascii="宋体" w:hAnsi="宋体" w:eastAsia="宋体" w:cs="宋体"/>
          <w:color w:val="auto"/>
          <w:sz w:val="24"/>
          <w:szCs w:val="24"/>
          <w:highlight w:val="none"/>
          <w:lang w:val="en-US" w:eastAsia="zh-CN"/>
        </w:rPr>
        <w:t>均</w:t>
      </w:r>
      <w:r>
        <w:rPr>
          <w:rFonts w:hint="eastAsia" w:ascii="宋体" w:hAnsi="宋体" w:eastAsia="宋体" w:cs="宋体"/>
          <w:color w:val="auto"/>
          <w:sz w:val="24"/>
          <w:szCs w:val="24"/>
          <w:highlight w:val="none"/>
          <w:lang w:val="zh-CN"/>
        </w:rPr>
        <w:t>相同的，</w:t>
      </w:r>
      <w:r>
        <w:rPr>
          <w:rFonts w:hint="eastAsia" w:ascii="宋体" w:hAnsi="宋体" w:eastAsia="宋体" w:cs="宋体"/>
          <w:color w:val="auto"/>
          <w:sz w:val="24"/>
          <w:szCs w:val="24"/>
          <w:highlight w:val="none"/>
          <w:lang w:val="en-US" w:eastAsia="zh-CN"/>
        </w:rPr>
        <w:t>则</w:t>
      </w:r>
      <w:r>
        <w:rPr>
          <w:rFonts w:hint="eastAsia" w:ascii="宋体" w:hAnsi="宋体" w:cs="宋体"/>
          <w:color w:val="auto"/>
          <w:sz w:val="24"/>
          <w:szCs w:val="24"/>
          <w:highlight w:val="none"/>
          <w:lang w:val="zh-CN"/>
        </w:rPr>
        <w:t>抽签确定</w:t>
      </w:r>
      <w:r>
        <w:rPr>
          <w:rFonts w:hint="eastAsia" w:ascii="宋体" w:hAnsi="宋体" w:cs="宋体"/>
          <w:sz w:val="24"/>
          <w:highlight w:val="none"/>
          <w:lang w:val="zh-CN"/>
        </w:rPr>
        <w:t>。</w:t>
      </w:r>
      <w:r>
        <w:rPr>
          <w:rFonts w:hint="eastAsia" w:ascii="宋体" w:hAnsi="宋体" w:eastAsia="宋体" w:cs="宋体"/>
          <w:sz w:val="24"/>
          <w:szCs w:val="24"/>
          <w:highlight w:val="none"/>
        </w:rPr>
        <w:t>在投标文件满足招标文件全部实质性要求前提下，评标委员会按照评审因素的量化指标进行综合评审，以评标总得分由高到低的顺序推荐2名中标候选人</w:t>
      </w:r>
      <w:r>
        <w:rPr>
          <w:rFonts w:hint="eastAsia" w:ascii="宋体" w:hAnsi="宋体" w:cs="宋体"/>
          <w:sz w:val="24"/>
          <w:highlight w:val="none"/>
        </w:rPr>
        <w:t>。</w:t>
      </w:r>
    </w:p>
    <w:p w14:paraId="0A30314E">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firstLine="482" w:firstLineChars="200"/>
        <w:jc w:val="left"/>
        <w:textAlignment w:val="auto"/>
        <w:rPr>
          <w:rFonts w:ascii="宋体" w:hAnsi="宋体" w:cs="宋体"/>
          <w:b/>
          <w:bCs/>
          <w:sz w:val="24"/>
          <w:highlight w:val="none"/>
        </w:rPr>
      </w:pPr>
      <w:r>
        <w:rPr>
          <w:rFonts w:hint="eastAsia" w:ascii="宋体" w:hAnsi="宋体" w:cs="宋体"/>
          <w:b/>
          <w:bCs/>
          <w:sz w:val="24"/>
          <w:highlight w:val="none"/>
        </w:rPr>
        <w:t>评标报告撰写</w:t>
      </w:r>
    </w:p>
    <w:p w14:paraId="219D6D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highlight w:val="none"/>
        </w:rPr>
      </w:pPr>
      <w:r>
        <w:rPr>
          <w:rFonts w:hint="eastAsia" w:ascii="宋体" w:hAnsi="宋体" w:cs="宋体"/>
          <w:sz w:val="24"/>
          <w:highlight w:val="none"/>
        </w:rPr>
        <w:t>评标委员会根据全体评标成员签字的原始评标记录和评标结果编写评标报告。</w:t>
      </w:r>
      <w:bookmarkStart w:id="39" w:name="_Toc24360"/>
    </w:p>
    <w:p w14:paraId="5F7193E0">
      <w:pPr>
        <w:rPr>
          <w:rFonts w:hint="eastAsia" w:ascii="宋体" w:hAnsi="宋体" w:cs="宋体"/>
          <w:sz w:val="24"/>
          <w:highlight w:val="none"/>
        </w:rPr>
      </w:pPr>
      <w:r>
        <w:rPr>
          <w:rFonts w:hint="eastAsia" w:ascii="宋体" w:hAnsi="宋体" w:cs="宋体"/>
          <w:sz w:val="24"/>
          <w:highlight w:val="none"/>
        </w:rPr>
        <w:br w:type="page"/>
      </w:r>
    </w:p>
    <w:p w14:paraId="3890452D">
      <w:pPr>
        <w:rPr>
          <w:rFonts w:asciiTheme="minorEastAsia" w:hAnsiTheme="minorEastAsia" w:eastAsiaTheme="minorEastAsia"/>
          <w:b/>
          <w:sz w:val="36"/>
          <w:szCs w:val="36"/>
          <w:highlight w:val="none"/>
        </w:rPr>
      </w:pPr>
    </w:p>
    <w:p w14:paraId="39D5F9F4">
      <w:pPr>
        <w:numPr>
          <w:ilvl w:val="0"/>
          <w:numId w:val="17"/>
        </w:numPr>
        <w:tabs>
          <w:tab w:val="left" w:pos="2218"/>
          <w:tab w:val="center" w:pos="5283"/>
        </w:tabs>
        <w:spacing w:line="360" w:lineRule="auto"/>
        <w:jc w:val="center"/>
        <w:outlineLvl w:val="0"/>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t>拟签订的合同文本</w:t>
      </w:r>
      <w:bookmarkEnd w:id="39"/>
    </w:p>
    <w:p w14:paraId="1E4C70A3">
      <w:pPr>
        <w:jc w:val="center"/>
        <w:rPr>
          <w:b/>
          <w:bCs/>
          <w:sz w:val="52"/>
          <w:szCs w:val="52"/>
          <w:highlight w:val="none"/>
        </w:rPr>
      </w:pPr>
      <w:r>
        <w:rPr>
          <w:rFonts w:hint="eastAsia"/>
          <w:b/>
          <w:bCs/>
          <w:sz w:val="52"/>
          <w:szCs w:val="52"/>
          <w:highlight w:val="none"/>
          <w:lang w:eastAsia="zh-CN"/>
        </w:rPr>
        <w:t>海虹街道中心幼儿园（翡翠云邸）幼儿家具采购项目</w:t>
      </w:r>
      <w:r>
        <w:rPr>
          <w:rFonts w:hint="eastAsia"/>
          <w:b/>
          <w:bCs/>
          <w:sz w:val="52"/>
          <w:szCs w:val="52"/>
          <w:highlight w:val="none"/>
        </w:rPr>
        <w:t>合同</w:t>
      </w:r>
    </w:p>
    <w:p w14:paraId="47219DA5">
      <w:pPr>
        <w:rPr>
          <w:b/>
          <w:bCs/>
          <w:highlight w:val="none"/>
        </w:rPr>
      </w:pPr>
    </w:p>
    <w:p w14:paraId="6FAAE918">
      <w:pPr>
        <w:rPr>
          <w:b/>
          <w:bCs/>
          <w:highlight w:val="none"/>
        </w:rPr>
      </w:pPr>
    </w:p>
    <w:p w14:paraId="02EB64CC">
      <w:pPr>
        <w:rPr>
          <w:b/>
          <w:bCs/>
          <w:highlight w:val="none"/>
        </w:rPr>
      </w:pPr>
    </w:p>
    <w:p w14:paraId="140C3D33">
      <w:pPr>
        <w:rPr>
          <w:b/>
          <w:bCs/>
          <w:highlight w:val="none"/>
        </w:rPr>
      </w:pPr>
    </w:p>
    <w:p w14:paraId="0DD5CCB6">
      <w:pPr>
        <w:rPr>
          <w:b/>
          <w:bCs/>
          <w:highlight w:val="none"/>
        </w:rPr>
      </w:pPr>
    </w:p>
    <w:p w14:paraId="242021F5">
      <w:pPr>
        <w:rPr>
          <w:b/>
          <w:bCs/>
          <w:highlight w:val="none"/>
        </w:rPr>
      </w:pPr>
    </w:p>
    <w:p w14:paraId="15313791">
      <w:pPr>
        <w:rPr>
          <w:b/>
          <w:bCs/>
          <w:highlight w:val="none"/>
        </w:rPr>
      </w:pPr>
    </w:p>
    <w:p w14:paraId="05DB0586">
      <w:pPr>
        <w:rPr>
          <w:b/>
          <w:bCs/>
          <w:sz w:val="30"/>
          <w:szCs w:val="30"/>
          <w:highlight w:val="none"/>
        </w:rPr>
      </w:pPr>
    </w:p>
    <w:p w14:paraId="0D2D06BF">
      <w:pPr>
        <w:ind w:firstLine="1807" w:firstLineChars="600"/>
        <w:rPr>
          <w:b/>
          <w:bCs/>
          <w:sz w:val="30"/>
          <w:szCs w:val="30"/>
          <w:highlight w:val="none"/>
        </w:rPr>
      </w:pPr>
    </w:p>
    <w:p w14:paraId="1EF11E01">
      <w:pPr>
        <w:ind w:firstLine="1807" w:firstLineChars="600"/>
        <w:rPr>
          <w:b/>
          <w:bCs/>
          <w:sz w:val="30"/>
          <w:szCs w:val="30"/>
          <w:highlight w:val="none"/>
        </w:rPr>
      </w:pPr>
    </w:p>
    <w:p w14:paraId="37F06763">
      <w:pPr>
        <w:ind w:firstLine="1807" w:firstLineChars="600"/>
        <w:rPr>
          <w:b/>
          <w:bCs/>
          <w:sz w:val="30"/>
          <w:szCs w:val="30"/>
          <w:highlight w:val="none"/>
        </w:rPr>
      </w:pPr>
    </w:p>
    <w:p w14:paraId="74107BCD">
      <w:pPr>
        <w:widowControl/>
        <w:snapToGrid w:val="0"/>
        <w:spacing w:before="100" w:beforeAutospacing="1" w:after="100" w:afterAutospacing="1" w:line="320" w:lineRule="atLeast"/>
        <w:ind w:firstLine="420" w:firstLineChars="150"/>
        <w:jc w:val="left"/>
        <w:rPr>
          <w:rFonts w:hint="eastAsia" w:ascii="宋体" w:hAnsi="宋体" w:eastAsia="宋体" w:cs="宋体"/>
          <w:kern w:val="0"/>
          <w:sz w:val="28"/>
          <w:szCs w:val="28"/>
          <w:highlight w:val="none"/>
          <w:u w:val="single"/>
          <w:lang w:eastAsia="zh-CN"/>
        </w:rPr>
      </w:pPr>
      <w:r>
        <w:rPr>
          <w:rFonts w:hint="eastAsia" w:ascii="宋体" w:hAnsi="宋体" w:cs="宋体"/>
          <w:kern w:val="0"/>
          <w:sz w:val="28"/>
          <w:szCs w:val="28"/>
          <w:highlight w:val="none"/>
        </w:rPr>
        <w:t>项  目 名  称：</w:t>
      </w:r>
      <w:r>
        <w:rPr>
          <w:rFonts w:hint="eastAsia" w:ascii="宋体" w:hAnsi="宋体" w:cs="宋体"/>
          <w:kern w:val="0"/>
          <w:sz w:val="28"/>
          <w:szCs w:val="28"/>
          <w:highlight w:val="none"/>
          <w:u w:val="single"/>
          <w:lang w:eastAsia="zh-CN"/>
        </w:rPr>
        <w:t>海虹街道中心幼儿园（翡翠云邸）幼儿家具采购项目</w:t>
      </w:r>
    </w:p>
    <w:p w14:paraId="42713C55">
      <w:pPr>
        <w:widowControl/>
        <w:tabs>
          <w:tab w:val="left" w:pos="1442"/>
        </w:tabs>
        <w:snapToGrid w:val="0"/>
        <w:spacing w:before="100" w:beforeAutospacing="1" w:after="100" w:afterAutospacing="1" w:line="320" w:lineRule="atLeast"/>
        <w:ind w:firstLine="420" w:firstLineChars="150"/>
        <w:jc w:val="left"/>
        <w:rPr>
          <w:rFonts w:ascii="宋体" w:hAnsi="宋体" w:cs="宋体"/>
          <w:kern w:val="0"/>
          <w:sz w:val="28"/>
          <w:szCs w:val="28"/>
          <w:highlight w:val="none"/>
        </w:rPr>
      </w:pPr>
      <w:r>
        <w:rPr>
          <w:rFonts w:hint="eastAsia" w:ascii="宋体" w:hAnsi="宋体" w:cs="宋体"/>
          <w:kern w:val="0"/>
          <w:sz w:val="28"/>
          <w:szCs w:val="28"/>
          <w:highlight w:val="none"/>
        </w:rPr>
        <w:t>项  目 地  点：</w:t>
      </w:r>
      <w:r>
        <w:rPr>
          <w:rFonts w:hint="eastAsia" w:ascii="宋体" w:hAnsi="宋体" w:cs="宋体"/>
          <w:kern w:val="0"/>
          <w:sz w:val="28"/>
          <w:szCs w:val="28"/>
          <w:highlight w:val="none"/>
          <w:u w:val="single"/>
        </w:rPr>
        <w:t>台州湾新区</w:t>
      </w:r>
    </w:p>
    <w:p w14:paraId="5E6595EE">
      <w:pPr>
        <w:widowControl/>
        <w:snapToGrid w:val="0"/>
        <w:spacing w:before="100" w:beforeAutospacing="1" w:after="100" w:afterAutospacing="1" w:line="320" w:lineRule="atLeast"/>
        <w:ind w:firstLine="420" w:firstLineChars="150"/>
        <w:jc w:val="left"/>
        <w:rPr>
          <w:rFonts w:ascii="宋体" w:hAnsi="宋体" w:cs="宋体"/>
          <w:kern w:val="0"/>
          <w:sz w:val="28"/>
          <w:szCs w:val="28"/>
          <w:highlight w:val="none"/>
          <w:u w:val="single"/>
        </w:rPr>
      </w:pPr>
      <w:r>
        <w:rPr>
          <w:rFonts w:hint="eastAsia" w:ascii="宋体" w:hAnsi="宋体" w:cs="宋体"/>
          <w:kern w:val="0"/>
          <w:sz w:val="28"/>
          <w:szCs w:val="28"/>
          <w:highlight w:val="none"/>
        </w:rPr>
        <w:t>发  包  人：</w:t>
      </w:r>
      <w:r>
        <w:rPr>
          <w:rFonts w:hint="eastAsia" w:ascii="宋体" w:hAnsi="宋体"/>
          <w:sz w:val="28"/>
          <w:highlight w:val="none"/>
          <w:u w:val="single"/>
          <w:lang w:eastAsia="zh-CN"/>
        </w:rPr>
        <w:t>海虹街道中心幼儿园</w:t>
      </w:r>
    </w:p>
    <w:p w14:paraId="745BF614">
      <w:pPr>
        <w:widowControl/>
        <w:snapToGrid w:val="0"/>
        <w:spacing w:before="100" w:beforeAutospacing="1" w:after="100" w:afterAutospacing="1" w:line="320" w:lineRule="atLeast"/>
        <w:ind w:firstLine="420" w:firstLineChars="150"/>
        <w:jc w:val="left"/>
        <w:rPr>
          <w:rFonts w:ascii="宋体" w:hAnsi="宋体" w:cs="宋体"/>
          <w:kern w:val="0"/>
          <w:sz w:val="28"/>
          <w:szCs w:val="28"/>
          <w:highlight w:val="none"/>
        </w:rPr>
      </w:pPr>
      <w:r>
        <w:rPr>
          <w:rFonts w:hint="eastAsia" w:ascii="宋体" w:hAnsi="宋体" w:cs="宋体"/>
          <w:kern w:val="0"/>
          <w:sz w:val="28"/>
          <w:szCs w:val="28"/>
          <w:highlight w:val="none"/>
        </w:rPr>
        <w:t>承  包  人：</w:t>
      </w:r>
      <w:r>
        <w:rPr>
          <w:rFonts w:hint="eastAsia" w:ascii="宋体" w:hAnsi="宋体" w:cs="宋体"/>
          <w:kern w:val="0"/>
          <w:sz w:val="28"/>
          <w:szCs w:val="28"/>
          <w:highlight w:val="none"/>
          <w:u w:val="single"/>
        </w:rPr>
        <w:t xml:space="preserve">                                                  </w:t>
      </w:r>
    </w:p>
    <w:p w14:paraId="1056308B">
      <w:pPr>
        <w:widowControl/>
        <w:snapToGrid w:val="0"/>
        <w:spacing w:before="100" w:beforeAutospacing="1" w:after="100" w:afterAutospacing="1" w:line="320" w:lineRule="atLeast"/>
        <w:ind w:firstLine="420" w:firstLineChars="150"/>
        <w:jc w:val="left"/>
        <w:rPr>
          <w:rFonts w:ascii="宋体" w:hAnsi="宋体" w:cs="宋体"/>
          <w:kern w:val="0"/>
          <w:sz w:val="28"/>
          <w:szCs w:val="28"/>
          <w:highlight w:val="none"/>
        </w:rPr>
      </w:pPr>
      <w:r>
        <w:rPr>
          <w:rFonts w:hint="eastAsia" w:ascii="宋体" w:hAnsi="宋体" w:cs="宋体"/>
          <w:kern w:val="0"/>
          <w:sz w:val="28"/>
          <w:szCs w:val="28"/>
          <w:highlight w:val="none"/>
        </w:rPr>
        <w:t>签  订  日  期：</w:t>
      </w:r>
      <w:r>
        <w:rPr>
          <w:rFonts w:hint="eastAsia" w:ascii="宋体" w:hAnsi="宋体" w:cs="宋体"/>
          <w:kern w:val="0"/>
          <w:sz w:val="28"/>
          <w:szCs w:val="28"/>
          <w:highlight w:val="none"/>
          <w:u w:val="single"/>
        </w:rPr>
        <w:t xml:space="preserve">                                              </w:t>
      </w:r>
    </w:p>
    <w:p w14:paraId="3B1759A8">
      <w:pPr>
        <w:pStyle w:val="24"/>
        <w:outlineLvl w:val="9"/>
        <w:rPr>
          <w:highlight w:val="none"/>
        </w:rPr>
      </w:pPr>
    </w:p>
    <w:p w14:paraId="06829DD2">
      <w:pPr>
        <w:rPr>
          <w:b/>
          <w:bCs/>
          <w:sz w:val="30"/>
          <w:szCs w:val="30"/>
          <w:highlight w:val="none"/>
        </w:rPr>
      </w:pPr>
    </w:p>
    <w:p w14:paraId="3E66B0E1">
      <w:pPr>
        <w:rPr>
          <w:b/>
          <w:bCs/>
          <w:highlight w:val="none"/>
        </w:rPr>
      </w:pPr>
    </w:p>
    <w:p w14:paraId="5B9C8869">
      <w:pPr>
        <w:rPr>
          <w:b/>
          <w:bCs/>
          <w:highlight w:val="none"/>
        </w:rPr>
      </w:pPr>
    </w:p>
    <w:p w14:paraId="1CEAD888">
      <w:pPr>
        <w:rPr>
          <w:b/>
          <w:bCs/>
          <w:highlight w:val="none"/>
        </w:rPr>
      </w:pPr>
    </w:p>
    <w:p w14:paraId="350D1DFD">
      <w:pPr>
        <w:adjustRightInd w:val="0"/>
        <w:snapToGrid w:val="0"/>
        <w:spacing w:line="324" w:lineRule="auto"/>
        <w:jc w:val="center"/>
        <w:outlineLvl w:val="0"/>
        <w:rPr>
          <w:rFonts w:ascii="黑体"/>
          <w:b/>
          <w:sz w:val="30"/>
          <w:szCs w:val="30"/>
          <w:highlight w:val="none"/>
        </w:rPr>
      </w:pPr>
      <w:bookmarkStart w:id="40" w:name="_Toc5209"/>
      <w:bookmarkStart w:id="41" w:name="_Toc25545"/>
      <w:r>
        <w:rPr>
          <w:rFonts w:hint="eastAsia" w:ascii="黑体"/>
          <w:b/>
          <w:sz w:val="30"/>
          <w:szCs w:val="30"/>
          <w:highlight w:val="none"/>
        </w:rPr>
        <w:t>合同条款</w:t>
      </w:r>
      <w:bookmarkEnd w:id="40"/>
      <w:bookmarkEnd w:id="41"/>
    </w:p>
    <w:p w14:paraId="37A2098A">
      <w:pPr>
        <w:pStyle w:val="15"/>
        <w:snapToGrid w:val="0"/>
        <w:spacing w:before="120" w:after="12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甲方：</w:t>
      </w:r>
      <w:r>
        <w:rPr>
          <w:rFonts w:hint="eastAsia" w:hAnsi="宋体" w:cs="宋体"/>
          <w:sz w:val="24"/>
          <w:szCs w:val="24"/>
          <w:highlight w:val="none"/>
          <w:lang w:eastAsia="zh-CN"/>
        </w:rPr>
        <w:t>海虹街道中心幼儿园</w:t>
      </w:r>
      <w:r>
        <w:rPr>
          <w:rFonts w:hint="eastAsia" w:hAnsi="宋体" w:cs="宋体"/>
          <w:sz w:val="24"/>
          <w:szCs w:val="24"/>
          <w:highlight w:val="none"/>
          <w:lang w:val="en-US" w:eastAsia="zh-CN"/>
        </w:rPr>
        <w:t xml:space="preserve">  </w:t>
      </w:r>
      <w:r>
        <w:rPr>
          <w:rFonts w:hint="eastAsia" w:ascii="宋体" w:hAnsi="宋体" w:eastAsia="宋体" w:cs="宋体"/>
          <w:sz w:val="24"/>
          <w:szCs w:val="24"/>
          <w:highlight w:val="none"/>
        </w:rPr>
        <w:t xml:space="preserve">                                                           </w:t>
      </w:r>
    </w:p>
    <w:p w14:paraId="2526DA75">
      <w:pPr>
        <w:pStyle w:val="15"/>
        <w:snapToGrid w:val="0"/>
        <w:spacing w:before="120" w:after="12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乙方：（</w:t>
      </w:r>
      <w:r>
        <w:rPr>
          <w:rFonts w:hint="eastAsia" w:hAnsi="宋体" w:cs="宋体"/>
          <w:sz w:val="24"/>
          <w:szCs w:val="24"/>
          <w:highlight w:val="none"/>
          <w:lang w:eastAsia="zh-CN"/>
        </w:rPr>
        <w:t>成交</w:t>
      </w:r>
      <w:r>
        <w:rPr>
          <w:rFonts w:hint="eastAsia" w:ascii="宋体" w:hAnsi="宋体" w:eastAsia="宋体" w:cs="宋体"/>
          <w:sz w:val="24"/>
          <w:szCs w:val="24"/>
          <w:highlight w:val="none"/>
        </w:rPr>
        <w:t xml:space="preserve">供应商） </w:t>
      </w:r>
      <w:r>
        <w:rPr>
          <w:rFonts w:hint="eastAsia" w:hAnsi="宋体" w:cs="宋体"/>
          <w:sz w:val="24"/>
          <w:szCs w:val="24"/>
          <w:highlight w:val="none"/>
          <w:lang w:val="en-US" w:eastAsia="zh-CN"/>
        </w:rPr>
        <w:t xml:space="preserve"> </w:t>
      </w:r>
      <w:r>
        <w:rPr>
          <w:rFonts w:hint="eastAsia" w:ascii="宋体" w:hAnsi="宋体" w:eastAsia="宋体" w:cs="宋体"/>
          <w:sz w:val="24"/>
          <w:szCs w:val="24"/>
          <w:highlight w:val="none"/>
        </w:rPr>
        <w:t xml:space="preserve">                                                       </w:t>
      </w:r>
    </w:p>
    <w:p w14:paraId="278DFCA1">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sz w:val="24"/>
          <w:szCs w:val="24"/>
          <w:highlight w:val="none"/>
        </w:rPr>
      </w:pPr>
      <w:r>
        <w:rPr>
          <w:rFonts w:hint="eastAsia" w:ascii="宋体" w:hAnsi="宋体" w:eastAsia="宋体" w:cs="宋体"/>
          <w:sz w:val="24"/>
          <w:szCs w:val="24"/>
          <w:highlight w:val="none"/>
        </w:rPr>
        <w:t>甲、乙双方根据</w:t>
      </w:r>
      <w:r>
        <w:rPr>
          <w:rFonts w:hint="eastAsia" w:hAnsi="宋体" w:cs="宋体"/>
          <w:b/>
          <w:bCs/>
          <w:sz w:val="24"/>
          <w:szCs w:val="24"/>
          <w:highlight w:val="none"/>
          <w:lang w:eastAsia="zh-CN"/>
        </w:rPr>
        <w:t>海虹街道中心幼儿园（翡翠云邸）幼儿家具采购项目</w:t>
      </w:r>
      <w:r>
        <w:rPr>
          <w:rFonts w:hint="eastAsia" w:ascii="宋体" w:hAnsi="宋体" w:cs="宋体"/>
          <w:b/>
          <w:bCs/>
          <w:sz w:val="24"/>
          <w:szCs w:val="24"/>
          <w:highlight w:val="none"/>
          <w:lang w:eastAsia="zh-CN"/>
        </w:rPr>
        <w:t>（项目编号：</w:t>
      </w:r>
      <w:r>
        <w:rPr>
          <w:rFonts w:hint="eastAsia" w:hAnsi="宋体" w:cs="宋体"/>
          <w:b/>
          <w:bCs/>
          <w:sz w:val="24"/>
          <w:szCs w:val="24"/>
          <w:highlight w:val="none"/>
          <w:lang w:eastAsia="zh-CN"/>
        </w:rPr>
        <w:t>TZYY-2506-005号</w:t>
      </w:r>
      <w:r>
        <w:rPr>
          <w:rFonts w:hint="eastAsia" w:ascii="宋体" w:hAnsi="宋体" w:cs="宋体"/>
          <w:b/>
          <w:bCs/>
          <w:sz w:val="24"/>
          <w:szCs w:val="24"/>
          <w:highlight w:val="none"/>
          <w:lang w:eastAsia="zh-CN"/>
        </w:rPr>
        <w:t>）</w:t>
      </w:r>
      <w:r>
        <w:rPr>
          <w:rFonts w:hint="eastAsia" w:ascii="宋体" w:hAnsi="宋体" w:eastAsia="宋体" w:cs="宋体"/>
          <w:sz w:val="24"/>
          <w:szCs w:val="24"/>
          <w:highlight w:val="none"/>
        </w:rPr>
        <w:t>的成交结果，签署本合同。</w:t>
      </w:r>
    </w:p>
    <w:p w14:paraId="18234569">
      <w:pPr>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ascii="宋体"/>
          <w:b/>
          <w:bCs/>
          <w:color w:val="000000"/>
          <w:sz w:val="24"/>
          <w:szCs w:val="24"/>
          <w:highlight w:val="none"/>
          <w:lang w:val="zh-CN"/>
        </w:rPr>
      </w:pPr>
      <w:bookmarkStart w:id="42" w:name="_Toc12640"/>
      <w:r>
        <w:rPr>
          <w:rFonts w:hint="eastAsia" w:ascii="宋体"/>
          <w:b/>
          <w:bCs/>
          <w:color w:val="000000"/>
          <w:sz w:val="24"/>
          <w:szCs w:val="24"/>
          <w:highlight w:val="none"/>
          <w:lang w:val="zh-CN"/>
        </w:rPr>
        <w:t>合同文件：</w:t>
      </w:r>
      <w:bookmarkEnd w:id="42"/>
      <w:r>
        <w:rPr>
          <w:rFonts w:hint="eastAsia" w:ascii="宋体"/>
          <w:b/>
          <w:bCs/>
          <w:color w:val="000000"/>
          <w:sz w:val="24"/>
          <w:szCs w:val="24"/>
          <w:highlight w:val="none"/>
          <w:lang w:val="zh-CN"/>
        </w:rPr>
        <w:t xml:space="preserve"> </w:t>
      </w:r>
    </w:p>
    <w:p w14:paraId="6914B2C4">
      <w:pPr>
        <w:keepNext w:val="0"/>
        <w:keepLines w:val="0"/>
        <w:pageBreakBefore w:val="0"/>
        <w:numPr>
          <w:ilvl w:val="0"/>
          <w:numId w:val="62"/>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color w:val="000000"/>
          <w:sz w:val="24"/>
          <w:szCs w:val="24"/>
          <w:highlight w:val="none"/>
          <w:lang w:val="zh-CN"/>
        </w:rPr>
      </w:pPr>
      <w:r>
        <w:rPr>
          <w:rFonts w:hint="eastAsia" w:ascii="宋体"/>
          <w:color w:val="000000"/>
          <w:sz w:val="24"/>
          <w:szCs w:val="24"/>
          <w:highlight w:val="none"/>
          <w:lang w:val="zh-CN"/>
        </w:rPr>
        <w:t>合同条款。</w:t>
      </w:r>
    </w:p>
    <w:p w14:paraId="1CB88B3D">
      <w:pPr>
        <w:keepNext w:val="0"/>
        <w:keepLines w:val="0"/>
        <w:pageBreakBefore w:val="0"/>
        <w:numPr>
          <w:ilvl w:val="0"/>
          <w:numId w:val="62"/>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color w:val="000000"/>
          <w:sz w:val="24"/>
          <w:szCs w:val="24"/>
          <w:highlight w:val="none"/>
          <w:lang w:val="zh-CN"/>
        </w:rPr>
      </w:pPr>
      <w:r>
        <w:rPr>
          <w:rFonts w:hint="eastAsia" w:ascii="宋体"/>
          <w:color w:val="000000"/>
          <w:sz w:val="24"/>
          <w:szCs w:val="24"/>
          <w:highlight w:val="none"/>
          <w:lang w:val="zh-CN"/>
        </w:rPr>
        <w:t>成交通知书。</w:t>
      </w:r>
    </w:p>
    <w:p w14:paraId="3B3007DD">
      <w:pPr>
        <w:keepNext w:val="0"/>
        <w:keepLines w:val="0"/>
        <w:pageBreakBefore w:val="0"/>
        <w:numPr>
          <w:ilvl w:val="0"/>
          <w:numId w:val="62"/>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color w:val="000000"/>
          <w:sz w:val="24"/>
          <w:szCs w:val="24"/>
          <w:highlight w:val="none"/>
          <w:lang w:val="zh-CN"/>
        </w:rPr>
      </w:pPr>
      <w:r>
        <w:rPr>
          <w:rFonts w:hint="eastAsia" w:ascii="宋体"/>
          <w:color w:val="000000"/>
          <w:sz w:val="24"/>
          <w:szCs w:val="24"/>
          <w:highlight w:val="none"/>
          <w:lang w:val="zh-CN"/>
        </w:rPr>
        <w:t>更正补充文件。</w:t>
      </w:r>
    </w:p>
    <w:p w14:paraId="7F03DFA3">
      <w:pPr>
        <w:keepNext w:val="0"/>
        <w:keepLines w:val="0"/>
        <w:pageBreakBefore w:val="0"/>
        <w:numPr>
          <w:ilvl w:val="0"/>
          <w:numId w:val="62"/>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color w:val="000000"/>
          <w:sz w:val="24"/>
          <w:szCs w:val="24"/>
          <w:highlight w:val="none"/>
          <w:lang w:val="zh-CN"/>
        </w:rPr>
      </w:pPr>
      <w:r>
        <w:rPr>
          <w:rFonts w:hint="eastAsia" w:ascii="宋体"/>
          <w:color w:val="000000"/>
          <w:sz w:val="24"/>
          <w:szCs w:val="24"/>
          <w:highlight w:val="none"/>
          <w:lang w:val="zh-CN"/>
        </w:rPr>
        <w:t>招标文件。</w:t>
      </w:r>
    </w:p>
    <w:p w14:paraId="41892EA5">
      <w:pPr>
        <w:keepNext w:val="0"/>
        <w:keepLines w:val="0"/>
        <w:pageBreakBefore w:val="0"/>
        <w:numPr>
          <w:ilvl w:val="0"/>
          <w:numId w:val="62"/>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color w:val="000000"/>
          <w:sz w:val="24"/>
          <w:szCs w:val="24"/>
          <w:highlight w:val="none"/>
          <w:lang w:val="zh-CN"/>
        </w:rPr>
      </w:pPr>
      <w:r>
        <w:rPr>
          <w:rFonts w:hint="eastAsia" w:ascii="宋体"/>
          <w:color w:val="000000"/>
          <w:sz w:val="24"/>
          <w:szCs w:val="24"/>
          <w:highlight w:val="none"/>
          <w:lang w:val="zh-CN"/>
        </w:rPr>
        <w:t>成交供应商响应文件。</w:t>
      </w:r>
    </w:p>
    <w:p w14:paraId="30E81EEB">
      <w:pPr>
        <w:keepNext w:val="0"/>
        <w:keepLines w:val="0"/>
        <w:pageBreakBefore w:val="0"/>
        <w:numPr>
          <w:ilvl w:val="0"/>
          <w:numId w:val="62"/>
        </w:numPr>
        <w:kinsoku/>
        <w:wordWrap/>
        <w:overflowPunct/>
        <w:topLinePunct w:val="0"/>
        <w:autoSpaceDE/>
        <w:autoSpaceDN/>
        <w:bidi w:val="0"/>
        <w:adjustRightInd/>
        <w:snapToGrid/>
        <w:spacing w:line="360" w:lineRule="auto"/>
        <w:ind w:left="0" w:leftChars="0" w:firstLine="480" w:firstLineChars="200"/>
        <w:jc w:val="left"/>
        <w:textAlignment w:val="auto"/>
        <w:rPr>
          <w:rFonts w:ascii="宋体"/>
          <w:color w:val="000000"/>
          <w:sz w:val="24"/>
          <w:szCs w:val="24"/>
          <w:highlight w:val="none"/>
          <w:lang w:val="zh-CN"/>
        </w:rPr>
      </w:pPr>
      <w:r>
        <w:rPr>
          <w:rFonts w:hint="eastAsia" w:ascii="宋体"/>
          <w:color w:val="000000"/>
          <w:sz w:val="24"/>
          <w:szCs w:val="24"/>
          <w:highlight w:val="none"/>
          <w:lang w:val="zh-CN"/>
        </w:rPr>
        <w:t>其他。</w:t>
      </w:r>
    </w:p>
    <w:p w14:paraId="2D20B664">
      <w:pPr>
        <w:pStyle w:val="15"/>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sz w:val="24"/>
          <w:szCs w:val="24"/>
          <w:highlight w:val="none"/>
        </w:rPr>
      </w:pPr>
      <w:r>
        <w:rPr>
          <w:rFonts w:hint="eastAsia"/>
          <w:color w:val="000000"/>
          <w:sz w:val="24"/>
          <w:szCs w:val="24"/>
          <w:highlight w:val="none"/>
          <w:lang w:val="zh-CN"/>
        </w:rPr>
        <w:t>上述所指合同文件应认为是互相补充和解释的，但是有模棱两可或互相矛盾之处，以其所列内容顺序为准。</w:t>
      </w:r>
    </w:p>
    <w:p w14:paraId="69773C58">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sz w:val="24"/>
          <w:szCs w:val="24"/>
          <w:highlight w:val="none"/>
        </w:rPr>
      </w:pPr>
      <w:bookmarkStart w:id="43" w:name="_Toc24615"/>
      <w:r>
        <w:rPr>
          <w:rFonts w:hint="eastAsia" w:ascii="宋体" w:hAnsi="宋体" w:eastAsia="宋体" w:cs="宋体"/>
          <w:b/>
          <w:sz w:val="24"/>
          <w:szCs w:val="24"/>
          <w:highlight w:val="none"/>
        </w:rPr>
        <w:t>货物内容</w:t>
      </w:r>
      <w:bookmarkEnd w:id="43"/>
    </w:p>
    <w:p w14:paraId="06D29DDD">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44" w:name="_Toc16718"/>
      <w:r>
        <w:rPr>
          <w:rFonts w:hint="eastAsia" w:ascii="宋体" w:hAnsi="宋体" w:eastAsia="宋体" w:cs="宋体"/>
          <w:b/>
          <w:sz w:val="24"/>
          <w:szCs w:val="24"/>
          <w:highlight w:val="none"/>
        </w:rPr>
        <w:t>合同金额</w:t>
      </w:r>
      <w:bookmarkEnd w:id="44"/>
    </w:p>
    <w:p w14:paraId="396582EF">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hAnsi="宋体" w:cs="宋体"/>
          <w:color w:val="auto"/>
          <w:sz w:val="24"/>
          <w:szCs w:val="24"/>
          <w:highlight w:val="none"/>
          <w:lang w:val="en-US" w:eastAsia="zh-CN"/>
        </w:rPr>
        <w:t>本项目预算金额：33万元，合同履行过程中单价不变，数量按实结算。结算单价</w:t>
      </w:r>
      <w:r>
        <w:rPr>
          <w:rFonts w:hint="eastAsia" w:ascii="宋体" w:hAnsi="宋体" w:eastAsia="宋体" w:cs="宋体"/>
          <w:color w:val="auto"/>
          <w:sz w:val="24"/>
          <w:szCs w:val="24"/>
          <w:highlight w:val="none"/>
        </w:rPr>
        <w:t>包括货款、标准附件、包装、运输、装卸、保险、税金、合同包含的所有风险责任等有关的一切费用和价款。</w:t>
      </w:r>
    </w:p>
    <w:p w14:paraId="0BC1760F">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45" w:name="_Toc345"/>
      <w:r>
        <w:rPr>
          <w:rFonts w:hint="eastAsia" w:ascii="宋体" w:hAnsi="宋体" w:eastAsia="宋体" w:cs="宋体"/>
          <w:b/>
          <w:sz w:val="24"/>
          <w:szCs w:val="24"/>
          <w:highlight w:val="none"/>
        </w:rPr>
        <w:t>技术资料</w:t>
      </w:r>
      <w:bookmarkEnd w:id="45"/>
    </w:p>
    <w:p w14:paraId="2584D15F">
      <w:pPr>
        <w:pStyle w:val="15"/>
        <w:keepNext w:val="0"/>
        <w:keepLines w:val="0"/>
        <w:pageBreakBefore w:val="0"/>
        <w:numPr>
          <w:ilvl w:val="0"/>
          <w:numId w:val="63"/>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乙方应按</w:t>
      </w:r>
      <w:r>
        <w:rPr>
          <w:rFonts w:hint="eastAsia" w:hAnsi="宋体" w:cs="宋体"/>
          <w:sz w:val="24"/>
          <w:szCs w:val="24"/>
          <w:highlight w:val="none"/>
          <w:lang w:eastAsia="zh-CN"/>
        </w:rPr>
        <w:t>招标文件</w:t>
      </w:r>
      <w:r>
        <w:rPr>
          <w:rFonts w:hint="eastAsia" w:ascii="宋体" w:hAnsi="宋体" w:eastAsia="宋体" w:cs="宋体"/>
          <w:sz w:val="24"/>
          <w:szCs w:val="24"/>
          <w:highlight w:val="none"/>
        </w:rPr>
        <w:t>规定的时间向甲方提供使用货物的有关技术资料。</w:t>
      </w:r>
    </w:p>
    <w:p w14:paraId="5BF99043">
      <w:pPr>
        <w:pStyle w:val="15"/>
        <w:keepNext w:val="0"/>
        <w:keepLines w:val="0"/>
        <w:pageBreakBefore w:val="0"/>
        <w:numPr>
          <w:ilvl w:val="0"/>
          <w:numId w:val="63"/>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46C9AEC">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46" w:name="_Toc21220"/>
      <w:r>
        <w:rPr>
          <w:rFonts w:hint="eastAsia" w:ascii="宋体" w:hAnsi="宋体" w:eastAsia="宋体" w:cs="宋体"/>
          <w:b/>
          <w:sz w:val="24"/>
          <w:szCs w:val="24"/>
          <w:highlight w:val="none"/>
        </w:rPr>
        <w:t>知识产权</w:t>
      </w:r>
      <w:bookmarkEnd w:id="46"/>
    </w:p>
    <w:p w14:paraId="2D51A69A">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乙方应保证所提供的货物或其任何一部分均不会侵犯任何第三方的知识产权</w:t>
      </w:r>
      <w:r>
        <w:rPr>
          <w:rFonts w:hint="eastAsia" w:ascii="宋体" w:hAnsi="宋体" w:eastAsia="宋体" w:cs="宋体"/>
          <w:bCs/>
          <w:sz w:val="24"/>
          <w:szCs w:val="24"/>
          <w:highlight w:val="none"/>
        </w:rPr>
        <w:t>。若乙方交付的货物侵犯了第三方产权或存在产权瑕疵，由此可能发生的一切法律责任及费用均由乙方承担，与甲方无关。</w:t>
      </w:r>
    </w:p>
    <w:p w14:paraId="22DAB2D2">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sz w:val="24"/>
          <w:szCs w:val="24"/>
          <w:highlight w:val="none"/>
          <w:u w:val="single"/>
        </w:rPr>
      </w:pPr>
      <w:bookmarkStart w:id="47" w:name="_Toc13486"/>
      <w:r>
        <w:rPr>
          <w:rFonts w:hint="eastAsia" w:ascii="宋体" w:hAnsi="宋体" w:eastAsia="宋体" w:cs="宋体"/>
          <w:b/>
          <w:sz w:val="24"/>
          <w:szCs w:val="24"/>
          <w:highlight w:val="none"/>
        </w:rPr>
        <w:t>产权担保</w:t>
      </w:r>
      <w:bookmarkEnd w:id="47"/>
    </w:p>
    <w:p w14:paraId="6ECE95A3">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乙方保证所交付的货物的所有权完全属于乙方且无任何抵押、查封等产权瑕疵。</w:t>
      </w:r>
    </w:p>
    <w:p w14:paraId="6A2E845B">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48" w:name="_Toc25141"/>
      <w:r>
        <w:rPr>
          <w:rFonts w:hint="eastAsia" w:ascii="宋体" w:hAnsi="宋体" w:eastAsia="宋体" w:cs="宋体"/>
          <w:b/>
          <w:sz w:val="24"/>
          <w:szCs w:val="24"/>
          <w:highlight w:val="none"/>
        </w:rPr>
        <w:t>转包或分包</w:t>
      </w:r>
      <w:bookmarkEnd w:id="48"/>
    </w:p>
    <w:p w14:paraId="4D3E3E1E">
      <w:pPr>
        <w:keepNext w:val="0"/>
        <w:keepLines w:val="0"/>
        <w:pageBreakBefore w:val="0"/>
        <w:numPr>
          <w:ilvl w:val="0"/>
          <w:numId w:val="64"/>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本合同范围的货物，应由乙方直接供应，不得转让他人供应；</w:t>
      </w:r>
    </w:p>
    <w:p w14:paraId="54269DC8">
      <w:pPr>
        <w:keepNext w:val="0"/>
        <w:keepLines w:val="0"/>
        <w:pageBreakBefore w:val="0"/>
        <w:numPr>
          <w:ilvl w:val="0"/>
          <w:numId w:val="64"/>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本合同范围的货物</w:t>
      </w:r>
      <w:r>
        <w:rPr>
          <w:rFonts w:hint="eastAsia" w:ascii="宋体" w:hAnsi="宋体" w:eastAsia="宋体" w:cs="宋体"/>
          <w:sz w:val="24"/>
          <w:szCs w:val="24"/>
          <w:highlight w:val="none"/>
          <w:lang w:val="en-US" w:eastAsia="zh-CN"/>
        </w:rPr>
        <w:t>不允许分包</w:t>
      </w:r>
      <w:r>
        <w:rPr>
          <w:rFonts w:hint="eastAsia" w:ascii="宋体" w:hAnsi="宋体" w:eastAsia="宋体" w:cs="宋体"/>
          <w:sz w:val="24"/>
          <w:szCs w:val="24"/>
          <w:highlight w:val="none"/>
        </w:rPr>
        <w:t>；</w:t>
      </w:r>
    </w:p>
    <w:p w14:paraId="709D992D">
      <w:pPr>
        <w:keepNext w:val="0"/>
        <w:keepLines w:val="0"/>
        <w:pageBreakBefore w:val="0"/>
        <w:numPr>
          <w:ilvl w:val="0"/>
          <w:numId w:val="64"/>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如有转让和分包行为，甲方有权解除合同</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并要求乙方承担本合同金额5％的违约责任。</w:t>
      </w:r>
    </w:p>
    <w:p w14:paraId="1AB6F3E7">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49" w:name="_Toc32355"/>
      <w:r>
        <w:rPr>
          <w:rFonts w:hint="eastAsia" w:ascii="宋体" w:hAnsi="宋体" w:eastAsia="宋体" w:cs="宋体"/>
          <w:b/>
          <w:sz w:val="24"/>
          <w:szCs w:val="24"/>
          <w:highlight w:val="none"/>
        </w:rPr>
        <w:t>交货期及交货地点</w:t>
      </w:r>
      <w:bookmarkEnd w:id="49"/>
    </w:p>
    <w:p w14:paraId="660DFDAA">
      <w:pPr>
        <w:pStyle w:val="15"/>
        <w:keepNext w:val="0"/>
        <w:keepLines w:val="0"/>
        <w:pageBreakBefore w:val="0"/>
        <w:numPr>
          <w:ilvl w:val="0"/>
          <w:numId w:val="65"/>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Cs/>
          <w:color w:val="000000"/>
          <w:sz w:val="24"/>
          <w:szCs w:val="24"/>
          <w:highlight w:val="none"/>
        </w:rPr>
      </w:pPr>
      <w:r>
        <w:rPr>
          <w:rFonts w:hint="eastAsia" w:ascii="宋体" w:hAnsi="宋体" w:eastAsia="宋体" w:cs="宋体"/>
          <w:bCs/>
          <w:sz w:val="24"/>
          <w:szCs w:val="24"/>
          <w:highlight w:val="none"/>
        </w:rPr>
        <w:t>交货期：</w:t>
      </w:r>
      <w:r>
        <w:rPr>
          <w:rFonts w:hint="eastAsia" w:hAnsi="宋体" w:cs="宋体"/>
          <w:color w:val="000000"/>
          <w:sz w:val="24"/>
          <w:szCs w:val="24"/>
          <w:highlight w:val="none"/>
          <w:lang w:val="en-US" w:eastAsia="zh-CN"/>
        </w:rPr>
        <w:t xml:space="preserve"> </w:t>
      </w:r>
    </w:p>
    <w:p w14:paraId="5184CCFC">
      <w:pPr>
        <w:pStyle w:val="15"/>
        <w:keepNext w:val="0"/>
        <w:keepLines w:val="0"/>
        <w:pageBreakBefore w:val="0"/>
        <w:numPr>
          <w:ilvl w:val="0"/>
          <w:numId w:val="65"/>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color w:val="000000"/>
          <w:sz w:val="24"/>
          <w:szCs w:val="24"/>
          <w:highlight w:val="none"/>
        </w:rPr>
      </w:pPr>
      <w:r>
        <w:rPr>
          <w:rFonts w:hint="eastAsia" w:ascii="宋体" w:hAnsi="宋体" w:eastAsia="宋体" w:cs="宋体"/>
          <w:bCs/>
          <w:color w:val="000000"/>
          <w:sz w:val="24"/>
          <w:szCs w:val="24"/>
          <w:highlight w:val="none"/>
        </w:rPr>
        <w:t>交货地点：</w:t>
      </w:r>
    </w:p>
    <w:p w14:paraId="5DEF98E3">
      <w:pPr>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50" w:name="_Toc27733"/>
      <w:r>
        <w:rPr>
          <w:rFonts w:hint="eastAsia" w:ascii="宋体" w:hAnsi="宋体" w:eastAsia="宋体" w:cs="宋体"/>
          <w:b/>
          <w:sz w:val="24"/>
          <w:szCs w:val="24"/>
          <w:highlight w:val="none"/>
        </w:rPr>
        <w:t>税费</w:t>
      </w:r>
      <w:bookmarkEnd w:id="50"/>
    </w:p>
    <w:p w14:paraId="7FCDE28B">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本合同执行中相关的一切税费均由乙方负担。</w:t>
      </w:r>
    </w:p>
    <w:p w14:paraId="716266FB">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color w:val="auto"/>
          <w:sz w:val="24"/>
          <w:szCs w:val="24"/>
          <w:highlight w:val="none"/>
        </w:rPr>
      </w:pPr>
      <w:bookmarkStart w:id="51" w:name="_Toc11907"/>
      <w:r>
        <w:rPr>
          <w:rFonts w:hint="eastAsia" w:ascii="宋体" w:hAnsi="宋体" w:eastAsia="宋体" w:cs="宋体"/>
          <w:b/>
          <w:color w:val="auto"/>
          <w:sz w:val="24"/>
          <w:szCs w:val="24"/>
          <w:highlight w:val="none"/>
        </w:rPr>
        <w:t>货物包装、发运及运输</w:t>
      </w:r>
      <w:bookmarkEnd w:id="51"/>
    </w:p>
    <w:p w14:paraId="511271BA">
      <w:pPr>
        <w:pStyle w:val="15"/>
        <w:keepNext w:val="0"/>
        <w:keepLines w:val="0"/>
        <w:pageBreakBefore w:val="0"/>
        <w:numPr>
          <w:ilvl w:val="0"/>
          <w:numId w:val="6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乙方应在货物发运前对其进行满足运输距离、防潮、防震、防锈和防破损装卸等要求包装，以保证货物安全运达甲方指定地点。</w:t>
      </w:r>
    </w:p>
    <w:p w14:paraId="2743B95E">
      <w:pPr>
        <w:pStyle w:val="15"/>
        <w:keepNext w:val="0"/>
        <w:keepLines w:val="0"/>
        <w:pageBreakBefore w:val="0"/>
        <w:numPr>
          <w:ilvl w:val="0"/>
          <w:numId w:val="6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使用说明书、质量检验证明书、随配附件和工具以及清单一并附于货物内。</w:t>
      </w:r>
    </w:p>
    <w:p w14:paraId="423322DD">
      <w:pPr>
        <w:pStyle w:val="15"/>
        <w:keepNext w:val="0"/>
        <w:keepLines w:val="0"/>
        <w:pageBreakBefore w:val="0"/>
        <w:numPr>
          <w:ilvl w:val="0"/>
          <w:numId w:val="6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乙方在货物发运手续办理完毕后24小时内或货到甲方48小时前通知甲方，以准备接货。</w:t>
      </w:r>
    </w:p>
    <w:p w14:paraId="00D60860">
      <w:pPr>
        <w:pStyle w:val="15"/>
        <w:keepNext w:val="0"/>
        <w:keepLines w:val="0"/>
        <w:pageBreakBefore w:val="0"/>
        <w:numPr>
          <w:ilvl w:val="0"/>
          <w:numId w:val="6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货物在交付甲方前发生的风险均由乙方负责。</w:t>
      </w:r>
    </w:p>
    <w:p w14:paraId="4C11E4CE">
      <w:pPr>
        <w:pStyle w:val="15"/>
        <w:keepNext w:val="0"/>
        <w:keepLines w:val="0"/>
        <w:pageBreakBefore w:val="0"/>
        <w:numPr>
          <w:ilvl w:val="0"/>
          <w:numId w:val="6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货物在规定的交付期限内由乙方送达甲方指定的地点视为交付，乙方同时需通知甲方货物已送达。</w:t>
      </w:r>
    </w:p>
    <w:p w14:paraId="5D6F65A3">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color w:val="auto"/>
          <w:sz w:val="24"/>
          <w:szCs w:val="24"/>
          <w:highlight w:val="none"/>
        </w:rPr>
      </w:pPr>
      <w:bookmarkStart w:id="52" w:name="_Toc12167"/>
      <w:r>
        <w:rPr>
          <w:rFonts w:hint="eastAsia" w:ascii="宋体" w:hAnsi="宋体" w:eastAsia="宋体" w:cs="宋体"/>
          <w:b/>
          <w:color w:val="auto"/>
          <w:sz w:val="24"/>
          <w:szCs w:val="24"/>
          <w:highlight w:val="none"/>
        </w:rPr>
        <w:t>违约责任</w:t>
      </w:r>
      <w:bookmarkEnd w:id="52"/>
    </w:p>
    <w:p w14:paraId="083B5C08">
      <w:pPr>
        <w:pStyle w:val="15"/>
        <w:keepNext w:val="0"/>
        <w:keepLines w:val="0"/>
        <w:pageBreakBefore w:val="0"/>
        <w:numPr>
          <w:ilvl w:val="0"/>
          <w:numId w:val="67"/>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甲方无正当理由拒收货物的，甲方向乙方偿付拒收货款总值的</w:t>
      </w:r>
      <w:r>
        <w:rPr>
          <w:rFonts w:hint="eastAsia" w:hAnsi="宋体" w:cs="宋体"/>
          <w:color w:val="auto"/>
          <w:sz w:val="24"/>
          <w:szCs w:val="24"/>
          <w:highlight w:val="none"/>
          <w:lang w:eastAsia="zh-CN"/>
        </w:rPr>
        <w:t>5%</w:t>
      </w:r>
      <w:r>
        <w:rPr>
          <w:rFonts w:hint="eastAsia" w:ascii="宋体" w:hAnsi="宋体" w:eastAsia="宋体" w:cs="宋体"/>
          <w:color w:val="auto"/>
          <w:sz w:val="24"/>
          <w:szCs w:val="24"/>
          <w:highlight w:val="none"/>
        </w:rPr>
        <w:t>违约金。</w:t>
      </w:r>
    </w:p>
    <w:p w14:paraId="79B93DF3">
      <w:pPr>
        <w:pStyle w:val="15"/>
        <w:keepNext w:val="0"/>
        <w:keepLines w:val="0"/>
        <w:pageBreakBefore w:val="0"/>
        <w:numPr>
          <w:ilvl w:val="0"/>
          <w:numId w:val="67"/>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乙方逾期交付货物的，乙方应按逾期交货总额每日</w:t>
      </w:r>
      <w:r>
        <w:rPr>
          <w:rFonts w:hint="eastAsia" w:ascii="宋体" w:hAnsi="宋体" w:eastAsia="宋体" w:cs="宋体"/>
          <w:color w:val="auto"/>
          <w:sz w:val="24"/>
          <w:szCs w:val="24"/>
          <w:highlight w:val="none"/>
          <w:u w:val="single"/>
        </w:rPr>
        <w:t>万分之五</w:t>
      </w:r>
      <w:r>
        <w:rPr>
          <w:rFonts w:hint="eastAsia" w:ascii="宋体" w:hAnsi="宋体" w:eastAsia="宋体" w:cs="宋体"/>
          <w:color w:val="auto"/>
          <w:sz w:val="24"/>
          <w:szCs w:val="24"/>
          <w:highlight w:val="none"/>
        </w:rPr>
        <w:t>向甲方支付违约金，由甲方从待付货款中扣除。逾期超过约定日期</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个工作日不能交货的，甲方可解除本合同。乙方因逾期交货或因其他违约行为导致甲方解除合同的，乙方应向甲方偿还已支付的金额</w:t>
      </w:r>
      <w:r>
        <w:rPr>
          <w:rFonts w:hint="eastAsia" w:hAnsi="宋体" w:cs="宋体"/>
          <w:color w:val="auto"/>
          <w:sz w:val="24"/>
          <w:szCs w:val="24"/>
          <w:highlight w:val="none"/>
          <w:lang w:eastAsia="zh-CN"/>
        </w:rPr>
        <w:t>，并向甲方支付合同总值5%的违约金。</w:t>
      </w:r>
      <w:r>
        <w:rPr>
          <w:rFonts w:hint="eastAsia" w:ascii="宋体" w:hAnsi="宋体" w:eastAsia="宋体" w:cs="宋体"/>
          <w:color w:val="auto"/>
          <w:sz w:val="24"/>
          <w:szCs w:val="24"/>
          <w:highlight w:val="none"/>
        </w:rPr>
        <w:t xml:space="preserve">如造成甲方损失超过违约金的，超出部分由乙方继续承担赔偿责任。 </w:t>
      </w:r>
    </w:p>
    <w:p w14:paraId="0D5FC2B1">
      <w:pPr>
        <w:pStyle w:val="15"/>
        <w:keepNext w:val="0"/>
        <w:keepLines w:val="0"/>
        <w:pageBreakBefore w:val="0"/>
        <w:numPr>
          <w:ilvl w:val="0"/>
          <w:numId w:val="67"/>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乙方所交的货物品种、型号、规格、技术参数、质量不符</w:t>
      </w:r>
      <w:r>
        <w:rPr>
          <w:rFonts w:hint="eastAsia" w:ascii="宋体" w:hAnsi="宋体" w:eastAsia="宋体" w:cs="宋体"/>
          <w:sz w:val="24"/>
          <w:szCs w:val="24"/>
          <w:highlight w:val="none"/>
        </w:rPr>
        <w:t>合合同规定及</w:t>
      </w:r>
      <w:r>
        <w:rPr>
          <w:rFonts w:hint="eastAsia" w:hAnsi="宋体" w:cs="宋体"/>
          <w:sz w:val="24"/>
          <w:szCs w:val="24"/>
          <w:highlight w:val="none"/>
          <w:lang w:eastAsia="zh-CN"/>
        </w:rPr>
        <w:t>招标文件</w:t>
      </w:r>
      <w:r>
        <w:rPr>
          <w:rFonts w:hint="eastAsia" w:ascii="宋体" w:hAnsi="宋体" w:eastAsia="宋体" w:cs="宋体"/>
          <w:sz w:val="24"/>
          <w:szCs w:val="24"/>
          <w:highlight w:val="none"/>
        </w:rPr>
        <w:t>规定标准的，甲方有权拒收该货物，乙方愿意更换货物但逾期交货的，按乙方逾期交货处理。乙方拒绝更换货物的，甲方可单方面解除合同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乙方应向甲方偿还已支付的金额</w:t>
      </w:r>
      <w:r>
        <w:rPr>
          <w:rFonts w:hint="eastAsia" w:hAnsi="宋体" w:cs="宋体"/>
          <w:sz w:val="24"/>
          <w:szCs w:val="24"/>
          <w:highlight w:val="none"/>
          <w:lang w:eastAsia="zh-CN"/>
        </w:rPr>
        <w:t>，并向甲方支付合同总值5%的违约金。</w:t>
      </w:r>
      <w:r>
        <w:rPr>
          <w:rFonts w:hint="eastAsia" w:ascii="宋体" w:hAnsi="宋体" w:eastAsia="宋体" w:cs="宋体"/>
          <w:sz w:val="24"/>
          <w:szCs w:val="24"/>
          <w:highlight w:val="none"/>
        </w:rPr>
        <w:t>如造成甲方损失超过违约金的，超出部分由乙方继续承担赔偿责任。</w:t>
      </w:r>
    </w:p>
    <w:p w14:paraId="4737C1DD">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53" w:name="_Toc1204"/>
      <w:r>
        <w:rPr>
          <w:rFonts w:hint="eastAsia" w:ascii="宋体" w:hAnsi="宋体" w:eastAsia="宋体" w:cs="宋体"/>
          <w:b/>
          <w:sz w:val="24"/>
          <w:szCs w:val="24"/>
          <w:highlight w:val="none"/>
        </w:rPr>
        <w:t>不可抗力事件处理</w:t>
      </w:r>
      <w:bookmarkEnd w:id="53"/>
    </w:p>
    <w:p w14:paraId="3B5CBCC2">
      <w:pPr>
        <w:pStyle w:val="15"/>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在合同有效期内，任何一方因不可抗力事件导致不能履行合同，双方应通过友好协商，确定是否继续履行合同。</w:t>
      </w:r>
    </w:p>
    <w:p w14:paraId="44C4F9CB">
      <w:pPr>
        <w:pStyle w:val="15"/>
        <w:keepNext w:val="0"/>
        <w:keepLines w:val="0"/>
        <w:pageBreakBefore w:val="0"/>
        <w:numPr>
          <w:ilvl w:val="0"/>
          <w:numId w:val="61"/>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54" w:name="_Toc4336"/>
      <w:r>
        <w:rPr>
          <w:rFonts w:hint="eastAsia" w:ascii="宋体" w:hAnsi="宋体" w:eastAsia="宋体" w:cs="宋体"/>
          <w:b/>
          <w:sz w:val="24"/>
          <w:szCs w:val="24"/>
          <w:highlight w:val="none"/>
        </w:rPr>
        <w:t>解决争议的方法</w:t>
      </w:r>
      <w:bookmarkEnd w:id="54"/>
    </w:p>
    <w:p w14:paraId="68A65565">
      <w:pPr>
        <w:pStyle w:val="10"/>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kern w:val="0"/>
          <w:sz w:val="24"/>
          <w:szCs w:val="24"/>
          <w:highlight w:val="none"/>
          <w:lang w:val="en-US" w:eastAsia="zh-CN" w:bidi="ar"/>
        </w:rPr>
        <w:t>如双方在履行合同时发生纠纷，应协商解决；</w:t>
      </w:r>
      <w:r>
        <w:rPr>
          <w:rFonts w:ascii="宋体" w:hAnsi="宋体" w:eastAsia="宋体" w:cs="宋体"/>
          <w:kern w:val="0"/>
          <w:sz w:val="24"/>
          <w:szCs w:val="24"/>
          <w:highlight w:val="none"/>
          <w:lang w:val="en-US" w:eastAsia="zh-CN" w:bidi="ar"/>
        </w:rPr>
        <w:t>协商不成时，可通过</w:t>
      </w:r>
      <w:r>
        <w:rPr>
          <w:rFonts w:hint="eastAsia" w:hAnsi="宋体" w:cs="宋体"/>
          <w:kern w:val="0"/>
          <w:sz w:val="24"/>
          <w:szCs w:val="24"/>
          <w:highlight w:val="none"/>
          <w:lang w:val="en-US" w:eastAsia="zh-CN" w:bidi="ar"/>
        </w:rPr>
        <w:t>第（2）种</w:t>
      </w:r>
      <w:r>
        <w:rPr>
          <w:rFonts w:ascii="宋体" w:hAnsi="宋体" w:eastAsia="宋体" w:cs="宋体"/>
          <w:kern w:val="0"/>
          <w:sz w:val="24"/>
          <w:szCs w:val="24"/>
          <w:highlight w:val="none"/>
          <w:lang w:val="en-US" w:eastAsia="zh-CN" w:bidi="ar"/>
        </w:rPr>
        <w:t>方式解决</w:t>
      </w:r>
      <w:r>
        <w:rPr>
          <w:rFonts w:hint="eastAsia" w:ascii="宋体" w:hAnsi="宋体" w:eastAsia="宋体" w:cs="宋体"/>
          <w:color w:val="auto"/>
          <w:sz w:val="24"/>
          <w:szCs w:val="24"/>
          <w:highlight w:val="none"/>
        </w:rPr>
        <w:t>；</w:t>
      </w:r>
    </w:p>
    <w:p w14:paraId="7D02AF41">
      <w:pPr>
        <w:pStyle w:val="10"/>
        <w:keepNext w:val="0"/>
        <w:keepLines w:val="0"/>
        <w:pageBreakBefore w:val="0"/>
        <w:widowControl/>
        <w:numPr>
          <w:ilvl w:val="0"/>
          <w:numId w:val="68"/>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提交</w:t>
      </w:r>
      <w:r>
        <w:rPr>
          <w:rFonts w:hint="eastAsia" w:ascii="宋体" w:hAnsi="宋体" w:eastAsia="宋体" w:cs="宋体"/>
          <w:color w:val="auto"/>
          <w:sz w:val="24"/>
          <w:szCs w:val="24"/>
          <w:highlight w:val="none"/>
          <w:u w:val="single"/>
        </w:rPr>
        <w:t>台州仲裁委员会</w:t>
      </w:r>
      <w:r>
        <w:rPr>
          <w:rFonts w:hint="eastAsia" w:ascii="宋体" w:hAnsi="宋体" w:eastAsia="宋体" w:cs="宋体"/>
          <w:color w:val="auto"/>
          <w:sz w:val="24"/>
          <w:szCs w:val="24"/>
          <w:highlight w:val="none"/>
        </w:rPr>
        <w:t>仲裁</w:t>
      </w:r>
      <w:r>
        <w:rPr>
          <w:rFonts w:hint="eastAsia" w:ascii="宋体" w:hAnsi="宋体" w:eastAsia="宋体" w:cs="宋体"/>
          <w:sz w:val="24"/>
          <w:szCs w:val="24"/>
          <w:highlight w:val="none"/>
        </w:rPr>
        <w:t>。</w:t>
      </w:r>
    </w:p>
    <w:p w14:paraId="03CFEA29">
      <w:pPr>
        <w:pStyle w:val="10"/>
        <w:keepNext w:val="0"/>
        <w:keepLines w:val="0"/>
        <w:pageBreakBefore w:val="0"/>
        <w:widowControl/>
        <w:numPr>
          <w:ilvl w:val="0"/>
          <w:numId w:val="68"/>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依法向</w:t>
      </w:r>
      <w:r>
        <w:rPr>
          <w:rFonts w:hint="eastAsia" w:ascii="宋体" w:hAnsi="宋体" w:cs="宋体"/>
          <w:sz w:val="24"/>
          <w:szCs w:val="24"/>
          <w:highlight w:val="none"/>
          <w:u w:val="single"/>
          <w:lang w:val="en-US" w:eastAsia="zh-CN"/>
        </w:rPr>
        <w:t>甲方所在地</w:t>
      </w:r>
      <w:r>
        <w:rPr>
          <w:rFonts w:hint="eastAsia" w:ascii="宋体" w:hAnsi="宋体" w:eastAsia="宋体" w:cs="宋体"/>
          <w:sz w:val="24"/>
          <w:szCs w:val="24"/>
          <w:highlight w:val="none"/>
          <w:u w:val="single"/>
        </w:rPr>
        <w:t>人民法院</w:t>
      </w:r>
      <w:r>
        <w:rPr>
          <w:rFonts w:hint="eastAsia" w:ascii="宋体" w:hAnsi="宋体" w:eastAsia="宋体" w:cs="宋体"/>
          <w:sz w:val="24"/>
          <w:szCs w:val="24"/>
          <w:highlight w:val="none"/>
        </w:rPr>
        <w:t>提起诉讼。</w:t>
      </w:r>
    </w:p>
    <w:p w14:paraId="75A26F8F">
      <w:pPr>
        <w:pStyle w:val="15"/>
        <w:keepNext w:val="0"/>
        <w:keepLines w:val="0"/>
        <w:pageBreakBefore w:val="0"/>
        <w:numPr>
          <w:ilvl w:val="0"/>
          <w:numId w:val="61"/>
        </w:numPr>
        <w:tabs>
          <w:tab w:val="left" w:pos="5790"/>
        </w:tabs>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sz w:val="24"/>
          <w:szCs w:val="24"/>
          <w:highlight w:val="none"/>
        </w:rPr>
      </w:pPr>
      <w:bookmarkStart w:id="55" w:name="_Toc19369"/>
      <w:r>
        <w:rPr>
          <w:rFonts w:hint="eastAsia" w:ascii="宋体" w:hAnsi="宋体" w:eastAsia="宋体" w:cs="宋体"/>
          <w:b/>
          <w:sz w:val="24"/>
          <w:szCs w:val="24"/>
          <w:highlight w:val="none"/>
        </w:rPr>
        <w:t>合同生效</w:t>
      </w:r>
      <w:r>
        <w:rPr>
          <w:rFonts w:hint="eastAsia" w:hAnsi="宋体" w:cs="宋体"/>
          <w:b/>
          <w:sz w:val="24"/>
          <w:szCs w:val="24"/>
          <w:highlight w:val="none"/>
          <w:lang w:eastAsia="zh-CN"/>
        </w:rPr>
        <w:t>及其他</w:t>
      </w:r>
      <w:bookmarkEnd w:id="55"/>
      <w:r>
        <w:rPr>
          <w:rFonts w:hint="eastAsia" w:ascii="宋体" w:hAnsi="宋体" w:eastAsia="宋体" w:cs="宋体"/>
          <w:b/>
          <w:sz w:val="24"/>
          <w:szCs w:val="24"/>
          <w:highlight w:val="none"/>
        </w:rPr>
        <w:tab/>
      </w:r>
    </w:p>
    <w:p w14:paraId="6E25957F">
      <w:pPr>
        <w:pStyle w:val="10"/>
        <w:keepNext w:val="0"/>
        <w:keepLines w:val="0"/>
        <w:pageBreakBefore w:val="0"/>
        <w:widowControl/>
        <w:numPr>
          <w:ilvl w:val="0"/>
          <w:numId w:val="6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w:t>
      </w:r>
      <w:r>
        <w:rPr>
          <w:rFonts w:hint="eastAsia" w:ascii="宋体" w:hAnsi="宋体" w:cs="宋体"/>
          <w:sz w:val="24"/>
          <w:szCs w:val="24"/>
          <w:highlight w:val="none"/>
          <w:lang w:eastAsia="zh-CN"/>
        </w:rPr>
        <w:t>自</w:t>
      </w:r>
      <w:r>
        <w:rPr>
          <w:rFonts w:hint="eastAsia" w:ascii="宋体" w:hAnsi="宋体" w:cs="宋体"/>
          <w:sz w:val="24"/>
          <w:szCs w:val="24"/>
          <w:highlight w:val="none"/>
          <w:lang w:val="en-US" w:eastAsia="zh-CN"/>
        </w:rPr>
        <w:t>双方法定代表人或授权代表签字（签章）且盖章后</w:t>
      </w:r>
      <w:r>
        <w:rPr>
          <w:rFonts w:hint="eastAsia" w:ascii="宋体" w:hAnsi="宋体" w:eastAsia="宋体" w:cs="宋体"/>
          <w:sz w:val="24"/>
          <w:szCs w:val="24"/>
          <w:highlight w:val="none"/>
        </w:rPr>
        <w:t>生效。</w:t>
      </w:r>
    </w:p>
    <w:p w14:paraId="2F3293FF">
      <w:pPr>
        <w:pStyle w:val="10"/>
        <w:keepNext w:val="0"/>
        <w:keepLines w:val="0"/>
        <w:pageBreakBefore w:val="0"/>
        <w:widowControl/>
        <w:numPr>
          <w:ilvl w:val="0"/>
          <w:numId w:val="6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本合同未尽事宜，遵照《</w:t>
      </w:r>
      <w:r>
        <w:rPr>
          <w:rFonts w:hint="eastAsia" w:ascii="宋体" w:hAnsi="宋体" w:cs="宋体"/>
          <w:b w:val="0"/>
          <w:bCs w:val="0"/>
          <w:sz w:val="24"/>
          <w:szCs w:val="24"/>
          <w:highlight w:val="none"/>
          <w:lang w:eastAsia="zh-CN"/>
        </w:rPr>
        <w:t>中华人民共和国民法典</w:t>
      </w:r>
      <w:r>
        <w:rPr>
          <w:rFonts w:hint="eastAsia" w:ascii="宋体" w:hAnsi="宋体" w:eastAsia="宋体" w:cs="宋体"/>
          <w:b w:val="0"/>
          <w:bCs w:val="0"/>
          <w:sz w:val="24"/>
          <w:szCs w:val="24"/>
          <w:highlight w:val="none"/>
        </w:rPr>
        <w:t>》有关条文执行。</w:t>
      </w:r>
    </w:p>
    <w:p w14:paraId="0AC1800E">
      <w:pPr>
        <w:keepNext w:val="0"/>
        <w:keepLines w:val="0"/>
        <w:pageBreakBefore w:val="0"/>
        <w:widowControl/>
        <w:numPr>
          <w:ilvl w:val="0"/>
          <w:numId w:val="6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cs="宋体"/>
          <w:b w:val="0"/>
          <w:bCs w:val="0"/>
          <w:sz w:val="24"/>
          <w:szCs w:val="24"/>
          <w:highlight w:val="none"/>
          <w:lang w:val="en-US" w:eastAsia="zh-CN"/>
        </w:rPr>
        <w:t>本合同一式五</w:t>
      </w:r>
      <w:r>
        <w:rPr>
          <w:rFonts w:hint="eastAsia" w:ascii="宋体" w:hAnsi="宋体" w:eastAsia="宋体" w:cs="宋体"/>
          <w:b w:val="0"/>
          <w:bCs w:val="0"/>
          <w:sz w:val="24"/>
          <w:szCs w:val="24"/>
          <w:highlight w:val="none"/>
        </w:rPr>
        <w:t>份</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甲、乙双方各执</w:t>
      </w:r>
      <w:r>
        <w:rPr>
          <w:rFonts w:hint="eastAsia" w:ascii="宋体" w:hAnsi="宋体" w:cs="宋体"/>
          <w:b w:val="0"/>
          <w:bCs w:val="0"/>
          <w:sz w:val="24"/>
          <w:szCs w:val="24"/>
          <w:highlight w:val="none"/>
          <w:lang w:val="en-US" w:eastAsia="zh-CN"/>
        </w:rPr>
        <w:t>二</w:t>
      </w:r>
      <w:r>
        <w:rPr>
          <w:rFonts w:hint="eastAsia" w:ascii="宋体" w:hAnsi="宋体" w:eastAsia="宋体" w:cs="宋体"/>
          <w:b w:val="0"/>
          <w:bCs w:val="0"/>
          <w:sz w:val="24"/>
          <w:szCs w:val="24"/>
          <w:highlight w:val="none"/>
        </w:rPr>
        <w:t>份</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lang w:val="en-US" w:eastAsia="zh-CN"/>
        </w:rPr>
        <w:t>代理机构执一份</w:t>
      </w:r>
      <w:r>
        <w:rPr>
          <w:rFonts w:hint="eastAsia" w:ascii="宋体" w:hAnsi="宋体" w:eastAsia="宋体" w:cs="宋体"/>
          <w:b w:val="0"/>
          <w:bCs w:val="0"/>
          <w:sz w:val="24"/>
          <w:szCs w:val="24"/>
          <w:highlight w:val="none"/>
        </w:rPr>
        <w:t>。本项目未</w:t>
      </w:r>
      <w:r>
        <w:rPr>
          <w:rFonts w:hint="eastAsia" w:ascii="宋体" w:hAnsi="宋体" w:eastAsia="宋体" w:cs="宋体"/>
          <w:sz w:val="24"/>
          <w:szCs w:val="24"/>
          <w:highlight w:val="none"/>
        </w:rPr>
        <w:t>尽事宜以</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文件及澄清文件等为准。</w:t>
      </w:r>
    </w:p>
    <w:p w14:paraId="3E583419">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以下无正文：</w:t>
      </w:r>
    </w:p>
    <w:tbl>
      <w:tblPr>
        <w:tblStyle w:val="27"/>
        <w:tblpPr w:leftFromText="180" w:rightFromText="180" w:vertAnchor="text" w:horzAnchor="page" w:tblpX="1859" w:tblpY="469"/>
        <w:tblOverlap w:val="never"/>
        <w:tblW w:w="8380" w:type="dxa"/>
        <w:tblInd w:w="0" w:type="dxa"/>
        <w:tblLayout w:type="fixed"/>
        <w:tblCellMar>
          <w:top w:w="0" w:type="dxa"/>
          <w:left w:w="0" w:type="dxa"/>
          <w:bottom w:w="0" w:type="dxa"/>
          <w:right w:w="0" w:type="dxa"/>
        </w:tblCellMar>
      </w:tblPr>
      <w:tblGrid>
        <w:gridCol w:w="1670"/>
        <w:gridCol w:w="600"/>
        <w:gridCol w:w="600"/>
        <w:gridCol w:w="1620"/>
        <w:gridCol w:w="3890"/>
      </w:tblGrid>
      <w:tr w14:paraId="2241BFF2">
        <w:tblPrEx>
          <w:tblCellMar>
            <w:top w:w="0" w:type="dxa"/>
            <w:left w:w="0" w:type="dxa"/>
            <w:bottom w:w="0" w:type="dxa"/>
            <w:right w:w="0" w:type="dxa"/>
          </w:tblCellMar>
        </w:tblPrEx>
        <w:trPr>
          <w:trHeight w:val="354" w:hRule="atLeast"/>
        </w:trPr>
        <w:tc>
          <w:tcPr>
            <w:tcW w:w="1670" w:type="dxa"/>
            <w:noWrap w:val="0"/>
            <w:vAlign w:val="top"/>
          </w:tcPr>
          <w:p w14:paraId="25CD0A0B">
            <w:pPr>
              <w:pStyle w:val="56"/>
              <w:spacing w:line="334" w:lineRule="exact"/>
              <w:ind w:left="50"/>
              <w:rPr>
                <w:sz w:val="21"/>
                <w:szCs w:val="21"/>
                <w:highlight w:val="none"/>
              </w:rPr>
            </w:pPr>
            <w:r>
              <w:rPr>
                <w:rFonts w:hint="eastAsia" w:eastAsia="宋体"/>
                <w:sz w:val="21"/>
                <w:szCs w:val="21"/>
                <w:highlight w:val="none"/>
              </w:rPr>
              <w:t>甲</w:t>
            </w:r>
            <w:r>
              <w:rPr>
                <w:sz w:val="21"/>
                <w:szCs w:val="21"/>
                <w:highlight w:val="none"/>
              </w:rPr>
              <w:t>方：</w:t>
            </w:r>
          </w:p>
        </w:tc>
        <w:tc>
          <w:tcPr>
            <w:tcW w:w="600" w:type="dxa"/>
            <w:noWrap w:val="0"/>
            <w:vAlign w:val="top"/>
          </w:tcPr>
          <w:p w14:paraId="57D34D28">
            <w:pPr>
              <w:pStyle w:val="56"/>
              <w:rPr>
                <w:rFonts w:ascii="Times New Roman"/>
                <w:sz w:val="21"/>
                <w:szCs w:val="21"/>
                <w:highlight w:val="none"/>
              </w:rPr>
            </w:pPr>
          </w:p>
        </w:tc>
        <w:tc>
          <w:tcPr>
            <w:tcW w:w="600" w:type="dxa"/>
            <w:noWrap w:val="0"/>
            <w:vAlign w:val="top"/>
          </w:tcPr>
          <w:p w14:paraId="79ABAE17">
            <w:pPr>
              <w:pStyle w:val="56"/>
              <w:rPr>
                <w:rFonts w:ascii="Times New Roman"/>
                <w:sz w:val="21"/>
                <w:szCs w:val="21"/>
                <w:highlight w:val="none"/>
              </w:rPr>
            </w:pPr>
          </w:p>
        </w:tc>
        <w:tc>
          <w:tcPr>
            <w:tcW w:w="1620" w:type="dxa"/>
            <w:noWrap w:val="0"/>
            <w:vAlign w:val="top"/>
          </w:tcPr>
          <w:p w14:paraId="23FEDE47">
            <w:pPr>
              <w:pStyle w:val="56"/>
              <w:rPr>
                <w:rFonts w:ascii="Times New Roman"/>
                <w:sz w:val="21"/>
                <w:szCs w:val="21"/>
                <w:highlight w:val="none"/>
              </w:rPr>
            </w:pPr>
          </w:p>
        </w:tc>
        <w:tc>
          <w:tcPr>
            <w:tcW w:w="3890" w:type="dxa"/>
            <w:noWrap w:val="0"/>
            <w:vAlign w:val="top"/>
          </w:tcPr>
          <w:p w14:paraId="60B02DB5">
            <w:pPr>
              <w:pStyle w:val="56"/>
              <w:spacing w:line="334" w:lineRule="exact"/>
              <w:rPr>
                <w:sz w:val="21"/>
                <w:szCs w:val="21"/>
                <w:highlight w:val="none"/>
              </w:rPr>
            </w:pPr>
            <w:r>
              <w:rPr>
                <w:rFonts w:hint="eastAsia" w:eastAsia="宋体"/>
                <w:sz w:val="21"/>
                <w:szCs w:val="21"/>
                <w:highlight w:val="none"/>
              </w:rPr>
              <w:t>乙</w:t>
            </w:r>
            <w:r>
              <w:rPr>
                <w:sz w:val="21"/>
                <w:szCs w:val="21"/>
                <w:highlight w:val="none"/>
              </w:rPr>
              <w:t>方：</w:t>
            </w:r>
          </w:p>
        </w:tc>
      </w:tr>
      <w:tr w14:paraId="0D0D37C1">
        <w:tblPrEx>
          <w:tblCellMar>
            <w:top w:w="0" w:type="dxa"/>
            <w:left w:w="0" w:type="dxa"/>
            <w:bottom w:w="0" w:type="dxa"/>
            <w:right w:w="0" w:type="dxa"/>
          </w:tblCellMar>
        </w:tblPrEx>
        <w:trPr>
          <w:trHeight w:val="467" w:hRule="atLeast"/>
        </w:trPr>
        <w:tc>
          <w:tcPr>
            <w:tcW w:w="1670" w:type="dxa"/>
            <w:noWrap w:val="0"/>
            <w:vAlign w:val="top"/>
          </w:tcPr>
          <w:p w14:paraId="3E4F3B9F">
            <w:pPr>
              <w:pStyle w:val="56"/>
              <w:spacing w:line="448" w:lineRule="exact"/>
              <w:ind w:left="50"/>
              <w:rPr>
                <w:sz w:val="21"/>
                <w:szCs w:val="21"/>
                <w:highlight w:val="none"/>
              </w:rPr>
            </w:pPr>
            <w:r>
              <w:rPr>
                <w:sz w:val="21"/>
                <w:szCs w:val="21"/>
                <w:highlight w:val="none"/>
              </w:rPr>
              <w:t>地址：</w:t>
            </w:r>
          </w:p>
        </w:tc>
        <w:tc>
          <w:tcPr>
            <w:tcW w:w="600" w:type="dxa"/>
            <w:noWrap w:val="0"/>
            <w:vAlign w:val="top"/>
          </w:tcPr>
          <w:p w14:paraId="4C3D9B43">
            <w:pPr>
              <w:pStyle w:val="56"/>
              <w:rPr>
                <w:rFonts w:ascii="Times New Roman"/>
                <w:sz w:val="21"/>
                <w:szCs w:val="21"/>
                <w:highlight w:val="none"/>
              </w:rPr>
            </w:pPr>
          </w:p>
        </w:tc>
        <w:tc>
          <w:tcPr>
            <w:tcW w:w="600" w:type="dxa"/>
            <w:noWrap w:val="0"/>
            <w:vAlign w:val="top"/>
          </w:tcPr>
          <w:p w14:paraId="5BA3AF89">
            <w:pPr>
              <w:pStyle w:val="56"/>
              <w:rPr>
                <w:rFonts w:ascii="Times New Roman"/>
                <w:sz w:val="21"/>
                <w:szCs w:val="21"/>
                <w:highlight w:val="none"/>
              </w:rPr>
            </w:pPr>
          </w:p>
        </w:tc>
        <w:tc>
          <w:tcPr>
            <w:tcW w:w="1620" w:type="dxa"/>
            <w:noWrap w:val="0"/>
            <w:vAlign w:val="top"/>
          </w:tcPr>
          <w:p w14:paraId="5D71A54A">
            <w:pPr>
              <w:pStyle w:val="56"/>
              <w:rPr>
                <w:rFonts w:ascii="Times New Roman"/>
                <w:sz w:val="21"/>
                <w:szCs w:val="21"/>
                <w:highlight w:val="none"/>
              </w:rPr>
            </w:pPr>
          </w:p>
        </w:tc>
        <w:tc>
          <w:tcPr>
            <w:tcW w:w="3890" w:type="dxa"/>
            <w:noWrap w:val="0"/>
            <w:vAlign w:val="top"/>
          </w:tcPr>
          <w:p w14:paraId="496EC026">
            <w:pPr>
              <w:pStyle w:val="56"/>
              <w:spacing w:line="448" w:lineRule="exact"/>
              <w:jc w:val="left"/>
              <w:rPr>
                <w:sz w:val="21"/>
                <w:szCs w:val="21"/>
                <w:highlight w:val="none"/>
              </w:rPr>
            </w:pPr>
            <w:r>
              <w:rPr>
                <w:sz w:val="21"/>
                <w:szCs w:val="21"/>
                <w:highlight w:val="none"/>
              </w:rPr>
              <w:t>地址：</w:t>
            </w:r>
          </w:p>
        </w:tc>
      </w:tr>
      <w:tr w14:paraId="034996CE">
        <w:tblPrEx>
          <w:tblCellMar>
            <w:top w:w="0" w:type="dxa"/>
            <w:left w:w="0" w:type="dxa"/>
            <w:bottom w:w="0" w:type="dxa"/>
            <w:right w:w="0" w:type="dxa"/>
          </w:tblCellMar>
        </w:tblPrEx>
        <w:trPr>
          <w:trHeight w:val="468" w:hRule="atLeast"/>
        </w:trPr>
        <w:tc>
          <w:tcPr>
            <w:tcW w:w="1670" w:type="dxa"/>
            <w:noWrap w:val="0"/>
            <w:vAlign w:val="top"/>
          </w:tcPr>
          <w:p w14:paraId="599864ED">
            <w:pPr>
              <w:pStyle w:val="56"/>
              <w:spacing w:line="448" w:lineRule="exact"/>
              <w:ind w:left="50" w:leftChars="0"/>
              <w:rPr>
                <w:sz w:val="21"/>
                <w:szCs w:val="21"/>
                <w:highlight w:val="none"/>
              </w:rPr>
            </w:pPr>
            <w:r>
              <w:rPr>
                <w:sz w:val="21"/>
                <w:szCs w:val="21"/>
                <w:highlight w:val="none"/>
              </w:rPr>
              <w:t>法定代表人：</w:t>
            </w:r>
          </w:p>
        </w:tc>
        <w:tc>
          <w:tcPr>
            <w:tcW w:w="600" w:type="dxa"/>
            <w:noWrap w:val="0"/>
            <w:vAlign w:val="top"/>
          </w:tcPr>
          <w:p w14:paraId="5BE62ECF">
            <w:pPr>
              <w:pStyle w:val="56"/>
              <w:rPr>
                <w:rFonts w:ascii="Times New Roman"/>
                <w:sz w:val="21"/>
                <w:szCs w:val="21"/>
                <w:highlight w:val="none"/>
              </w:rPr>
            </w:pPr>
          </w:p>
        </w:tc>
        <w:tc>
          <w:tcPr>
            <w:tcW w:w="600" w:type="dxa"/>
            <w:noWrap w:val="0"/>
            <w:vAlign w:val="top"/>
          </w:tcPr>
          <w:p w14:paraId="7036E9EC">
            <w:pPr>
              <w:pStyle w:val="56"/>
              <w:rPr>
                <w:rFonts w:ascii="Times New Roman"/>
                <w:sz w:val="21"/>
                <w:szCs w:val="21"/>
                <w:highlight w:val="none"/>
              </w:rPr>
            </w:pPr>
          </w:p>
        </w:tc>
        <w:tc>
          <w:tcPr>
            <w:tcW w:w="1620" w:type="dxa"/>
            <w:noWrap w:val="0"/>
            <w:vAlign w:val="top"/>
          </w:tcPr>
          <w:p w14:paraId="258715F7">
            <w:pPr>
              <w:pStyle w:val="56"/>
              <w:rPr>
                <w:rFonts w:ascii="Times New Roman"/>
                <w:sz w:val="21"/>
                <w:szCs w:val="21"/>
                <w:highlight w:val="none"/>
              </w:rPr>
            </w:pPr>
          </w:p>
        </w:tc>
        <w:tc>
          <w:tcPr>
            <w:tcW w:w="3890" w:type="dxa"/>
            <w:noWrap w:val="0"/>
            <w:vAlign w:val="top"/>
          </w:tcPr>
          <w:p w14:paraId="7FA69572">
            <w:pPr>
              <w:pStyle w:val="56"/>
              <w:spacing w:line="448" w:lineRule="exact"/>
              <w:rPr>
                <w:sz w:val="21"/>
                <w:szCs w:val="21"/>
                <w:highlight w:val="none"/>
              </w:rPr>
            </w:pPr>
            <w:r>
              <w:rPr>
                <w:sz w:val="21"/>
                <w:szCs w:val="21"/>
                <w:highlight w:val="none"/>
              </w:rPr>
              <w:t>法定代表人：</w:t>
            </w:r>
          </w:p>
        </w:tc>
      </w:tr>
      <w:tr w14:paraId="4CE3E6EF">
        <w:tblPrEx>
          <w:tblCellMar>
            <w:top w:w="0" w:type="dxa"/>
            <w:left w:w="0" w:type="dxa"/>
            <w:bottom w:w="0" w:type="dxa"/>
            <w:right w:w="0" w:type="dxa"/>
          </w:tblCellMar>
        </w:tblPrEx>
        <w:trPr>
          <w:trHeight w:val="468" w:hRule="atLeast"/>
        </w:trPr>
        <w:tc>
          <w:tcPr>
            <w:tcW w:w="1670" w:type="dxa"/>
            <w:noWrap w:val="0"/>
            <w:vAlign w:val="top"/>
          </w:tcPr>
          <w:p w14:paraId="69D7C914">
            <w:pPr>
              <w:pStyle w:val="56"/>
              <w:spacing w:line="448" w:lineRule="exact"/>
              <w:ind w:left="50" w:leftChars="0"/>
              <w:rPr>
                <w:sz w:val="21"/>
                <w:szCs w:val="21"/>
                <w:highlight w:val="none"/>
              </w:rPr>
            </w:pPr>
            <w:r>
              <w:rPr>
                <w:rFonts w:hint="eastAsia"/>
                <w:sz w:val="21"/>
                <w:szCs w:val="21"/>
                <w:highlight w:val="none"/>
                <w:lang w:val="en-US" w:eastAsia="zh-CN"/>
              </w:rPr>
              <w:t>或授权代表:</w:t>
            </w:r>
          </w:p>
        </w:tc>
        <w:tc>
          <w:tcPr>
            <w:tcW w:w="600" w:type="dxa"/>
            <w:noWrap w:val="0"/>
            <w:vAlign w:val="top"/>
          </w:tcPr>
          <w:p w14:paraId="4D9BF6F7">
            <w:pPr>
              <w:pStyle w:val="56"/>
              <w:rPr>
                <w:rFonts w:ascii="Times New Roman"/>
                <w:sz w:val="21"/>
                <w:szCs w:val="21"/>
                <w:highlight w:val="none"/>
              </w:rPr>
            </w:pPr>
          </w:p>
        </w:tc>
        <w:tc>
          <w:tcPr>
            <w:tcW w:w="600" w:type="dxa"/>
            <w:noWrap w:val="0"/>
            <w:vAlign w:val="top"/>
          </w:tcPr>
          <w:p w14:paraId="4C321958">
            <w:pPr>
              <w:pStyle w:val="56"/>
              <w:rPr>
                <w:rFonts w:ascii="Times New Roman"/>
                <w:sz w:val="21"/>
                <w:szCs w:val="21"/>
                <w:highlight w:val="none"/>
              </w:rPr>
            </w:pPr>
          </w:p>
        </w:tc>
        <w:tc>
          <w:tcPr>
            <w:tcW w:w="1620" w:type="dxa"/>
            <w:noWrap w:val="0"/>
            <w:vAlign w:val="top"/>
          </w:tcPr>
          <w:p w14:paraId="745AEAD5">
            <w:pPr>
              <w:pStyle w:val="56"/>
              <w:rPr>
                <w:rFonts w:ascii="Times New Roman"/>
                <w:sz w:val="21"/>
                <w:szCs w:val="21"/>
                <w:highlight w:val="none"/>
              </w:rPr>
            </w:pPr>
          </w:p>
        </w:tc>
        <w:tc>
          <w:tcPr>
            <w:tcW w:w="3890" w:type="dxa"/>
            <w:noWrap w:val="0"/>
            <w:vAlign w:val="top"/>
          </w:tcPr>
          <w:p w14:paraId="342082BE">
            <w:pPr>
              <w:pStyle w:val="56"/>
              <w:spacing w:line="448" w:lineRule="exact"/>
              <w:rPr>
                <w:sz w:val="21"/>
                <w:szCs w:val="21"/>
                <w:highlight w:val="none"/>
              </w:rPr>
            </w:pPr>
            <w:r>
              <w:rPr>
                <w:rFonts w:hint="eastAsia"/>
                <w:sz w:val="21"/>
                <w:szCs w:val="21"/>
                <w:highlight w:val="none"/>
                <w:lang w:val="en-US" w:eastAsia="zh-CN"/>
              </w:rPr>
              <w:t>或授权代表:</w:t>
            </w:r>
          </w:p>
        </w:tc>
      </w:tr>
      <w:tr w14:paraId="66E99E65">
        <w:tblPrEx>
          <w:tblCellMar>
            <w:top w:w="0" w:type="dxa"/>
            <w:left w:w="0" w:type="dxa"/>
            <w:bottom w:w="0" w:type="dxa"/>
            <w:right w:w="0" w:type="dxa"/>
          </w:tblCellMar>
        </w:tblPrEx>
        <w:trPr>
          <w:trHeight w:val="468" w:hRule="atLeast"/>
        </w:trPr>
        <w:tc>
          <w:tcPr>
            <w:tcW w:w="1670" w:type="dxa"/>
            <w:noWrap w:val="0"/>
            <w:vAlign w:val="top"/>
          </w:tcPr>
          <w:p w14:paraId="3EB79C8E">
            <w:pPr>
              <w:pStyle w:val="56"/>
              <w:spacing w:line="448" w:lineRule="exact"/>
              <w:ind w:left="50"/>
              <w:rPr>
                <w:sz w:val="21"/>
                <w:szCs w:val="21"/>
                <w:highlight w:val="none"/>
              </w:rPr>
            </w:pPr>
            <w:r>
              <w:rPr>
                <w:sz w:val="21"/>
                <w:szCs w:val="21"/>
                <w:highlight w:val="none"/>
              </w:rPr>
              <w:t>联系方式：</w:t>
            </w:r>
          </w:p>
        </w:tc>
        <w:tc>
          <w:tcPr>
            <w:tcW w:w="600" w:type="dxa"/>
            <w:noWrap w:val="0"/>
            <w:vAlign w:val="top"/>
          </w:tcPr>
          <w:p w14:paraId="273ED1FF">
            <w:pPr>
              <w:pStyle w:val="56"/>
              <w:rPr>
                <w:rFonts w:ascii="Times New Roman"/>
                <w:sz w:val="21"/>
                <w:szCs w:val="21"/>
                <w:highlight w:val="none"/>
              </w:rPr>
            </w:pPr>
          </w:p>
        </w:tc>
        <w:tc>
          <w:tcPr>
            <w:tcW w:w="600" w:type="dxa"/>
            <w:noWrap w:val="0"/>
            <w:vAlign w:val="top"/>
          </w:tcPr>
          <w:p w14:paraId="13D4DBF9">
            <w:pPr>
              <w:pStyle w:val="56"/>
              <w:rPr>
                <w:rFonts w:ascii="Times New Roman"/>
                <w:sz w:val="21"/>
                <w:szCs w:val="21"/>
                <w:highlight w:val="none"/>
              </w:rPr>
            </w:pPr>
          </w:p>
        </w:tc>
        <w:tc>
          <w:tcPr>
            <w:tcW w:w="1620" w:type="dxa"/>
            <w:noWrap w:val="0"/>
            <w:vAlign w:val="top"/>
          </w:tcPr>
          <w:p w14:paraId="1E80694A">
            <w:pPr>
              <w:pStyle w:val="56"/>
              <w:rPr>
                <w:rFonts w:ascii="Times New Roman"/>
                <w:sz w:val="21"/>
                <w:szCs w:val="21"/>
                <w:highlight w:val="none"/>
              </w:rPr>
            </w:pPr>
          </w:p>
        </w:tc>
        <w:tc>
          <w:tcPr>
            <w:tcW w:w="3890" w:type="dxa"/>
            <w:noWrap w:val="0"/>
            <w:vAlign w:val="top"/>
          </w:tcPr>
          <w:p w14:paraId="5C27CAE8">
            <w:pPr>
              <w:pStyle w:val="56"/>
              <w:spacing w:line="448" w:lineRule="exact"/>
              <w:rPr>
                <w:sz w:val="21"/>
                <w:szCs w:val="21"/>
                <w:highlight w:val="none"/>
              </w:rPr>
            </w:pPr>
            <w:r>
              <w:rPr>
                <w:sz w:val="21"/>
                <w:szCs w:val="21"/>
                <w:highlight w:val="none"/>
              </w:rPr>
              <w:t>联系方式：</w:t>
            </w:r>
          </w:p>
        </w:tc>
      </w:tr>
      <w:tr w14:paraId="1A29FEA7">
        <w:tblPrEx>
          <w:tblCellMar>
            <w:top w:w="0" w:type="dxa"/>
            <w:left w:w="0" w:type="dxa"/>
            <w:bottom w:w="0" w:type="dxa"/>
            <w:right w:w="0" w:type="dxa"/>
          </w:tblCellMar>
        </w:tblPrEx>
        <w:trPr>
          <w:trHeight w:val="467" w:hRule="atLeast"/>
        </w:trPr>
        <w:tc>
          <w:tcPr>
            <w:tcW w:w="1670" w:type="dxa"/>
            <w:noWrap w:val="0"/>
            <w:vAlign w:val="top"/>
          </w:tcPr>
          <w:p w14:paraId="04954025">
            <w:pPr>
              <w:pStyle w:val="56"/>
              <w:spacing w:line="448" w:lineRule="exact"/>
              <w:ind w:left="50"/>
              <w:rPr>
                <w:sz w:val="21"/>
                <w:szCs w:val="21"/>
                <w:highlight w:val="none"/>
              </w:rPr>
            </w:pPr>
          </w:p>
        </w:tc>
        <w:tc>
          <w:tcPr>
            <w:tcW w:w="600" w:type="dxa"/>
            <w:noWrap w:val="0"/>
            <w:vAlign w:val="top"/>
          </w:tcPr>
          <w:p w14:paraId="22ADF38A">
            <w:pPr>
              <w:pStyle w:val="56"/>
              <w:rPr>
                <w:rFonts w:ascii="Times New Roman"/>
                <w:sz w:val="21"/>
                <w:szCs w:val="21"/>
                <w:highlight w:val="none"/>
              </w:rPr>
            </w:pPr>
          </w:p>
        </w:tc>
        <w:tc>
          <w:tcPr>
            <w:tcW w:w="600" w:type="dxa"/>
            <w:noWrap w:val="0"/>
            <w:vAlign w:val="top"/>
          </w:tcPr>
          <w:p w14:paraId="4B09F15D">
            <w:pPr>
              <w:pStyle w:val="56"/>
              <w:rPr>
                <w:rFonts w:ascii="Times New Roman"/>
                <w:sz w:val="21"/>
                <w:szCs w:val="21"/>
                <w:highlight w:val="none"/>
              </w:rPr>
            </w:pPr>
          </w:p>
        </w:tc>
        <w:tc>
          <w:tcPr>
            <w:tcW w:w="1620" w:type="dxa"/>
            <w:noWrap w:val="0"/>
            <w:vAlign w:val="top"/>
          </w:tcPr>
          <w:p w14:paraId="374980EB">
            <w:pPr>
              <w:pStyle w:val="56"/>
              <w:rPr>
                <w:rFonts w:ascii="Times New Roman"/>
                <w:sz w:val="21"/>
                <w:szCs w:val="21"/>
                <w:highlight w:val="none"/>
              </w:rPr>
            </w:pPr>
          </w:p>
        </w:tc>
        <w:tc>
          <w:tcPr>
            <w:tcW w:w="3890" w:type="dxa"/>
            <w:noWrap w:val="0"/>
            <w:vAlign w:val="top"/>
          </w:tcPr>
          <w:p w14:paraId="6BBD361B">
            <w:pPr>
              <w:pStyle w:val="56"/>
              <w:spacing w:line="448" w:lineRule="exact"/>
              <w:rPr>
                <w:sz w:val="21"/>
                <w:szCs w:val="21"/>
                <w:highlight w:val="none"/>
              </w:rPr>
            </w:pPr>
            <w:r>
              <w:rPr>
                <w:sz w:val="21"/>
                <w:szCs w:val="21"/>
                <w:highlight w:val="none"/>
              </w:rPr>
              <w:t>开户行：</w:t>
            </w:r>
          </w:p>
        </w:tc>
      </w:tr>
      <w:tr w14:paraId="18755F68">
        <w:tblPrEx>
          <w:tblCellMar>
            <w:top w:w="0" w:type="dxa"/>
            <w:left w:w="0" w:type="dxa"/>
            <w:bottom w:w="0" w:type="dxa"/>
            <w:right w:w="0" w:type="dxa"/>
          </w:tblCellMar>
        </w:tblPrEx>
        <w:trPr>
          <w:trHeight w:val="468" w:hRule="atLeast"/>
        </w:trPr>
        <w:tc>
          <w:tcPr>
            <w:tcW w:w="1670" w:type="dxa"/>
            <w:noWrap w:val="0"/>
            <w:vAlign w:val="top"/>
          </w:tcPr>
          <w:p w14:paraId="3A318910">
            <w:pPr>
              <w:pStyle w:val="56"/>
              <w:spacing w:line="448" w:lineRule="exact"/>
              <w:ind w:left="50"/>
              <w:rPr>
                <w:sz w:val="21"/>
                <w:szCs w:val="21"/>
                <w:highlight w:val="none"/>
              </w:rPr>
            </w:pPr>
          </w:p>
        </w:tc>
        <w:tc>
          <w:tcPr>
            <w:tcW w:w="600" w:type="dxa"/>
            <w:noWrap w:val="0"/>
            <w:vAlign w:val="top"/>
          </w:tcPr>
          <w:p w14:paraId="55F7A5D3">
            <w:pPr>
              <w:pStyle w:val="56"/>
              <w:rPr>
                <w:rFonts w:ascii="Times New Roman"/>
                <w:sz w:val="21"/>
                <w:szCs w:val="21"/>
                <w:highlight w:val="none"/>
              </w:rPr>
            </w:pPr>
          </w:p>
        </w:tc>
        <w:tc>
          <w:tcPr>
            <w:tcW w:w="600" w:type="dxa"/>
            <w:noWrap w:val="0"/>
            <w:vAlign w:val="top"/>
          </w:tcPr>
          <w:p w14:paraId="28EFB8A7">
            <w:pPr>
              <w:pStyle w:val="56"/>
              <w:rPr>
                <w:rFonts w:ascii="Times New Roman"/>
                <w:sz w:val="21"/>
                <w:szCs w:val="21"/>
                <w:highlight w:val="none"/>
              </w:rPr>
            </w:pPr>
          </w:p>
        </w:tc>
        <w:tc>
          <w:tcPr>
            <w:tcW w:w="1620" w:type="dxa"/>
            <w:noWrap w:val="0"/>
            <w:vAlign w:val="top"/>
          </w:tcPr>
          <w:p w14:paraId="6CDE8E7D">
            <w:pPr>
              <w:pStyle w:val="56"/>
              <w:rPr>
                <w:rFonts w:ascii="Times New Roman"/>
                <w:sz w:val="21"/>
                <w:szCs w:val="21"/>
                <w:highlight w:val="none"/>
              </w:rPr>
            </w:pPr>
          </w:p>
        </w:tc>
        <w:tc>
          <w:tcPr>
            <w:tcW w:w="3890" w:type="dxa"/>
            <w:noWrap w:val="0"/>
            <w:vAlign w:val="top"/>
          </w:tcPr>
          <w:p w14:paraId="0BE6BD17">
            <w:pPr>
              <w:pStyle w:val="56"/>
              <w:spacing w:line="448" w:lineRule="exact"/>
              <w:rPr>
                <w:sz w:val="21"/>
                <w:szCs w:val="21"/>
                <w:highlight w:val="none"/>
              </w:rPr>
            </w:pPr>
            <w:r>
              <w:rPr>
                <w:sz w:val="21"/>
                <w:szCs w:val="21"/>
                <w:highlight w:val="none"/>
              </w:rPr>
              <w:t>账号：</w:t>
            </w:r>
          </w:p>
        </w:tc>
      </w:tr>
      <w:tr w14:paraId="1F3F81D7">
        <w:tblPrEx>
          <w:tblCellMar>
            <w:top w:w="0" w:type="dxa"/>
            <w:left w:w="0" w:type="dxa"/>
            <w:bottom w:w="0" w:type="dxa"/>
            <w:right w:w="0" w:type="dxa"/>
          </w:tblCellMar>
        </w:tblPrEx>
        <w:trPr>
          <w:trHeight w:val="354" w:hRule="atLeast"/>
        </w:trPr>
        <w:tc>
          <w:tcPr>
            <w:tcW w:w="1670" w:type="dxa"/>
            <w:noWrap w:val="0"/>
            <w:vAlign w:val="top"/>
          </w:tcPr>
          <w:p w14:paraId="6E1D3487">
            <w:pPr>
              <w:pStyle w:val="56"/>
              <w:spacing w:line="334" w:lineRule="exact"/>
              <w:ind w:left="50"/>
              <w:rPr>
                <w:sz w:val="21"/>
                <w:szCs w:val="21"/>
                <w:highlight w:val="none"/>
              </w:rPr>
            </w:pPr>
            <w:r>
              <w:rPr>
                <w:sz w:val="21"/>
                <w:szCs w:val="21"/>
                <w:highlight w:val="none"/>
              </w:rPr>
              <w:t>签字日期：</w:t>
            </w:r>
          </w:p>
        </w:tc>
        <w:tc>
          <w:tcPr>
            <w:tcW w:w="600" w:type="dxa"/>
            <w:noWrap w:val="0"/>
            <w:vAlign w:val="top"/>
          </w:tcPr>
          <w:p w14:paraId="54C84917">
            <w:pPr>
              <w:pStyle w:val="56"/>
              <w:spacing w:line="334" w:lineRule="exact"/>
              <w:ind w:left="179"/>
              <w:rPr>
                <w:sz w:val="21"/>
                <w:szCs w:val="21"/>
                <w:highlight w:val="none"/>
              </w:rPr>
            </w:pPr>
            <w:r>
              <w:rPr>
                <w:sz w:val="21"/>
                <w:szCs w:val="21"/>
                <w:highlight w:val="none"/>
              </w:rPr>
              <w:t>年</w:t>
            </w:r>
          </w:p>
        </w:tc>
        <w:tc>
          <w:tcPr>
            <w:tcW w:w="600" w:type="dxa"/>
            <w:noWrap w:val="0"/>
            <w:vAlign w:val="top"/>
          </w:tcPr>
          <w:p w14:paraId="1E25EAB0">
            <w:pPr>
              <w:pStyle w:val="56"/>
              <w:spacing w:line="334" w:lineRule="exact"/>
              <w:ind w:left="179"/>
              <w:rPr>
                <w:sz w:val="21"/>
                <w:szCs w:val="21"/>
                <w:highlight w:val="none"/>
              </w:rPr>
            </w:pPr>
            <w:r>
              <w:rPr>
                <w:sz w:val="21"/>
                <w:szCs w:val="21"/>
                <w:highlight w:val="none"/>
              </w:rPr>
              <w:t>月</w:t>
            </w:r>
          </w:p>
        </w:tc>
        <w:tc>
          <w:tcPr>
            <w:tcW w:w="1620" w:type="dxa"/>
            <w:noWrap w:val="0"/>
            <w:vAlign w:val="top"/>
          </w:tcPr>
          <w:p w14:paraId="56865823">
            <w:pPr>
              <w:pStyle w:val="56"/>
              <w:spacing w:line="334" w:lineRule="exact"/>
              <w:ind w:left="179"/>
              <w:rPr>
                <w:sz w:val="21"/>
                <w:szCs w:val="21"/>
                <w:highlight w:val="none"/>
              </w:rPr>
            </w:pPr>
            <w:r>
              <w:rPr>
                <w:sz w:val="21"/>
                <w:szCs w:val="21"/>
                <w:highlight w:val="none"/>
              </w:rPr>
              <w:t>日</w:t>
            </w:r>
          </w:p>
        </w:tc>
        <w:tc>
          <w:tcPr>
            <w:tcW w:w="3890" w:type="dxa"/>
            <w:noWrap w:val="0"/>
            <w:vAlign w:val="top"/>
          </w:tcPr>
          <w:p w14:paraId="2FF17284">
            <w:pPr>
              <w:pStyle w:val="56"/>
              <w:rPr>
                <w:rFonts w:ascii="Times New Roman"/>
                <w:sz w:val="21"/>
                <w:szCs w:val="21"/>
                <w:highlight w:val="none"/>
              </w:rPr>
            </w:pPr>
          </w:p>
        </w:tc>
      </w:tr>
    </w:tbl>
    <w:p w14:paraId="453DB59F">
      <w:pPr>
        <w:spacing w:line="460" w:lineRule="exact"/>
        <w:ind w:firstLine="495"/>
        <w:rPr>
          <w:highlight w:val="none"/>
        </w:rPr>
      </w:pPr>
    </w:p>
    <w:p w14:paraId="5C71C0DC">
      <w:pPr>
        <w:rPr>
          <w:rFonts w:ascii="仿宋" w:hAnsi="仿宋" w:eastAsia="仿宋" w:cs="仿宋"/>
          <w:highlight w:val="none"/>
        </w:rPr>
      </w:pPr>
    </w:p>
    <w:p w14:paraId="5C725DCE">
      <w:pPr>
        <w:autoSpaceDE w:val="0"/>
        <w:autoSpaceDN w:val="0"/>
        <w:spacing w:line="360" w:lineRule="exact"/>
        <w:ind w:firstLine="767" w:firstLineChars="273"/>
        <w:jc w:val="center"/>
        <w:rPr>
          <w:rFonts w:hAnsi="宋体"/>
          <w:b/>
          <w:sz w:val="28"/>
          <w:szCs w:val="28"/>
          <w:highlight w:val="none"/>
        </w:rPr>
        <w:sectPr>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3349984C">
      <w:pPr>
        <w:spacing w:line="360" w:lineRule="auto"/>
        <w:jc w:val="center"/>
        <w:outlineLvl w:val="0"/>
        <w:rPr>
          <w:rFonts w:asciiTheme="minorEastAsia" w:hAnsiTheme="minorEastAsia" w:eastAsiaTheme="minorEastAsia"/>
          <w:b/>
          <w:sz w:val="36"/>
          <w:szCs w:val="36"/>
          <w:highlight w:val="none"/>
        </w:rPr>
      </w:pPr>
      <w:bookmarkStart w:id="56" w:name="_Toc7164"/>
      <w:r>
        <w:rPr>
          <w:rFonts w:hint="eastAsia" w:asciiTheme="minorEastAsia" w:hAnsiTheme="minorEastAsia" w:eastAsiaTheme="minorEastAsia"/>
          <w:b/>
          <w:sz w:val="36"/>
          <w:szCs w:val="36"/>
          <w:highlight w:val="none"/>
        </w:rPr>
        <w:t>第六章 投标文件格式</w:t>
      </w:r>
      <w:bookmarkEnd w:id="56"/>
    </w:p>
    <w:p w14:paraId="1F52E2C9">
      <w:pPr>
        <w:rPr>
          <w:rFonts w:ascii="宋体" w:hAnsi="宋体"/>
          <w:b/>
          <w:sz w:val="30"/>
          <w:szCs w:val="30"/>
          <w:highlight w:val="none"/>
        </w:rPr>
      </w:pPr>
    </w:p>
    <w:p w14:paraId="70D3D0BD">
      <w:pPr>
        <w:rPr>
          <w:rFonts w:ascii="宋体" w:hAnsi="宋体"/>
          <w:b/>
          <w:kern w:val="0"/>
          <w:sz w:val="28"/>
          <w:szCs w:val="28"/>
          <w:highlight w:val="none"/>
        </w:rPr>
      </w:pPr>
      <w:r>
        <w:rPr>
          <w:rFonts w:hint="eastAsia" w:ascii="宋体" w:hAnsi="宋体"/>
          <w:b/>
          <w:sz w:val="30"/>
          <w:szCs w:val="30"/>
          <w:highlight w:val="none"/>
        </w:rPr>
        <w:t xml:space="preserve">                             </w:t>
      </w:r>
      <w:r>
        <w:rPr>
          <w:rFonts w:hint="eastAsia" w:ascii="宋体" w:hAnsi="宋体"/>
          <w:sz w:val="30"/>
          <w:szCs w:val="30"/>
          <w:highlight w:val="none"/>
        </w:rPr>
        <w:t xml:space="preserve"> 　　　</w:t>
      </w:r>
      <w:r>
        <w:rPr>
          <w:rFonts w:hint="eastAsia" w:ascii="宋体" w:hAnsi="宋体"/>
          <w:b/>
          <w:sz w:val="28"/>
          <w:highlight w:val="none"/>
        </w:rPr>
        <w:t xml:space="preserve">        </w:t>
      </w:r>
    </w:p>
    <w:p w14:paraId="3D3BB778">
      <w:pPr>
        <w:spacing w:line="360" w:lineRule="auto"/>
        <w:rPr>
          <w:rFonts w:asciiTheme="minorEastAsia" w:hAnsiTheme="minorEastAsia" w:eastAsiaTheme="minorEastAsia"/>
          <w:b/>
          <w:sz w:val="30"/>
          <w:szCs w:val="30"/>
          <w:highlight w:val="none"/>
        </w:rPr>
      </w:pPr>
    </w:p>
    <w:p w14:paraId="40915E34">
      <w:pPr>
        <w:jc w:val="center"/>
        <w:rPr>
          <w:rFonts w:hint="eastAsia" w:eastAsia="宋体"/>
          <w:sz w:val="44"/>
          <w:szCs w:val="44"/>
          <w:highlight w:val="none"/>
          <w:lang w:eastAsia="zh-CN"/>
        </w:rPr>
      </w:pPr>
      <w:r>
        <w:rPr>
          <w:rFonts w:hint="eastAsia"/>
          <w:sz w:val="44"/>
          <w:szCs w:val="44"/>
          <w:highlight w:val="none"/>
          <w:lang w:eastAsia="zh-CN"/>
        </w:rPr>
        <w:t>海虹街道中心幼儿园（翡翠云邸）幼儿家具采购项目</w:t>
      </w:r>
    </w:p>
    <w:p w14:paraId="2146CBB5">
      <w:pPr>
        <w:spacing w:before="312" w:beforeLines="100" w:line="360" w:lineRule="auto"/>
        <w:ind w:right="-108"/>
        <w:jc w:val="center"/>
        <w:rPr>
          <w:rFonts w:hint="eastAsia" w:ascii="宋体" w:hAnsi="宋体" w:eastAsia="宋体"/>
          <w:sz w:val="36"/>
          <w:szCs w:val="36"/>
          <w:highlight w:val="none"/>
          <w:lang w:eastAsia="zh-CN"/>
        </w:rPr>
      </w:pPr>
      <w:r>
        <w:rPr>
          <w:rFonts w:hint="eastAsia" w:ascii="宋体" w:hAnsi="宋体"/>
          <w:sz w:val="36"/>
          <w:szCs w:val="36"/>
          <w:highlight w:val="none"/>
        </w:rPr>
        <w:t>项目编号：</w:t>
      </w:r>
      <w:r>
        <w:rPr>
          <w:rFonts w:hint="eastAsia" w:ascii="宋体" w:hAnsi="宋体"/>
          <w:sz w:val="36"/>
          <w:szCs w:val="36"/>
          <w:highlight w:val="none"/>
          <w:lang w:eastAsia="zh-CN"/>
        </w:rPr>
        <w:t>TZYY-2506-005号</w:t>
      </w:r>
    </w:p>
    <w:p w14:paraId="30FCEF93">
      <w:pPr>
        <w:pStyle w:val="26"/>
        <w:rPr>
          <w:highlight w:val="none"/>
        </w:rPr>
      </w:pPr>
    </w:p>
    <w:p w14:paraId="6EB0E2E1">
      <w:pPr>
        <w:jc w:val="center"/>
        <w:rPr>
          <w:sz w:val="84"/>
          <w:szCs w:val="84"/>
          <w:highlight w:val="none"/>
          <w:lang w:val="zh-CN"/>
        </w:rPr>
      </w:pPr>
      <w:r>
        <w:rPr>
          <w:rFonts w:hint="eastAsia"/>
          <w:sz w:val="84"/>
          <w:szCs w:val="84"/>
          <w:highlight w:val="none"/>
          <w:lang w:val="zh-CN"/>
        </w:rPr>
        <w:t>投</w:t>
      </w:r>
    </w:p>
    <w:p w14:paraId="2399FB6C">
      <w:pPr>
        <w:jc w:val="center"/>
        <w:rPr>
          <w:sz w:val="84"/>
          <w:szCs w:val="84"/>
          <w:highlight w:val="none"/>
          <w:lang w:val="zh-CN"/>
        </w:rPr>
      </w:pPr>
      <w:r>
        <w:rPr>
          <w:rFonts w:hint="eastAsia"/>
          <w:sz w:val="84"/>
          <w:szCs w:val="84"/>
          <w:highlight w:val="none"/>
          <w:lang w:val="zh-CN"/>
        </w:rPr>
        <w:t>标</w:t>
      </w:r>
    </w:p>
    <w:p w14:paraId="05E199C2">
      <w:pPr>
        <w:jc w:val="center"/>
        <w:rPr>
          <w:sz w:val="84"/>
          <w:szCs w:val="84"/>
          <w:highlight w:val="none"/>
        </w:rPr>
      </w:pPr>
      <w:r>
        <w:rPr>
          <w:rFonts w:hint="eastAsia"/>
          <w:sz w:val="84"/>
          <w:szCs w:val="84"/>
          <w:highlight w:val="none"/>
          <w:lang w:val="zh-CN"/>
        </w:rPr>
        <w:t>文</w:t>
      </w:r>
    </w:p>
    <w:p w14:paraId="1673F373">
      <w:pPr>
        <w:jc w:val="center"/>
        <w:rPr>
          <w:sz w:val="84"/>
          <w:szCs w:val="84"/>
          <w:highlight w:val="none"/>
          <w:lang w:val="zh-CN"/>
        </w:rPr>
      </w:pPr>
      <w:r>
        <w:rPr>
          <w:rFonts w:hint="eastAsia"/>
          <w:sz w:val="84"/>
          <w:szCs w:val="84"/>
          <w:highlight w:val="none"/>
          <w:lang w:val="zh-CN"/>
        </w:rPr>
        <w:t>件</w:t>
      </w:r>
    </w:p>
    <w:p w14:paraId="539A5A50">
      <w:pPr>
        <w:spacing w:after="100" w:afterAutospacing="1" w:line="360" w:lineRule="auto"/>
        <w:ind w:right="-108"/>
        <w:jc w:val="center"/>
        <w:rPr>
          <w:rFonts w:ascii="宋体" w:hAnsi="宋体"/>
          <w:b/>
          <w:sz w:val="28"/>
          <w:szCs w:val="28"/>
          <w:highlight w:val="none"/>
        </w:rPr>
      </w:pPr>
      <w:r>
        <w:rPr>
          <w:rFonts w:hint="eastAsia" w:ascii="宋体" w:hAnsi="宋体" w:cs="宋体"/>
          <w:sz w:val="28"/>
          <w:szCs w:val="28"/>
          <w:highlight w:val="none"/>
          <w:lang w:val="zh-CN"/>
        </w:rPr>
        <w:t>（</w:t>
      </w:r>
      <w:r>
        <w:rPr>
          <w:rFonts w:hint="eastAsia" w:ascii="宋体" w:hAnsi="宋体"/>
          <w:b/>
          <w:sz w:val="28"/>
          <w:szCs w:val="28"/>
          <w:highlight w:val="none"/>
        </w:rPr>
        <w:t>资格标）</w:t>
      </w:r>
    </w:p>
    <w:p w14:paraId="3271BE84">
      <w:pPr>
        <w:pStyle w:val="26"/>
        <w:rPr>
          <w:highlight w:val="none"/>
        </w:rPr>
      </w:pPr>
    </w:p>
    <w:p w14:paraId="768C28F1">
      <w:pPr>
        <w:spacing w:line="360" w:lineRule="auto"/>
        <w:ind w:right="532" w:firstLine="640" w:firstLineChars="200"/>
        <w:rPr>
          <w:rFonts w:ascii="宋体" w:hAnsi="宋体"/>
          <w:sz w:val="32"/>
          <w:szCs w:val="32"/>
          <w:highlight w:val="none"/>
        </w:rPr>
      </w:pPr>
      <w:r>
        <w:rPr>
          <w:rFonts w:hint="eastAsia" w:ascii="宋体" w:hAnsi="宋体"/>
          <w:sz w:val="32"/>
          <w:szCs w:val="32"/>
          <w:highlight w:val="none"/>
        </w:rPr>
        <w:t>投标人全称：</w:t>
      </w:r>
    </w:p>
    <w:p w14:paraId="3D7ADB17">
      <w:pPr>
        <w:spacing w:line="360" w:lineRule="auto"/>
        <w:ind w:right="532" w:firstLine="640" w:firstLineChars="200"/>
        <w:rPr>
          <w:rFonts w:ascii="宋体" w:hAnsi="宋体"/>
          <w:sz w:val="32"/>
          <w:szCs w:val="32"/>
          <w:highlight w:val="none"/>
        </w:rPr>
      </w:pPr>
    </w:p>
    <w:p w14:paraId="3F649409">
      <w:pPr>
        <w:snapToGrid w:val="0"/>
        <w:spacing w:before="50" w:after="50" w:line="360" w:lineRule="auto"/>
        <w:rPr>
          <w:rFonts w:ascii="仿宋_GB2312" w:hAnsi="宋体" w:eastAsia="仿宋_GB2312"/>
          <w:b/>
          <w:sz w:val="36"/>
          <w:szCs w:val="36"/>
          <w:highlight w:val="none"/>
        </w:rPr>
      </w:pPr>
    </w:p>
    <w:p w14:paraId="0C74035C">
      <w:pPr>
        <w:pStyle w:val="10"/>
        <w:rPr>
          <w:rFonts w:ascii="仿宋_GB2312" w:hAnsi="宋体" w:eastAsia="仿宋_GB2312"/>
          <w:b/>
          <w:sz w:val="36"/>
          <w:szCs w:val="36"/>
          <w:highlight w:val="none"/>
        </w:rPr>
      </w:pPr>
    </w:p>
    <w:p w14:paraId="7B458D5A">
      <w:pPr>
        <w:pStyle w:val="11"/>
        <w:ind w:firstLine="480"/>
        <w:rPr>
          <w:highlight w:val="none"/>
        </w:rPr>
      </w:pPr>
    </w:p>
    <w:p w14:paraId="1A649C53">
      <w:pPr>
        <w:pStyle w:val="6"/>
        <w:rPr>
          <w:rFonts w:ascii="仿宋_GB2312" w:hAnsi="宋体" w:eastAsia="仿宋_GB2312"/>
          <w:b/>
          <w:sz w:val="36"/>
          <w:szCs w:val="36"/>
          <w:highlight w:val="none"/>
        </w:rPr>
      </w:pPr>
    </w:p>
    <w:p w14:paraId="055ADA27">
      <w:pPr>
        <w:spacing w:line="360" w:lineRule="auto"/>
        <w:jc w:val="center"/>
        <w:rPr>
          <w:b/>
          <w:bCs/>
          <w:sz w:val="36"/>
          <w:szCs w:val="36"/>
          <w:highlight w:val="none"/>
        </w:rPr>
      </w:pPr>
      <w:r>
        <w:rPr>
          <w:rFonts w:hint="eastAsia"/>
          <w:b/>
          <w:bCs/>
          <w:sz w:val="36"/>
          <w:szCs w:val="36"/>
          <w:highlight w:val="none"/>
        </w:rPr>
        <w:t>资格标目录</w:t>
      </w:r>
    </w:p>
    <w:p w14:paraId="44092076">
      <w:pPr>
        <w:spacing w:line="360" w:lineRule="auto"/>
        <w:ind w:firstLine="560" w:firstLineChars="200"/>
        <w:rPr>
          <w:sz w:val="28"/>
          <w:szCs w:val="36"/>
          <w:highlight w:val="none"/>
        </w:rPr>
      </w:pPr>
    </w:p>
    <w:p w14:paraId="58FE1DEA">
      <w:pPr>
        <w:numPr>
          <w:ilvl w:val="0"/>
          <w:numId w:val="70"/>
        </w:numPr>
        <w:snapToGrid w:val="0"/>
        <w:spacing w:line="360" w:lineRule="auto"/>
        <w:ind w:left="0" w:leftChars="0" w:firstLine="480" w:firstLineChars="200"/>
        <w:rPr>
          <w:rFonts w:ascii="宋体" w:hAnsi="宋体" w:cs="宋体"/>
          <w:sz w:val="24"/>
          <w:highlight w:val="none"/>
        </w:rPr>
      </w:pPr>
      <w:r>
        <w:rPr>
          <w:rFonts w:hint="eastAsia" w:ascii="宋体" w:hAnsi="宋体" w:cs="宋体"/>
          <w:sz w:val="24"/>
          <w:highlight w:val="none"/>
        </w:rPr>
        <w:t>投标声明书（附件1）；</w:t>
      </w:r>
    </w:p>
    <w:p w14:paraId="3FEF2945">
      <w:pPr>
        <w:numPr>
          <w:ilvl w:val="0"/>
          <w:numId w:val="70"/>
        </w:numPr>
        <w:snapToGrid w:val="0"/>
        <w:spacing w:line="360" w:lineRule="auto"/>
        <w:ind w:left="0" w:leftChars="0" w:firstLine="480" w:firstLineChars="200"/>
        <w:rPr>
          <w:rFonts w:ascii="宋体" w:hAnsi="宋体" w:cs="宋体"/>
          <w:sz w:val="24"/>
          <w:highlight w:val="none"/>
        </w:rPr>
      </w:pPr>
      <w:r>
        <w:rPr>
          <w:rFonts w:hint="eastAsia" w:ascii="宋体" w:hAnsi="宋体" w:cs="宋体"/>
          <w:sz w:val="24"/>
          <w:highlight w:val="none"/>
        </w:rPr>
        <w:t>授权委托书（法定代表人亲自办理投标事宜的，则无需提交；附件2）；</w:t>
      </w:r>
    </w:p>
    <w:p w14:paraId="6B4B5D1C">
      <w:pPr>
        <w:numPr>
          <w:ilvl w:val="0"/>
          <w:numId w:val="70"/>
        </w:numPr>
        <w:snapToGrid w:val="0"/>
        <w:spacing w:line="360" w:lineRule="auto"/>
        <w:ind w:left="0" w:leftChars="0" w:firstLine="480" w:firstLineChars="200"/>
        <w:rPr>
          <w:rFonts w:ascii="宋体" w:hAnsi="宋体" w:cs="宋体"/>
          <w:sz w:val="24"/>
          <w:highlight w:val="none"/>
        </w:rPr>
      </w:pPr>
      <w:r>
        <w:rPr>
          <w:rFonts w:hint="eastAsia" w:ascii="宋体" w:hAnsi="宋体" w:cs="宋体"/>
          <w:sz w:val="24"/>
          <w:highlight w:val="none"/>
        </w:rPr>
        <w:t>法人或者其他组织的营业执照等证明文件，自然人的身份证明；</w:t>
      </w:r>
    </w:p>
    <w:p w14:paraId="303402EB">
      <w:pPr>
        <w:numPr>
          <w:ilvl w:val="0"/>
          <w:numId w:val="70"/>
        </w:numPr>
        <w:snapToGrid w:val="0"/>
        <w:spacing w:line="360" w:lineRule="auto"/>
        <w:ind w:left="0" w:leftChars="0" w:firstLine="480" w:firstLineChars="200"/>
        <w:rPr>
          <w:rFonts w:ascii="宋体" w:hAnsi="宋体" w:cs="宋体"/>
          <w:sz w:val="24"/>
          <w:highlight w:val="none"/>
        </w:rPr>
      </w:pPr>
      <w:r>
        <w:rPr>
          <w:rFonts w:hint="eastAsia" w:ascii="宋体" w:hAnsi="宋体" w:cs="宋体"/>
          <w:sz w:val="24"/>
          <w:highlight w:val="none"/>
        </w:rPr>
        <w:t>具有依法缴纳税收和社会保障资金证明的承诺函（附件3）；</w:t>
      </w:r>
    </w:p>
    <w:p w14:paraId="6CAC4609">
      <w:pPr>
        <w:numPr>
          <w:ilvl w:val="0"/>
          <w:numId w:val="70"/>
        </w:numPr>
        <w:snapToGrid w:val="0"/>
        <w:spacing w:line="360" w:lineRule="auto"/>
        <w:ind w:left="0" w:leftChars="0" w:firstLine="480" w:firstLineChars="200"/>
        <w:rPr>
          <w:rFonts w:ascii="宋体" w:hAnsi="宋体" w:cs="宋体"/>
          <w:sz w:val="24"/>
          <w:highlight w:val="none"/>
        </w:rPr>
      </w:pPr>
      <w:r>
        <w:rPr>
          <w:rFonts w:hint="eastAsia" w:ascii="宋体" w:hAnsi="宋体" w:cs="宋体"/>
          <w:sz w:val="24"/>
          <w:highlight w:val="none"/>
        </w:rPr>
        <w:t>具有良好的商业信誉和健全的财务会计制度的承诺函（附件4）；</w:t>
      </w:r>
    </w:p>
    <w:p w14:paraId="31A01A60">
      <w:pPr>
        <w:numPr>
          <w:ilvl w:val="0"/>
          <w:numId w:val="70"/>
        </w:numPr>
        <w:snapToGrid w:val="0"/>
        <w:spacing w:line="360" w:lineRule="auto"/>
        <w:ind w:left="0" w:leftChars="0" w:firstLine="480" w:firstLineChars="200"/>
        <w:rPr>
          <w:rFonts w:ascii="宋体" w:hAnsi="宋体" w:cs="宋体"/>
          <w:sz w:val="24"/>
          <w:highlight w:val="none"/>
        </w:rPr>
      </w:pPr>
      <w:r>
        <w:rPr>
          <w:rFonts w:hint="eastAsia" w:ascii="宋体" w:hAnsi="宋体" w:cs="宋体"/>
          <w:sz w:val="24"/>
          <w:highlight w:val="none"/>
        </w:rPr>
        <w:t>具有履行合同所</w:t>
      </w:r>
      <w:r>
        <w:rPr>
          <w:rFonts w:hint="eastAsia" w:ascii="宋体" w:hAnsi="宋体" w:cs="宋体"/>
          <w:sz w:val="24"/>
          <w:highlight w:val="none"/>
          <w:lang w:eastAsia="zh-CN"/>
        </w:rPr>
        <w:t>必需</w:t>
      </w:r>
      <w:r>
        <w:rPr>
          <w:rFonts w:hint="eastAsia" w:ascii="宋体" w:hAnsi="宋体" w:cs="宋体"/>
          <w:sz w:val="24"/>
          <w:highlight w:val="none"/>
        </w:rPr>
        <w:t>的设备和专业技术能力的承诺函（附件5）；</w:t>
      </w:r>
    </w:p>
    <w:p w14:paraId="1C2066B2">
      <w:pPr>
        <w:numPr>
          <w:ilvl w:val="0"/>
          <w:numId w:val="70"/>
        </w:numPr>
        <w:snapToGrid w:val="0"/>
        <w:spacing w:line="360" w:lineRule="auto"/>
        <w:ind w:left="0" w:leftChars="0" w:firstLine="480" w:firstLineChars="200"/>
        <w:rPr>
          <w:rFonts w:ascii="宋体" w:hAnsi="宋体" w:cs="宋体"/>
          <w:sz w:val="24"/>
          <w:highlight w:val="none"/>
        </w:rPr>
      </w:pPr>
      <w:r>
        <w:rPr>
          <w:rFonts w:hint="eastAsia" w:ascii="宋体" w:hAnsi="宋体" w:cs="宋体"/>
          <w:sz w:val="24"/>
          <w:highlight w:val="none"/>
        </w:rPr>
        <w:t>需要说明的其他资料。</w:t>
      </w:r>
    </w:p>
    <w:p w14:paraId="78E9A878">
      <w:pPr>
        <w:spacing w:line="360" w:lineRule="auto"/>
        <w:rPr>
          <w:rFonts w:ascii="宋体" w:hAnsi="宋体"/>
          <w:b/>
          <w:sz w:val="28"/>
          <w:highlight w:val="none"/>
        </w:rPr>
      </w:pPr>
    </w:p>
    <w:p w14:paraId="1769C933">
      <w:pPr>
        <w:spacing w:line="360" w:lineRule="auto"/>
        <w:ind w:left="420"/>
        <w:rPr>
          <w:rFonts w:ascii="宋体" w:hAnsi="宋体"/>
          <w:b/>
          <w:sz w:val="28"/>
          <w:highlight w:val="none"/>
        </w:rPr>
      </w:pPr>
    </w:p>
    <w:p w14:paraId="0DBBEAB4">
      <w:pPr>
        <w:pStyle w:val="36"/>
        <w:rPr>
          <w:rFonts w:ascii="宋体" w:hAnsi="宋体"/>
          <w:b/>
          <w:sz w:val="28"/>
          <w:highlight w:val="none"/>
        </w:rPr>
      </w:pPr>
    </w:p>
    <w:p w14:paraId="0729B993">
      <w:pPr>
        <w:pStyle w:val="36"/>
        <w:rPr>
          <w:rFonts w:ascii="宋体" w:hAnsi="宋体"/>
          <w:b/>
          <w:sz w:val="28"/>
          <w:highlight w:val="none"/>
        </w:rPr>
      </w:pPr>
    </w:p>
    <w:p w14:paraId="70BD08D9">
      <w:pPr>
        <w:spacing w:line="360" w:lineRule="auto"/>
        <w:ind w:left="420"/>
        <w:rPr>
          <w:rFonts w:ascii="宋体" w:hAnsi="宋体"/>
          <w:b/>
          <w:sz w:val="28"/>
          <w:highlight w:val="none"/>
        </w:rPr>
      </w:pPr>
    </w:p>
    <w:p w14:paraId="528E53A3">
      <w:pPr>
        <w:spacing w:line="360" w:lineRule="auto"/>
        <w:ind w:left="420"/>
        <w:rPr>
          <w:rFonts w:ascii="宋体" w:hAnsi="宋体"/>
          <w:b/>
          <w:sz w:val="28"/>
          <w:highlight w:val="none"/>
        </w:rPr>
      </w:pPr>
    </w:p>
    <w:p w14:paraId="347CA537">
      <w:pPr>
        <w:spacing w:line="360" w:lineRule="auto"/>
        <w:ind w:left="420"/>
        <w:rPr>
          <w:rFonts w:ascii="宋体" w:hAnsi="宋体"/>
          <w:b/>
          <w:sz w:val="28"/>
          <w:highlight w:val="none"/>
        </w:rPr>
      </w:pPr>
    </w:p>
    <w:p w14:paraId="557B5BD2">
      <w:pPr>
        <w:spacing w:line="360" w:lineRule="auto"/>
        <w:ind w:left="420"/>
        <w:rPr>
          <w:rFonts w:ascii="宋体" w:hAnsi="宋体"/>
          <w:b/>
          <w:sz w:val="28"/>
          <w:highlight w:val="none"/>
        </w:rPr>
      </w:pPr>
    </w:p>
    <w:p w14:paraId="16B091D5">
      <w:pPr>
        <w:spacing w:line="360" w:lineRule="auto"/>
        <w:rPr>
          <w:rFonts w:ascii="宋体" w:hAnsi="宋体"/>
          <w:b/>
          <w:sz w:val="28"/>
          <w:highlight w:val="none"/>
        </w:rPr>
      </w:pPr>
    </w:p>
    <w:p w14:paraId="30683E58">
      <w:pPr>
        <w:rPr>
          <w:highlight w:val="none"/>
        </w:rPr>
      </w:pPr>
    </w:p>
    <w:p w14:paraId="02CC641D">
      <w:pPr>
        <w:pStyle w:val="6"/>
        <w:rPr>
          <w:rFonts w:ascii="宋体" w:hAnsi="宋体"/>
          <w:b/>
          <w:sz w:val="28"/>
          <w:highlight w:val="none"/>
        </w:rPr>
      </w:pPr>
    </w:p>
    <w:p w14:paraId="01541F46">
      <w:pPr>
        <w:pStyle w:val="6"/>
        <w:rPr>
          <w:rFonts w:ascii="宋体" w:hAnsi="宋体"/>
          <w:b/>
          <w:sz w:val="28"/>
          <w:highlight w:val="none"/>
        </w:rPr>
      </w:pPr>
    </w:p>
    <w:p w14:paraId="396D624D">
      <w:pPr>
        <w:pStyle w:val="6"/>
        <w:rPr>
          <w:rFonts w:ascii="宋体" w:hAnsi="宋体"/>
          <w:b/>
          <w:sz w:val="28"/>
          <w:highlight w:val="none"/>
        </w:rPr>
      </w:pPr>
    </w:p>
    <w:p w14:paraId="29FCE7D7">
      <w:pPr>
        <w:rPr>
          <w:rFonts w:hint="eastAsia" w:ascii="宋体" w:hAnsi="宋体"/>
          <w:b/>
          <w:sz w:val="28"/>
          <w:highlight w:val="none"/>
        </w:rPr>
      </w:pPr>
      <w:r>
        <w:rPr>
          <w:rFonts w:hint="eastAsia" w:ascii="宋体" w:hAnsi="宋体"/>
          <w:b/>
          <w:sz w:val="28"/>
          <w:highlight w:val="none"/>
        </w:rPr>
        <w:br w:type="page"/>
      </w:r>
    </w:p>
    <w:p w14:paraId="209CFE39">
      <w:pPr>
        <w:spacing w:line="312" w:lineRule="auto"/>
        <w:rPr>
          <w:rFonts w:ascii="宋体" w:hAnsi="宋体"/>
          <w:b/>
          <w:sz w:val="28"/>
          <w:highlight w:val="none"/>
        </w:rPr>
      </w:pPr>
      <w:r>
        <w:rPr>
          <w:rFonts w:hint="eastAsia" w:ascii="宋体" w:hAnsi="宋体"/>
          <w:b/>
          <w:sz w:val="28"/>
          <w:highlight w:val="none"/>
        </w:rPr>
        <w:t>附件1</w:t>
      </w:r>
    </w:p>
    <w:p w14:paraId="0A5CA74A">
      <w:pPr>
        <w:adjustRightInd w:val="0"/>
        <w:snapToGrid w:val="0"/>
        <w:spacing w:line="312" w:lineRule="auto"/>
        <w:ind w:right="480"/>
        <w:jc w:val="center"/>
        <w:rPr>
          <w:rFonts w:ascii="宋体" w:hAnsi="宋体"/>
          <w:b/>
          <w:kern w:val="0"/>
          <w:sz w:val="32"/>
          <w:szCs w:val="32"/>
          <w:highlight w:val="none"/>
          <w:lang w:val="zh-CN"/>
        </w:rPr>
      </w:pPr>
      <w:bookmarkStart w:id="57" w:name="_Toc31708_WPSOffice_Level1"/>
      <w:bookmarkStart w:id="58" w:name="_Toc30723_WPSOffice_Level1"/>
      <w:r>
        <w:rPr>
          <w:rFonts w:hint="eastAsia" w:ascii="宋体" w:hAnsi="宋体"/>
          <w:b/>
          <w:kern w:val="0"/>
          <w:sz w:val="32"/>
          <w:szCs w:val="32"/>
          <w:highlight w:val="none"/>
          <w:lang w:val="zh-CN"/>
        </w:rPr>
        <w:t>投标声明书</w:t>
      </w:r>
      <w:bookmarkEnd w:id="57"/>
      <w:bookmarkEnd w:id="58"/>
    </w:p>
    <w:p w14:paraId="5405AB27">
      <w:pPr>
        <w:snapToGrid w:val="0"/>
        <w:spacing w:before="156" w:beforeLines="50" w:after="50" w:line="312" w:lineRule="auto"/>
        <w:rPr>
          <w:rFonts w:ascii="宋体" w:hAnsi="宋体" w:cs="宋体"/>
          <w:kern w:val="0"/>
          <w:sz w:val="24"/>
          <w:highlight w:val="none"/>
        </w:rPr>
      </w:pPr>
      <w:r>
        <w:rPr>
          <w:rFonts w:hint="eastAsia" w:ascii="宋体" w:hAnsi="宋体" w:cs="宋体"/>
          <w:kern w:val="0"/>
          <w:sz w:val="24"/>
          <w:highlight w:val="none"/>
          <w:u w:val="single"/>
          <w:lang w:eastAsia="zh-CN"/>
        </w:rPr>
        <w:t>海虹街道中心幼儿园</w:t>
      </w:r>
      <w:r>
        <w:rPr>
          <w:rFonts w:hint="eastAsia" w:ascii="宋体" w:hAnsi="宋体" w:cs="宋体"/>
          <w:kern w:val="0"/>
          <w:sz w:val="24"/>
          <w:highlight w:val="none"/>
        </w:rPr>
        <w:t>：</w:t>
      </w:r>
    </w:p>
    <w:p w14:paraId="0F1E0DF1">
      <w:pPr>
        <w:snapToGrid w:val="0"/>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我公司自愿参加贵方组织的</w:t>
      </w:r>
      <w:r>
        <w:rPr>
          <w:rFonts w:hint="eastAsia" w:ascii="宋体" w:hAnsi="宋体" w:cs="宋体"/>
          <w:kern w:val="0"/>
          <w:sz w:val="24"/>
          <w:highlight w:val="none"/>
          <w:u w:val="single"/>
          <w:lang w:eastAsia="zh-CN"/>
        </w:rPr>
        <w:t>海虹街道中心幼儿园（翡翠云邸）幼儿家具采购项目</w:t>
      </w:r>
      <w:r>
        <w:rPr>
          <w:rFonts w:hint="eastAsia" w:ascii="宋体" w:hAnsi="宋体" w:cs="宋体"/>
          <w:kern w:val="0"/>
          <w:sz w:val="24"/>
          <w:highlight w:val="none"/>
        </w:rPr>
        <w:t>（编号为</w:t>
      </w:r>
      <w:r>
        <w:rPr>
          <w:rFonts w:hint="eastAsia" w:ascii="宋体" w:hAnsi="宋体" w:cs="宋体"/>
          <w:kern w:val="0"/>
          <w:sz w:val="24"/>
          <w:highlight w:val="none"/>
          <w:u w:val="single"/>
          <w:lang w:eastAsia="zh-CN"/>
        </w:rPr>
        <w:t>TZYY-2506-005号</w:t>
      </w:r>
      <w:r>
        <w:rPr>
          <w:rFonts w:hint="eastAsia" w:ascii="宋体" w:hAnsi="宋体" w:cs="宋体"/>
          <w:kern w:val="0"/>
          <w:sz w:val="24"/>
          <w:highlight w:val="none"/>
        </w:rPr>
        <w:t>）的投标，为此，我公司就本次投标有关事项郑重声明如下：</w:t>
      </w:r>
    </w:p>
    <w:p w14:paraId="0F9053BE">
      <w:pPr>
        <w:numPr>
          <w:ilvl w:val="0"/>
          <w:numId w:val="71"/>
        </w:numPr>
        <w:snapToGrid w:val="0"/>
        <w:spacing w:line="360" w:lineRule="auto"/>
        <w:ind w:left="5" w:firstLine="415"/>
        <w:rPr>
          <w:rFonts w:ascii="宋体" w:hAnsi="宋体" w:cs="宋体"/>
          <w:kern w:val="0"/>
          <w:sz w:val="24"/>
          <w:highlight w:val="none"/>
        </w:rPr>
      </w:pPr>
      <w:r>
        <w:rPr>
          <w:rFonts w:hint="eastAsia" w:ascii="宋体" w:hAnsi="宋体" w:cs="宋体"/>
          <w:kern w:val="0"/>
          <w:sz w:val="24"/>
          <w:highlight w:val="none"/>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14:paraId="3A973259">
      <w:pPr>
        <w:numPr>
          <w:ilvl w:val="0"/>
          <w:numId w:val="71"/>
        </w:numPr>
        <w:snapToGrid w:val="0"/>
        <w:spacing w:line="360" w:lineRule="auto"/>
        <w:ind w:left="5" w:firstLine="415"/>
        <w:rPr>
          <w:rFonts w:ascii="宋体" w:hAnsi="宋体" w:cs="宋体"/>
          <w:kern w:val="0"/>
          <w:sz w:val="24"/>
          <w:highlight w:val="none"/>
        </w:rPr>
      </w:pPr>
      <w:r>
        <w:rPr>
          <w:rFonts w:hint="eastAsia" w:ascii="宋体" w:hAnsi="宋体" w:cs="宋体"/>
          <w:kern w:val="0"/>
          <w:sz w:val="24"/>
          <w:highlight w:val="none"/>
        </w:rPr>
        <w:t>我公司在参与投标前已详细审查了招标文件和所有相关资料，我方完全知悉并认为此招标文件没有倾向性，也没有存在排斥潜在投标人的内容，我方对招标文件的所有内容没有任何异议，不申请澄清和质疑。</w:t>
      </w:r>
    </w:p>
    <w:p w14:paraId="02EF4DFF">
      <w:pPr>
        <w:numPr>
          <w:ilvl w:val="0"/>
          <w:numId w:val="71"/>
        </w:numPr>
        <w:snapToGrid w:val="0"/>
        <w:spacing w:line="360" w:lineRule="auto"/>
        <w:ind w:left="5" w:firstLine="415"/>
        <w:rPr>
          <w:rFonts w:ascii="宋体" w:hAnsi="宋体"/>
          <w:kern w:val="0"/>
          <w:sz w:val="24"/>
          <w:highlight w:val="none"/>
          <w:lang w:val="af-ZA"/>
        </w:rPr>
      </w:pPr>
      <w:r>
        <w:rPr>
          <w:rFonts w:hint="eastAsia" w:ascii="宋体" w:hAnsi="宋体" w:cs="宋体"/>
          <w:kern w:val="0"/>
          <w:sz w:val="24"/>
          <w:highlight w:val="none"/>
        </w:rPr>
        <w:t>我</w:t>
      </w:r>
      <w:r>
        <w:rPr>
          <w:rFonts w:hint="eastAsia" w:ascii="宋体" w:hAnsi="宋体" w:cs="仿宋_GB2312"/>
          <w:kern w:val="0"/>
          <w:sz w:val="24"/>
          <w:highlight w:val="none"/>
          <w:lang w:val="zh-CN"/>
        </w:rPr>
        <w:t>公司</w:t>
      </w:r>
      <w:r>
        <w:rPr>
          <w:rFonts w:hint="eastAsia" w:ascii="宋体" w:hAnsi="宋体" w:cs="宋体"/>
          <w:kern w:val="0"/>
          <w:sz w:val="24"/>
          <w:highlight w:val="none"/>
        </w:rPr>
        <w:t>保证，</w:t>
      </w:r>
      <w:r>
        <w:rPr>
          <w:rFonts w:hint="eastAsia" w:ascii="宋体" w:hAnsi="宋体"/>
          <w:kern w:val="0"/>
          <w:sz w:val="24"/>
          <w:highlight w:val="none"/>
          <w:lang w:val="af-ZA"/>
        </w:rPr>
        <w:t>采购人在中华人民共和国境内使用</w:t>
      </w:r>
      <w:r>
        <w:rPr>
          <w:rFonts w:hint="eastAsia" w:ascii="宋体" w:hAnsi="宋体" w:cs="宋体"/>
          <w:kern w:val="0"/>
          <w:sz w:val="24"/>
          <w:highlight w:val="none"/>
        </w:rPr>
        <w:t>我</w:t>
      </w:r>
      <w:r>
        <w:rPr>
          <w:rFonts w:hint="eastAsia" w:ascii="宋体" w:hAnsi="宋体" w:cs="仿宋_GB2312"/>
          <w:kern w:val="0"/>
          <w:sz w:val="24"/>
          <w:highlight w:val="none"/>
          <w:lang w:val="zh-CN"/>
        </w:rPr>
        <w:t>公司</w:t>
      </w:r>
      <w:r>
        <w:rPr>
          <w:rFonts w:hint="eastAsia" w:ascii="宋体" w:hAnsi="宋体"/>
          <w:kern w:val="0"/>
          <w:sz w:val="24"/>
          <w:highlight w:val="none"/>
          <w:lang w:val="af-ZA"/>
        </w:rPr>
        <w:t>投标货物、资料、技术、服务或其任何一部分时，享有不受限制的无偿使用权，如有第三方向采购人提出侵犯其专利权、商标权或</w:t>
      </w:r>
      <w:r>
        <w:rPr>
          <w:rFonts w:hint="eastAsia" w:ascii="宋体" w:hAnsi="宋体"/>
          <w:kern w:val="0"/>
          <w:sz w:val="24"/>
          <w:highlight w:val="none"/>
          <w:lang w:val="af-ZA" w:eastAsia="zh-CN"/>
        </w:rPr>
        <w:t>其他</w:t>
      </w:r>
      <w:r>
        <w:rPr>
          <w:rFonts w:hint="eastAsia" w:ascii="宋体" w:hAnsi="宋体"/>
          <w:kern w:val="0"/>
          <w:sz w:val="24"/>
          <w:highlight w:val="none"/>
          <w:lang w:val="af-ZA"/>
        </w:rPr>
        <w:t>知识产权的主张，该责任由</w:t>
      </w:r>
      <w:r>
        <w:rPr>
          <w:rFonts w:hint="eastAsia" w:ascii="宋体" w:hAnsi="宋体" w:cs="宋体"/>
          <w:kern w:val="0"/>
          <w:sz w:val="24"/>
          <w:highlight w:val="none"/>
          <w:lang w:val="af-ZA"/>
        </w:rPr>
        <w:t>我方</w:t>
      </w:r>
      <w:r>
        <w:rPr>
          <w:rFonts w:hint="eastAsia" w:ascii="宋体" w:hAnsi="宋体"/>
          <w:kern w:val="0"/>
          <w:sz w:val="24"/>
          <w:highlight w:val="none"/>
          <w:lang w:val="af-ZA"/>
        </w:rPr>
        <w:t>承担。</w:t>
      </w:r>
      <w:r>
        <w:rPr>
          <w:rFonts w:hint="eastAsia" w:ascii="宋体" w:hAnsi="宋体" w:cs="宋体"/>
          <w:kern w:val="0"/>
          <w:sz w:val="24"/>
          <w:highlight w:val="none"/>
          <w:lang w:val="af-ZA"/>
        </w:rPr>
        <w:t>我方的</w:t>
      </w:r>
      <w:r>
        <w:rPr>
          <w:rFonts w:hint="eastAsia" w:ascii="宋体" w:hAnsi="宋体"/>
          <w:kern w:val="0"/>
          <w:sz w:val="24"/>
          <w:highlight w:val="none"/>
          <w:lang w:val="af-ZA"/>
        </w:rPr>
        <w:t>投标报价</w:t>
      </w:r>
      <w:r>
        <w:rPr>
          <w:rFonts w:hint="eastAsia" w:ascii="宋体" w:hAnsi="宋体" w:cs="宋体"/>
          <w:kern w:val="0"/>
          <w:sz w:val="24"/>
          <w:highlight w:val="none"/>
          <w:lang w:val="af-ZA"/>
        </w:rPr>
        <w:t>已</w:t>
      </w:r>
      <w:r>
        <w:rPr>
          <w:rFonts w:hint="eastAsia" w:ascii="宋体" w:hAnsi="宋体"/>
          <w:kern w:val="0"/>
          <w:sz w:val="24"/>
          <w:highlight w:val="none"/>
          <w:lang w:val="af-ZA"/>
        </w:rPr>
        <w:t>包含所有应向所有权人支付的专利权、商标权或</w:t>
      </w:r>
      <w:r>
        <w:rPr>
          <w:rFonts w:hint="eastAsia" w:ascii="宋体" w:hAnsi="宋体"/>
          <w:kern w:val="0"/>
          <w:sz w:val="24"/>
          <w:highlight w:val="none"/>
          <w:lang w:val="af-ZA" w:eastAsia="zh-CN"/>
        </w:rPr>
        <w:t>其他</w:t>
      </w:r>
      <w:r>
        <w:rPr>
          <w:rFonts w:hint="eastAsia" w:ascii="宋体" w:hAnsi="宋体"/>
          <w:kern w:val="0"/>
          <w:sz w:val="24"/>
          <w:highlight w:val="none"/>
          <w:lang w:val="af-ZA"/>
        </w:rPr>
        <w:t>知识产权的一切相关费用。</w:t>
      </w:r>
    </w:p>
    <w:p w14:paraId="561120B9">
      <w:pPr>
        <w:numPr>
          <w:ilvl w:val="0"/>
          <w:numId w:val="71"/>
        </w:numPr>
        <w:snapToGrid w:val="0"/>
        <w:spacing w:line="360" w:lineRule="auto"/>
        <w:ind w:left="5" w:firstLine="415"/>
        <w:rPr>
          <w:rFonts w:ascii="仿宋_GB2312" w:hAnsi="仿宋_GB2312" w:cs="仿宋_GB2312"/>
          <w:sz w:val="24"/>
          <w:highlight w:val="none"/>
        </w:rPr>
      </w:pPr>
      <w:r>
        <w:rPr>
          <w:rFonts w:hint="eastAsia" w:ascii="宋体" w:hAnsi="宋体" w:cs="宋体"/>
          <w:kern w:val="0"/>
          <w:sz w:val="24"/>
          <w:highlight w:val="none"/>
          <w:lang w:val="af-ZA"/>
        </w:rPr>
        <w:t>我</w:t>
      </w:r>
      <w:r>
        <w:rPr>
          <w:rFonts w:hint="eastAsia" w:ascii="宋体" w:hAnsi="宋体" w:cs="宋体"/>
          <w:kern w:val="0"/>
          <w:sz w:val="24"/>
          <w:highlight w:val="none"/>
          <w:lang w:val="zh-CN"/>
        </w:rPr>
        <w:t>公司</w:t>
      </w:r>
      <w:r>
        <w:rPr>
          <w:rFonts w:hint="eastAsia" w:ascii="宋体" w:hAnsi="宋体" w:cs="宋体"/>
          <w:kern w:val="0"/>
          <w:sz w:val="24"/>
          <w:highlight w:val="none"/>
          <w:lang w:val="af-ZA"/>
        </w:rPr>
        <w:t>严格履行政府采购合同，不降低合同约定的产品质量和服务，不擅自变更、中止、终止合同，或拒绝履行合同义务。</w:t>
      </w:r>
    </w:p>
    <w:p w14:paraId="756EFC32">
      <w:pPr>
        <w:numPr>
          <w:ilvl w:val="0"/>
          <w:numId w:val="71"/>
        </w:numPr>
        <w:snapToGrid w:val="0"/>
        <w:spacing w:line="360" w:lineRule="auto"/>
        <w:ind w:left="5" w:firstLine="415"/>
        <w:rPr>
          <w:highlight w:val="none"/>
        </w:rPr>
      </w:pPr>
      <w:r>
        <w:rPr>
          <w:rFonts w:hint="eastAsia" w:ascii="宋体" w:hAnsi="宋体"/>
          <w:sz w:val="24"/>
          <w:highlight w:val="none"/>
        </w:rPr>
        <w:t>以上事项如有虚假或隐瞒，我</w:t>
      </w:r>
      <w:r>
        <w:rPr>
          <w:rFonts w:hint="eastAsia" w:ascii="宋体" w:hAnsi="宋体" w:cs="仿宋_GB2312"/>
          <w:kern w:val="0"/>
          <w:sz w:val="24"/>
          <w:highlight w:val="none"/>
          <w:lang w:val="zh-CN"/>
        </w:rPr>
        <w:t>公司</w:t>
      </w:r>
      <w:r>
        <w:rPr>
          <w:rFonts w:hint="eastAsia" w:ascii="宋体" w:hAnsi="宋体"/>
          <w:sz w:val="24"/>
          <w:highlight w:val="none"/>
        </w:rPr>
        <w:t>愿意承担一切后果，并不再寻求任何旨在减轻或免除法律责任的辩解。</w:t>
      </w:r>
    </w:p>
    <w:p w14:paraId="0E072F2D">
      <w:pPr>
        <w:adjustRightInd w:val="0"/>
        <w:snapToGrid w:val="0"/>
        <w:spacing w:line="360" w:lineRule="auto"/>
        <w:ind w:firstLine="4838" w:firstLineChars="2016"/>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投标人（公章）：</w:t>
      </w:r>
    </w:p>
    <w:p w14:paraId="2970E539">
      <w:pPr>
        <w:adjustRightInd w:val="0"/>
        <w:snapToGrid w:val="0"/>
        <w:spacing w:line="360" w:lineRule="auto"/>
        <w:jc w:val="right"/>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法定代表人或授权</w:t>
      </w:r>
      <w:r>
        <w:rPr>
          <w:rFonts w:hint="eastAsia" w:ascii="宋体" w:hAnsi="宋体" w:cs="仿宋_GB2312"/>
          <w:color w:val="FF0000"/>
          <w:kern w:val="0"/>
          <w:sz w:val="24"/>
          <w:highlight w:val="none"/>
          <w:lang w:val="en-US" w:eastAsia="zh-CN"/>
        </w:rPr>
        <w:t>代表</w:t>
      </w:r>
      <w:r>
        <w:rPr>
          <w:rFonts w:hint="eastAsia" w:ascii="宋体" w:hAnsi="宋体" w:cs="仿宋_GB2312"/>
          <w:color w:val="FF0000"/>
          <w:kern w:val="0"/>
          <w:sz w:val="24"/>
          <w:highlight w:val="none"/>
          <w:lang w:val="zh-CN"/>
        </w:rPr>
        <w:t>签字（</w:t>
      </w:r>
      <w:r>
        <w:rPr>
          <w:rFonts w:hint="eastAsia" w:ascii="宋体" w:hAnsi="宋体" w:cs="仿宋_GB2312"/>
          <w:color w:val="FF0000"/>
          <w:kern w:val="0"/>
          <w:sz w:val="24"/>
          <w:highlight w:val="none"/>
          <w:lang w:val="en-US" w:eastAsia="zh-CN"/>
        </w:rPr>
        <w:t>签章</w:t>
      </w:r>
      <w:r>
        <w:rPr>
          <w:rFonts w:hint="eastAsia" w:ascii="宋体" w:hAnsi="宋体" w:cs="仿宋_GB2312"/>
          <w:color w:val="FF0000"/>
          <w:kern w:val="0"/>
          <w:sz w:val="24"/>
          <w:highlight w:val="none"/>
          <w:lang w:val="zh-CN"/>
        </w:rPr>
        <w:t>）：</w:t>
      </w:r>
    </w:p>
    <w:p w14:paraId="39EAB5ED">
      <w:pPr>
        <w:adjustRightInd w:val="0"/>
        <w:snapToGrid w:val="0"/>
        <w:spacing w:line="360" w:lineRule="auto"/>
        <w:ind w:firstLine="4838" w:firstLineChars="2016"/>
        <w:rPr>
          <w:rFonts w:ascii="宋体" w:hAnsi="宋体"/>
          <w:b/>
          <w:sz w:val="28"/>
          <w:highlight w:val="none"/>
        </w:rPr>
      </w:pPr>
      <w:r>
        <w:rPr>
          <w:rFonts w:hint="eastAsia" w:ascii="宋体" w:hAnsi="宋体" w:cs="仿宋_GB2312"/>
          <w:color w:val="FF0000"/>
          <w:kern w:val="0"/>
          <w:sz w:val="24"/>
          <w:highlight w:val="none"/>
          <w:lang w:val="zh-CN"/>
        </w:rPr>
        <w:t>日期：    年   月   日</w:t>
      </w:r>
    </w:p>
    <w:p w14:paraId="3E5D7C8B">
      <w:pPr>
        <w:rPr>
          <w:rFonts w:hint="eastAsia" w:ascii="宋体" w:hAnsi="宋体"/>
          <w:b/>
          <w:sz w:val="28"/>
          <w:highlight w:val="none"/>
        </w:rPr>
      </w:pPr>
      <w:r>
        <w:rPr>
          <w:rFonts w:hint="eastAsia" w:ascii="宋体" w:hAnsi="宋体"/>
          <w:b/>
          <w:sz w:val="28"/>
          <w:highlight w:val="none"/>
        </w:rPr>
        <w:br w:type="page"/>
      </w:r>
    </w:p>
    <w:p w14:paraId="47C68E2D">
      <w:pPr>
        <w:adjustRightInd w:val="0"/>
        <w:snapToGrid w:val="0"/>
        <w:spacing w:line="360" w:lineRule="auto"/>
        <w:ind w:right="480"/>
        <w:rPr>
          <w:rFonts w:ascii="宋体"/>
          <w:b/>
          <w:sz w:val="30"/>
          <w:szCs w:val="30"/>
          <w:highlight w:val="none"/>
        </w:rPr>
      </w:pPr>
      <w:r>
        <w:rPr>
          <w:rFonts w:hint="eastAsia" w:ascii="宋体" w:hAnsi="宋体"/>
          <w:b/>
          <w:sz w:val="28"/>
          <w:highlight w:val="none"/>
        </w:rPr>
        <w:t>附件2</w:t>
      </w:r>
    </w:p>
    <w:p w14:paraId="5F42C4BD">
      <w:pPr>
        <w:spacing w:line="360" w:lineRule="auto"/>
        <w:ind w:firstLine="321" w:firstLineChars="100"/>
        <w:jc w:val="center"/>
        <w:rPr>
          <w:rFonts w:hAnsi="宋体"/>
          <w:b/>
          <w:sz w:val="32"/>
          <w:szCs w:val="32"/>
          <w:highlight w:val="none"/>
          <w:u w:val="single"/>
        </w:rPr>
      </w:pPr>
      <w:bookmarkStart w:id="59" w:name="_Toc6870_WPSOffice_Level1"/>
      <w:bookmarkStart w:id="60" w:name="_Toc24373_WPSOffice_Level1"/>
      <w:r>
        <w:rPr>
          <w:b/>
          <w:sz w:val="32"/>
          <w:szCs w:val="32"/>
          <w:highlight w:val="none"/>
        </w:rPr>
        <w:t>授权</w:t>
      </w:r>
      <w:r>
        <w:rPr>
          <w:rFonts w:hint="eastAsia"/>
          <w:b/>
          <w:sz w:val="32"/>
          <w:szCs w:val="32"/>
          <w:highlight w:val="none"/>
        </w:rPr>
        <w:t>委托</w:t>
      </w:r>
      <w:r>
        <w:rPr>
          <w:b/>
          <w:sz w:val="32"/>
          <w:szCs w:val="32"/>
          <w:highlight w:val="none"/>
        </w:rPr>
        <w:t>书</w:t>
      </w:r>
      <w:bookmarkEnd w:id="59"/>
      <w:bookmarkEnd w:id="60"/>
    </w:p>
    <w:p w14:paraId="6C386024">
      <w:pPr>
        <w:snapToGrid w:val="0"/>
        <w:spacing w:before="156" w:beforeLines="50" w:after="50" w:line="360" w:lineRule="auto"/>
        <w:rPr>
          <w:rFonts w:ascii="宋体" w:hAnsi="宋体" w:cs="宋体"/>
          <w:kern w:val="0"/>
          <w:sz w:val="24"/>
          <w:highlight w:val="none"/>
        </w:rPr>
      </w:pPr>
      <w:r>
        <w:rPr>
          <w:rFonts w:hint="eastAsia" w:ascii="宋体" w:hAnsi="宋体" w:cs="宋体"/>
          <w:kern w:val="0"/>
          <w:sz w:val="24"/>
          <w:highlight w:val="none"/>
          <w:u w:val="single"/>
          <w:lang w:eastAsia="zh-CN"/>
        </w:rPr>
        <w:t>海虹街道中心幼儿园</w:t>
      </w:r>
      <w:r>
        <w:rPr>
          <w:rFonts w:hint="eastAsia" w:ascii="宋体" w:hAnsi="宋体" w:cs="宋体"/>
          <w:kern w:val="0"/>
          <w:sz w:val="24"/>
          <w:highlight w:val="none"/>
        </w:rPr>
        <w:t>：</w:t>
      </w:r>
    </w:p>
    <w:p w14:paraId="0647E3CE">
      <w:pPr>
        <w:pStyle w:val="15"/>
        <w:spacing w:line="360" w:lineRule="auto"/>
        <w:ind w:firstLine="480" w:firstLineChars="200"/>
        <w:rPr>
          <w:rFonts w:hAnsi="宋体"/>
          <w:sz w:val="24"/>
          <w:highlight w:val="none"/>
        </w:rPr>
      </w:pPr>
      <w:r>
        <w:rPr>
          <w:rFonts w:hint="eastAsia" w:hAnsi="宋体"/>
          <w:color w:val="auto"/>
          <w:sz w:val="24"/>
          <w:highlight w:val="none"/>
          <w:u w:val="none"/>
          <w:lang w:val="en-US" w:eastAsia="zh-CN"/>
        </w:rPr>
        <w:t>现</w:t>
      </w:r>
      <w:r>
        <w:rPr>
          <w:rFonts w:hAnsi="宋体"/>
          <w:sz w:val="24"/>
          <w:highlight w:val="none"/>
        </w:rPr>
        <w:t>授权</w:t>
      </w:r>
      <w:r>
        <w:rPr>
          <w:rFonts w:hint="eastAsia" w:hAnsi="宋体"/>
          <w:color w:val="FF0000"/>
          <w:sz w:val="24"/>
          <w:highlight w:val="none"/>
          <w:u w:val="single"/>
        </w:rPr>
        <w:t xml:space="preserve">   （全权代表</w:t>
      </w:r>
      <w:r>
        <w:rPr>
          <w:rFonts w:hAnsi="宋体"/>
          <w:color w:val="FF0000"/>
          <w:sz w:val="24"/>
          <w:highlight w:val="none"/>
          <w:u w:val="single"/>
        </w:rPr>
        <w:t>姓名</w:t>
      </w:r>
      <w:r>
        <w:rPr>
          <w:rFonts w:hint="eastAsia" w:hAnsi="宋体"/>
          <w:color w:val="FF0000"/>
          <w:sz w:val="24"/>
          <w:highlight w:val="none"/>
          <w:u w:val="single"/>
        </w:rPr>
        <w:t xml:space="preserve">） </w:t>
      </w:r>
      <w:r>
        <w:rPr>
          <w:rFonts w:hAnsi="宋体"/>
          <w:sz w:val="24"/>
          <w:highlight w:val="none"/>
        </w:rPr>
        <w:t>为</w:t>
      </w:r>
      <w:r>
        <w:rPr>
          <w:rFonts w:hint="eastAsia" w:hAnsi="宋体"/>
          <w:sz w:val="24"/>
          <w:highlight w:val="none"/>
        </w:rPr>
        <w:t>全权代表</w:t>
      </w:r>
      <w:r>
        <w:rPr>
          <w:rFonts w:hAnsi="宋体"/>
          <w:sz w:val="24"/>
          <w:highlight w:val="none"/>
        </w:rPr>
        <w:t>，参加贵单位组织的</w:t>
      </w:r>
      <w:r>
        <w:rPr>
          <w:rFonts w:hint="eastAsia" w:hAnsi="宋体"/>
          <w:sz w:val="24"/>
          <w:highlight w:val="none"/>
          <w:u w:val="single"/>
          <w:lang w:eastAsia="zh-CN"/>
        </w:rPr>
        <w:t>海虹街道中心幼儿园（翡翠云邸）幼儿家具采购项目</w:t>
      </w:r>
      <w:r>
        <w:rPr>
          <w:rFonts w:hint="eastAsia" w:hAnsi="宋体" w:cs="宋体"/>
          <w:kern w:val="0"/>
          <w:sz w:val="24"/>
          <w:highlight w:val="none"/>
        </w:rPr>
        <w:t>（编号为</w:t>
      </w:r>
      <w:r>
        <w:rPr>
          <w:rFonts w:hint="eastAsia" w:hAnsi="宋体" w:cs="宋体"/>
          <w:kern w:val="0"/>
          <w:sz w:val="24"/>
          <w:highlight w:val="none"/>
          <w:u w:val="single"/>
          <w:lang w:eastAsia="zh-CN"/>
        </w:rPr>
        <w:t>TZYY-2506-005号</w:t>
      </w:r>
      <w:r>
        <w:rPr>
          <w:rFonts w:hint="eastAsia" w:hAnsi="宋体" w:cs="宋体"/>
          <w:kern w:val="0"/>
          <w:sz w:val="24"/>
          <w:highlight w:val="none"/>
        </w:rPr>
        <w:t>）</w:t>
      </w:r>
      <w:r>
        <w:rPr>
          <w:rFonts w:hAnsi="宋体"/>
          <w:sz w:val="24"/>
          <w:highlight w:val="none"/>
        </w:rPr>
        <w:t>的采购活动，并代表我方全权办理针对上述项目的投标、开标、评标、签约等具体事务和签署相关文件。</w:t>
      </w:r>
      <w:r>
        <w:rPr>
          <w:rFonts w:hint="eastAsia" w:hAnsi="宋体"/>
          <w:sz w:val="24"/>
          <w:highlight w:val="none"/>
        </w:rPr>
        <w:t>我方对全权代表的签字事项负全部责任。</w:t>
      </w:r>
    </w:p>
    <w:p w14:paraId="4DE5733B">
      <w:pPr>
        <w:pStyle w:val="15"/>
        <w:spacing w:line="360" w:lineRule="auto"/>
        <w:ind w:firstLine="480" w:firstLineChars="200"/>
        <w:rPr>
          <w:rFonts w:hAnsi="宋体"/>
          <w:sz w:val="24"/>
          <w:highlight w:val="none"/>
        </w:rPr>
      </w:pPr>
      <w:r>
        <w:rPr>
          <w:rFonts w:hint="eastAsia" w:hAnsi="宋体"/>
          <w:sz w:val="24"/>
          <w:highlight w:val="none"/>
        </w:rPr>
        <w:t>在撤销授权的书面通知以前，本授权书一直有效。全权代表在授权委托书有效期内签署的所有文件不因授权的撤销而失效。</w:t>
      </w:r>
    </w:p>
    <w:p w14:paraId="11780FDF">
      <w:pPr>
        <w:pStyle w:val="15"/>
        <w:spacing w:line="360" w:lineRule="auto"/>
        <w:ind w:firstLine="480" w:firstLineChars="200"/>
        <w:rPr>
          <w:rFonts w:hAnsi="宋体"/>
          <w:sz w:val="24"/>
          <w:highlight w:val="none"/>
        </w:rPr>
      </w:pPr>
      <w:r>
        <w:rPr>
          <w:rFonts w:hint="eastAsia" w:hAnsi="宋体"/>
          <w:sz w:val="24"/>
          <w:highlight w:val="none"/>
        </w:rPr>
        <w:t>全权代表无转委托权，特此委托。</w:t>
      </w:r>
    </w:p>
    <w:p w14:paraId="6A6F5238">
      <w:pPr>
        <w:spacing w:line="360" w:lineRule="auto"/>
        <w:rPr>
          <w:sz w:val="24"/>
          <w:highlight w:val="none"/>
        </w:rPr>
      </w:pPr>
    </w:p>
    <w:p w14:paraId="671F80A0">
      <w:pPr>
        <w:spacing w:line="360" w:lineRule="auto"/>
        <w:rPr>
          <w:color w:val="FF0000"/>
          <w:sz w:val="24"/>
          <w:highlight w:val="none"/>
        </w:rPr>
      </w:pPr>
      <w:r>
        <w:rPr>
          <w:rFonts w:hint="eastAsia" w:ascii="宋体"/>
          <w:color w:val="FF0000"/>
          <w:sz w:val="24"/>
          <w:highlight w:val="none"/>
        </w:rPr>
        <w:t>法定代表人签字</w:t>
      </w:r>
      <w:r>
        <w:rPr>
          <w:rFonts w:hint="eastAsia" w:ascii="宋体"/>
          <w:color w:val="FF0000"/>
          <w:sz w:val="24"/>
          <w:highlight w:val="none"/>
          <w:lang w:eastAsia="zh-CN"/>
        </w:rPr>
        <w:t>（</w:t>
      </w:r>
      <w:r>
        <w:rPr>
          <w:rFonts w:hint="eastAsia" w:ascii="宋体"/>
          <w:color w:val="FF0000"/>
          <w:sz w:val="24"/>
          <w:highlight w:val="none"/>
          <w:lang w:val="en-US" w:eastAsia="zh-CN"/>
        </w:rPr>
        <w:t>签章</w:t>
      </w:r>
      <w:r>
        <w:rPr>
          <w:rFonts w:hint="eastAsia" w:ascii="宋体"/>
          <w:color w:val="FF0000"/>
          <w:sz w:val="24"/>
          <w:highlight w:val="none"/>
          <w:lang w:eastAsia="zh-CN"/>
        </w:rPr>
        <w:t>）</w:t>
      </w:r>
      <w:r>
        <w:rPr>
          <w:rFonts w:hint="eastAsia" w:ascii="宋体"/>
          <w:color w:val="FF0000"/>
          <w:sz w:val="24"/>
          <w:highlight w:val="none"/>
        </w:rPr>
        <w:t>：</w:t>
      </w:r>
    </w:p>
    <w:p w14:paraId="0AD1B07C">
      <w:pPr>
        <w:spacing w:line="360" w:lineRule="auto"/>
        <w:rPr>
          <w:color w:val="FF0000"/>
          <w:sz w:val="24"/>
          <w:highlight w:val="none"/>
        </w:rPr>
      </w:pPr>
      <w:r>
        <w:rPr>
          <w:rFonts w:hint="eastAsia" w:ascii="宋体"/>
          <w:color w:val="FF0000"/>
          <w:sz w:val="24"/>
          <w:highlight w:val="none"/>
        </w:rPr>
        <w:t>投标人（公章）：                              日期：</w:t>
      </w:r>
    </w:p>
    <w:p w14:paraId="4CE23D8C">
      <w:pPr>
        <w:spacing w:line="360" w:lineRule="auto"/>
        <w:rPr>
          <w:sz w:val="24"/>
          <w:highlight w:val="none"/>
        </w:rPr>
      </w:pPr>
    </w:p>
    <w:p w14:paraId="6F6A24CF">
      <w:pPr>
        <w:spacing w:line="360" w:lineRule="auto"/>
        <w:rPr>
          <w:b/>
          <w:sz w:val="24"/>
          <w:highlight w:val="none"/>
        </w:rPr>
      </w:pPr>
      <w:r>
        <w:rPr>
          <w:rFonts w:hint="eastAsia" w:ascii="宋体"/>
          <w:b/>
          <w:sz w:val="24"/>
          <w:highlight w:val="none"/>
        </w:rPr>
        <w:t>附：</w:t>
      </w:r>
    </w:p>
    <w:tbl>
      <w:tblPr>
        <w:tblStyle w:val="27"/>
        <w:tblpPr w:leftFromText="180" w:rightFromText="180" w:vertAnchor="text" w:horzAnchor="page" w:tblpX="1425" w:tblpY="368"/>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4309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0" w:hRule="atLeast"/>
        </w:trPr>
        <w:tc>
          <w:tcPr>
            <w:tcW w:w="4080" w:type="dxa"/>
          </w:tcPr>
          <w:p w14:paraId="46A55E5C">
            <w:pPr>
              <w:spacing w:line="360" w:lineRule="auto"/>
              <w:rPr>
                <w:rFonts w:ascii="宋体"/>
                <w:b/>
                <w:sz w:val="24"/>
                <w:highlight w:val="none"/>
              </w:rPr>
            </w:pPr>
          </w:p>
          <w:p w14:paraId="5E7B22B2">
            <w:pPr>
              <w:spacing w:line="360" w:lineRule="auto"/>
              <w:ind w:firstLine="361" w:firstLineChars="150"/>
              <w:rPr>
                <w:rFonts w:ascii="宋体"/>
                <w:b/>
                <w:sz w:val="24"/>
                <w:highlight w:val="none"/>
              </w:rPr>
            </w:pPr>
            <w:r>
              <w:rPr>
                <w:rFonts w:hint="eastAsia" w:ascii="宋体"/>
                <w:b/>
                <w:sz w:val="24"/>
                <w:highlight w:val="none"/>
              </w:rPr>
              <w:t>法定代表</w:t>
            </w:r>
            <w:r>
              <w:rPr>
                <w:rFonts w:hint="eastAsia" w:ascii="宋体"/>
                <w:b/>
                <w:sz w:val="24"/>
                <w:highlight w:val="none"/>
                <w:lang w:val="en-US" w:eastAsia="zh-CN"/>
              </w:rPr>
              <w:t>人</w:t>
            </w:r>
            <w:r>
              <w:rPr>
                <w:rFonts w:hint="eastAsia" w:ascii="宋体"/>
                <w:b/>
                <w:sz w:val="24"/>
                <w:highlight w:val="none"/>
              </w:rPr>
              <w:t>身份证</w:t>
            </w:r>
          </w:p>
        </w:tc>
      </w:tr>
    </w:tbl>
    <w:tbl>
      <w:tblPr>
        <w:tblStyle w:val="27"/>
        <w:tblpPr w:leftFromText="180" w:rightFromText="180" w:vertAnchor="text" w:horzAnchor="page" w:tblpX="5675" w:tblpY="385"/>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6A0A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27C30A11">
            <w:pPr>
              <w:spacing w:line="360" w:lineRule="auto"/>
              <w:rPr>
                <w:rFonts w:ascii="宋体"/>
                <w:b/>
                <w:sz w:val="24"/>
                <w:highlight w:val="none"/>
              </w:rPr>
            </w:pPr>
          </w:p>
          <w:p w14:paraId="59584682">
            <w:pPr>
              <w:spacing w:line="360" w:lineRule="auto"/>
              <w:ind w:firstLine="361" w:firstLineChars="150"/>
              <w:rPr>
                <w:rFonts w:ascii="宋体"/>
                <w:b/>
                <w:sz w:val="24"/>
                <w:highlight w:val="none"/>
              </w:rPr>
            </w:pPr>
            <w:r>
              <w:rPr>
                <w:rFonts w:hint="eastAsia" w:ascii="宋体"/>
                <w:b/>
                <w:sz w:val="24"/>
                <w:highlight w:val="none"/>
              </w:rPr>
              <w:t>全权代表身份证</w:t>
            </w:r>
          </w:p>
        </w:tc>
      </w:tr>
    </w:tbl>
    <w:p w14:paraId="6DAE8D4F">
      <w:pPr>
        <w:spacing w:line="360" w:lineRule="auto"/>
        <w:rPr>
          <w:rFonts w:ascii="宋体"/>
          <w:sz w:val="24"/>
          <w:highlight w:val="none"/>
        </w:rPr>
      </w:pPr>
    </w:p>
    <w:p w14:paraId="631A5E4A">
      <w:pPr>
        <w:spacing w:line="360" w:lineRule="auto"/>
        <w:rPr>
          <w:b/>
          <w:sz w:val="24"/>
          <w:highlight w:val="none"/>
        </w:rPr>
      </w:pPr>
    </w:p>
    <w:p w14:paraId="3232CE1F">
      <w:pPr>
        <w:rPr>
          <w:rFonts w:ascii="宋体" w:hAnsi="宋体"/>
          <w:b/>
          <w:sz w:val="28"/>
          <w:highlight w:val="none"/>
        </w:rPr>
      </w:pPr>
      <w:r>
        <w:rPr>
          <w:rFonts w:hint="eastAsia" w:ascii="宋体" w:hAnsi="宋体"/>
          <w:b/>
          <w:sz w:val="28"/>
          <w:highlight w:val="none"/>
        </w:rPr>
        <w:br w:type="page"/>
      </w:r>
      <w:bookmarkStart w:id="61" w:name="_Toc12331_WPSOffice_Level1"/>
      <w:bookmarkStart w:id="62" w:name="_Toc16825_WPSOffice_Level1"/>
      <w:bookmarkStart w:id="63" w:name="_Toc26389_WPSOffice_Level1"/>
    </w:p>
    <w:p w14:paraId="5BECCCDA">
      <w:pPr>
        <w:rPr>
          <w:rFonts w:ascii="宋体" w:hAnsi="宋体"/>
          <w:b/>
          <w:sz w:val="28"/>
          <w:highlight w:val="none"/>
        </w:rPr>
      </w:pPr>
      <w:r>
        <w:rPr>
          <w:rFonts w:hint="eastAsia" w:ascii="宋体" w:hAnsi="宋体"/>
          <w:b/>
          <w:sz w:val="28"/>
          <w:highlight w:val="none"/>
        </w:rPr>
        <w:t>附件3</w:t>
      </w:r>
    </w:p>
    <w:p w14:paraId="5171935A">
      <w:pPr>
        <w:widowControl/>
        <w:adjustRightInd w:val="0"/>
        <w:snapToGrid w:val="0"/>
        <w:jc w:val="center"/>
        <w:rPr>
          <w:rFonts w:ascii="宋体" w:hAnsi="宋体"/>
          <w:b/>
          <w:kern w:val="0"/>
          <w:sz w:val="32"/>
          <w:szCs w:val="32"/>
          <w:highlight w:val="none"/>
        </w:rPr>
      </w:pPr>
      <w:r>
        <w:rPr>
          <w:rFonts w:hint="eastAsia" w:ascii="宋体" w:hAnsi="宋体"/>
          <w:b/>
          <w:kern w:val="0"/>
          <w:sz w:val="32"/>
          <w:szCs w:val="32"/>
          <w:highlight w:val="none"/>
        </w:rPr>
        <w:t>具有</w:t>
      </w:r>
      <w:r>
        <w:rPr>
          <w:rFonts w:ascii="宋体" w:hAnsi="宋体"/>
          <w:b/>
          <w:kern w:val="0"/>
          <w:sz w:val="32"/>
          <w:szCs w:val="32"/>
          <w:highlight w:val="none"/>
        </w:rPr>
        <w:t>依法缴纳税收和</w:t>
      </w:r>
      <w:r>
        <w:rPr>
          <w:rFonts w:hint="eastAsia" w:ascii="宋体" w:hAnsi="宋体"/>
          <w:b/>
          <w:kern w:val="0"/>
          <w:sz w:val="32"/>
          <w:szCs w:val="32"/>
          <w:highlight w:val="none"/>
        </w:rPr>
        <w:t>社会保障资金证明</w:t>
      </w:r>
      <w:r>
        <w:rPr>
          <w:rFonts w:ascii="宋体" w:hAnsi="宋体"/>
          <w:b/>
          <w:kern w:val="0"/>
          <w:sz w:val="32"/>
          <w:szCs w:val="32"/>
          <w:highlight w:val="none"/>
        </w:rPr>
        <w:t>的承诺函</w:t>
      </w:r>
    </w:p>
    <w:p w14:paraId="55296980">
      <w:pPr>
        <w:widowControl/>
        <w:adjustRightInd w:val="0"/>
        <w:snapToGrid w:val="0"/>
        <w:jc w:val="center"/>
        <w:rPr>
          <w:rFonts w:ascii="宋体" w:hAnsi="宋体"/>
          <w:b/>
          <w:kern w:val="0"/>
          <w:sz w:val="32"/>
          <w:szCs w:val="32"/>
          <w:highlight w:val="none"/>
        </w:rPr>
      </w:pPr>
    </w:p>
    <w:p w14:paraId="40BC7D44">
      <w:pPr>
        <w:widowControl/>
        <w:adjustRightInd w:val="0"/>
        <w:snapToGrid w:val="0"/>
        <w:jc w:val="left"/>
        <w:rPr>
          <w:rFonts w:ascii="宋体" w:hAnsi="宋体"/>
          <w:kern w:val="0"/>
          <w:sz w:val="28"/>
          <w:szCs w:val="32"/>
          <w:highlight w:val="none"/>
        </w:rPr>
      </w:pPr>
      <w:r>
        <w:rPr>
          <w:rFonts w:hint="eastAsia" w:ascii="宋体" w:hAnsi="宋体"/>
          <w:color w:val="FF0000"/>
          <w:kern w:val="0"/>
          <w:sz w:val="28"/>
          <w:szCs w:val="32"/>
          <w:highlight w:val="none"/>
        </w:rPr>
        <w:t>（</w:t>
      </w:r>
      <w:r>
        <w:rPr>
          <w:rFonts w:hint="eastAsia" w:ascii="宋体" w:hAnsi="宋体"/>
          <w:color w:val="FF0000"/>
          <w:kern w:val="0"/>
          <w:sz w:val="28"/>
          <w:szCs w:val="32"/>
          <w:highlight w:val="none"/>
          <w:lang w:val="en-US" w:eastAsia="zh-CN"/>
        </w:rPr>
        <w:t>提示：</w:t>
      </w:r>
      <w:r>
        <w:rPr>
          <w:rFonts w:hint="eastAsia" w:ascii="宋体" w:hAnsi="宋体"/>
          <w:color w:val="FF0000"/>
          <w:kern w:val="0"/>
          <w:sz w:val="28"/>
          <w:szCs w:val="32"/>
          <w:highlight w:val="none"/>
        </w:rPr>
        <w:t>如依法免税的，应提供相应文件证明其依法免税；如依法不需要缴纳社会保障资金的，应提供相应文件证明其依法不需要缴纳社会保障资金）</w:t>
      </w:r>
    </w:p>
    <w:p w14:paraId="705871A4">
      <w:pPr>
        <w:adjustRightInd w:val="0"/>
        <w:snapToGrid w:val="0"/>
        <w:jc w:val="left"/>
        <w:rPr>
          <w:rFonts w:ascii="宋体" w:hAnsi="宋体"/>
          <w:b/>
          <w:kern w:val="0"/>
          <w:sz w:val="32"/>
          <w:szCs w:val="32"/>
          <w:highlight w:val="none"/>
        </w:rPr>
      </w:pPr>
    </w:p>
    <w:p w14:paraId="79C21F13">
      <w:pPr>
        <w:widowControl/>
        <w:shd w:val="clear" w:color="auto" w:fill="FFFFFF"/>
        <w:spacing w:before="100" w:beforeAutospacing="1" w:after="100" w:afterAutospacing="1" w:line="480" w:lineRule="auto"/>
        <w:jc w:val="left"/>
        <w:rPr>
          <w:rFonts w:ascii="宋体" w:hAnsi="宋体"/>
          <w:kern w:val="0"/>
          <w:sz w:val="24"/>
          <w:highlight w:val="none"/>
        </w:rPr>
      </w:pPr>
      <w:r>
        <w:rPr>
          <w:rFonts w:hint="eastAsia" w:ascii="宋体" w:hAnsi="宋体"/>
          <w:kern w:val="0"/>
          <w:sz w:val="24"/>
          <w:highlight w:val="none"/>
          <w:u w:val="single"/>
          <w:lang w:eastAsia="zh-CN"/>
        </w:rPr>
        <w:t>海虹街道中心幼儿园</w:t>
      </w:r>
      <w:r>
        <w:rPr>
          <w:rFonts w:ascii="宋体" w:hAnsi="宋体"/>
          <w:kern w:val="0"/>
          <w:sz w:val="24"/>
          <w:highlight w:val="none"/>
        </w:rPr>
        <w:t>：</w:t>
      </w:r>
    </w:p>
    <w:p w14:paraId="16DAFF6F">
      <w:pPr>
        <w:widowControl/>
        <w:shd w:val="clear" w:color="auto" w:fill="FFFFFF"/>
        <w:spacing w:before="100" w:beforeAutospacing="1" w:after="100" w:afterAutospacing="1" w:line="480" w:lineRule="auto"/>
        <w:ind w:firstLine="480" w:firstLineChars="200"/>
        <w:jc w:val="left"/>
        <w:rPr>
          <w:rFonts w:ascii="宋体" w:hAnsi="宋体"/>
          <w:kern w:val="0"/>
          <w:sz w:val="24"/>
          <w:highlight w:val="none"/>
        </w:rPr>
      </w:pPr>
      <w:r>
        <w:rPr>
          <w:rFonts w:ascii="宋体" w:hAnsi="宋体"/>
          <w:kern w:val="0"/>
          <w:sz w:val="24"/>
          <w:highlight w:val="none"/>
        </w:rPr>
        <w:t>我单位</w:t>
      </w:r>
      <w:r>
        <w:rPr>
          <w:rFonts w:hint="eastAsia" w:ascii="宋体" w:hAnsi="宋体"/>
          <w:kern w:val="0"/>
          <w:sz w:val="24"/>
          <w:highlight w:val="none"/>
        </w:rPr>
        <w:t>具有</w:t>
      </w:r>
      <w:r>
        <w:rPr>
          <w:rFonts w:ascii="宋体" w:hAnsi="宋体"/>
          <w:kern w:val="0"/>
          <w:sz w:val="24"/>
          <w:highlight w:val="none"/>
        </w:rPr>
        <w:t>依法缴纳税收和</w:t>
      </w:r>
      <w:r>
        <w:rPr>
          <w:rFonts w:hint="eastAsia" w:ascii="宋体" w:hAnsi="宋体"/>
          <w:kern w:val="0"/>
          <w:sz w:val="24"/>
          <w:highlight w:val="none"/>
        </w:rPr>
        <w:t>社会保障资金</w:t>
      </w:r>
      <w:r>
        <w:rPr>
          <w:rFonts w:ascii="宋体" w:hAnsi="宋体"/>
          <w:kern w:val="0"/>
          <w:sz w:val="24"/>
          <w:highlight w:val="none"/>
        </w:rPr>
        <w:t>。如本声明失实，我单位自愿承担被取消成交资格等责任。</w:t>
      </w:r>
    </w:p>
    <w:p w14:paraId="75A28438">
      <w:pPr>
        <w:widowControl/>
        <w:shd w:val="clear" w:color="auto" w:fill="FFFFFF"/>
        <w:spacing w:before="100" w:beforeAutospacing="1" w:after="100" w:afterAutospacing="1" w:line="480" w:lineRule="auto"/>
        <w:ind w:firstLine="480" w:firstLineChars="200"/>
        <w:jc w:val="left"/>
        <w:rPr>
          <w:rFonts w:ascii="宋体" w:hAnsi="宋体"/>
          <w:kern w:val="0"/>
          <w:sz w:val="24"/>
          <w:highlight w:val="none"/>
        </w:rPr>
      </w:pPr>
      <w:r>
        <w:rPr>
          <w:rFonts w:ascii="宋体" w:hAnsi="宋体"/>
          <w:kern w:val="0"/>
          <w:sz w:val="24"/>
          <w:highlight w:val="none"/>
        </w:rPr>
        <w:t>特此声明</w:t>
      </w:r>
      <w:r>
        <w:rPr>
          <w:rFonts w:hint="eastAsia" w:ascii="宋体" w:hAnsi="宋体"/>
          <w:kern w:val="0"/>
          <w:sz w:val="24"/>
          <w:highlight w:val="none"/>
        </w:rPr>
        <w:t>。</w:t>
      </w:r>
    </w:p>
    <w:p w14:paraId="4A242806">
      <w:pPr>
        <w:adjustRightInd w:val="0"/>
        <w:snapToGrid w:val="0"/>
        <w:spacing w:line="360" w:lineRule="auto"/>
        <w:ind w:firstLine="4838" w:firstLineChars="2016"/>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投标人（公章）：</w:t>
      </w:r>
    </w:p>
    <w:p w14:paraId="3A5E7838">
      <w:pPr>
        <w:adjustRightInd w:val="0"/>
        <w:snapToGrid w:val="0"/>
        <w:spacing w:line="360" w:lineRule="auto"/>
        <w:jc w:val="right"/>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法定代表人或授权</w:t>
      </w:r>
      <w:r>
        <w:rPr>
          <w:rFonts w:hint="eastAsia" w:ascii="宋体" w:hAnsi="宋体" w:cs="仿宋_GB2312"/>
          <w:color w:val="FF0000"/>
          <w:kern w:val="0"/>
          <w:sz w:val="24"/>
          <w:highlight w:val="none"/>
          <w:lang w:val="en-US" w:eastAsia="zh-CN"/>
        </w:rPr>
        <w:t>代表</w:t>
      </w:r>
      <w:r>
        <w:rPr>
          <w:rFonts w:hint="eastAsia" w:ascii="宋体" w:hAnsi="宋体" w:cs="仿宋_GB2312"/>
          <w:color w:val="FF0000"/>
          <w:kern w:val="0"/>
          <w:sz w:val="24"/>
          <w:highlight w:val="none"/>
          <w:lang w:val="zh-CN"/>
        </w:rPr>
        <w:t>签字（</w:t>
      </w:r>
      <w:r>
        <w:rPr>
          <w:rFonts w:hint="eastAsia" w:ascii="宋体" w:hAnsi="宋体" w:cs="仿宋_GB2312"/>
          <w:color w:val="FF0000"/>
          <w:kern w:val="0"/>
          <w:sz w:val="24"/>
          <w:highlight w:val="none"/>
          <w:lang w:val="en-US" w:eastAsia="zh-CN"/>
        </w:rPr>
        <w:t>签章</w:t>
      </w:r>
      <w:r>
        <w:rPr>
          <w:rFonts w:hint="eastAsia" w:ascii="宋体" w:hAnsi="宋体" w:cs="仿宋_GB2312"/>
          <w:color w:val="FF0000"/>
          <w:kern w:val="0"/>
          <w:sz w:val="24"/>
          <w:highlight w:val="none"/>
          <w:lang w:val="zh-CN"/>
        </w:rPr>
        <w:t>）：</w:t>
      </w:r>
    </w:p>
    <w:p w14:paraId="4F7F85E6">
      <w:pPr>
        <w:adjustRightInd w:val="0"/>
        <w:snapToGrid w:val="0"/>
        <w:spacing w:line="360" w:lineRule="auto"/>
        <w:ind w:firstLine="4838" w:firstLineChars="2016"/>
        <w:rPr>
          <w:rFonts w:ascii="宋体" w:hAnsi="宋体" w:cs="仿宋_GB2312"/>
          <w:kern w:val="0"/>
          <w:sz w:val="24"/>
          <w:highlight w:val="none"/>
          <w:lang w:val="zh-CN"/>
        </w:rPr>
      </w:pPr>
      <w:r>
        <w:rPr>
          <w:rFonts w:hint="eastAsia" w:ascii="宋体" w:hAnsi="宋体" w:cs="仿宋_GB2312"/>
          <w:color w:val="FF0000"/>
          <w:kern w:val="0"/>
          <w:sz w:val="24"/>
          <w:highlight w:val="none"/>
          <w:lang w:val="zh-CN"/>
        </w:rPr>
        <w:t>日期：    年   月   日</w:t>
      </w:r>
    </w:p>
    <w:p w14:paraId="551CC4DA">
      <w:pPr>
        <w:rPr>
          <w:rFonts w:ascii="宋体" w:hAnsi="宋体"/>
          <w:b/>
          <w:sz w:val="28"/>
          <w:highlight w:val="none"/>
        </w:rPr>
      </w:pPr>
      <w:r>
        <w:rPr>
          <w:rFonts w:hint="eastAsia" w:ascii="宋体" w:hAnsi="宋体"/>
          <w:b/>
          <w:sz w:val="28"/>
          <w:highlight w:val="none"/>
        </w:rPr>
        <w:br w:type="page"/>
      </w:r>
      <w:r>
        <w:rPr>
          <w:rFonts w:hint="eastAsia" w:ascii="宋体" w:hAnsi="宋体"/>
          <w:b/>
          <w:sz w:val="28"/>
          <w:highlight w:val="none"/>
        </w:rPr>
        <w:t>附件4</w:t>
      </w:r>
    </w:p>
    <w:p w14:paraId="1FCE7E88">
      <w:pPr>
        <w:jc w:val="center"/>
        <w:rPr>
          <w:rFonts w:ascii="宋体" w:hAnsi="宋体"/>
          <w:b/>
          <w:kern w:val="0"/>
          <w:sz w:val="32"/>
          <w:szCs w:val="32"/>
          <w:highlight w:val="none"/>
        </w:rPr>
      </w:pPr>
      <w:r>
        <w:rPr>
          <w:rFonts w:ascii="宋体" w:hAnsi="宋体"/>
          <w:b/>
          <w:kern w:val="0"/>
          <w:sz w:val="32"/>
          <w:szCs w:val="32"/>
          <w:highlight w:val="none"/>
        </w:rPr>
        <w:t>具有良好的商业信誉和健全的财务会计制度的承诺函</w:t>
      </w:r>
    </w:p>
    <w:p w14:paraId="2D2854E0">
      <w:pPr>
        <w:jc w:val="center"/>
        <w:rPr>
          <w:rFonts w:ascii="宋体" w:hAnsi="宋体"/>
          <w:b/>
          <w:kern w:val="0"/>
          <w:sz w:val="32"/>
          <w:szCs w:val="32"/>
          <w:highlight w:val="none"/>
        </w:rPr>
      </w:pPr>
    </w:p>
    <w:p w14:paraId="087EAD69">
      <w:pPr>
        <w:widowControl/>
        <w:shd w:val="clear" w:color="auto" w:fill="FFFFFF"/>
        <w:spacing w:before="100" w:beforeAutospacing="1" w:after="100" w:afterAutospacing="1" w:line="480" w:lineRule="auto"/>
        <w:jc w:val="left"/>
        <w:rPr>
          <w:rFonts w:ascii="宋体" w:hAnsi="宋体"/>
          <w:kern w:val="0"/>
          <w:sz w:val="24"/>
          <w:highlight w:val="none"/>
        </w:rPr>
      </w:pPr>
      <w:r>
        <w:rPr>
          <w:rFonts w:hint="eastAsia" w:ascii="宋体" w:hAnsi="宋体"/>
          <w:kern w:val="0"/>
          <w:sz w:val="24"/>
          <w:highlight w:val="none"/>
          <w:u w:val="single"/>
          <w:lang w:eastAsia="zh-CN"/>
        </w:rPr>
        <w:t>海虹街道中心幼儿园</w:t>
      </w:r>
      <w:r>
        <w:rPr>
          <w:rFonts w:ascii="宋体" w:hAnsi="宋体"/>
          <w:kern w:val="0"/>
          <w:sz w:val="24"/>
          <w:highlight w:val="none"/>
        </w:rPr>
        <w:t>：</w:t>
      </w:r>
    </w:p>
    <w:p w14:paraId="5BC961F4">
      <w:pPr>
        <w:widowControl/>
        <w:shd w:val="clear" w:color="auto" w:fill="FFFFFF"/>
        <w:spacing w:before="100" w:beforeAutospacing="1" w:after="100" w:afterAutospacing="1" w:line="480" w:lineRule="auto"/>
        <w:ind w:firstLine="480" w:firstLineChars="200"/>
        <w:jc w:val="left"/>
        <w:rPr>
          <w:rFonts w:ascii="宋体" w:hAnsi="宋体"/>
          <w:kern w:val="0"/>
          <w:sz w:val="24"/>
          <w:highlight w:val="none"/>
        </w:rPr>
      </w:pPr>
      <w:r>
        <w:rPr>
          <w:rFonts w:ascii="宋体" w:hAnsi="宋体"/>
          <w:kern w:val="0"/>
          <w:sz w:val="24"/>
          <w:highlight w:val="none"/>
        </w:rPr>
        <w:t>我单位具有良好的商业信誉和健全的财务会计制度。如本声明失实，我单位自愿承担被取消成交资格等责任。</w:t>
      </w:r>
    </w:p>
    <w:p w14:paraId="2AB0E3D0">
      <w:pPr>
        <w:widowControl/>
        <w:shd w:val="clear" w:color="auto" w:fill="FFFFFF"/>
        <w:spacing w:before="100" w:beforeAutospacing="1" w:after="100" w:afterAutospacing="1" w:line="480" w:lineRule="auto"/>
        <w:ind w:firstLine="480" w:firstLineChars="200"/>
        <w:jc w:val="left"/>
        <w:rPr>
          <w:rFonts w:ascii="宋体" w:hAnsi="宋体"/>
          <w:kern w:val="0"/>
          <w:sz w:val="24"/>
          <w:highlight w:val="none"/>
        </w:rPr>
      </w:pPr>
      <w:r>
        <w:rPr>
          <w:rFonts w:ascii="宋体" w:hAnsi="宋体"/>
          <w:kern w:val="0"/>
          <w:sz w:val="24"/>
          <w:highlight w:val="none"/>
        </w:rPr>
        <w:t>特此声明</w:t>
      </w:r>
      <w:r>
        <w:rPr>
          <w:rFonts w:hint="eastAsia" w:ascii="宋体" w:hAnsi="宋体"/>
          <w:kern w:val="0"/>
          <w:sz w:val="24"/>
          <w:highlight w:val="none"/>
        </w:rPr>
        <w:t>。</w:t>
      </w:r>
    </w:p>
    <w:p w14:paraId="61EE0D2A">
      <w:pPr>
        <w:adjustRightInd w:val="0"/>
        <w:snapToGrid w:val="0"/>
        <w:spacing w:line="360" w:lineRule="auto"/>
        <w:ind w:firstLine="4838" w:firstLineChars="2016"/>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投标人（公章）：</w:t>
      </w:r>
    </w:p>
    <w:p w14:paraId="1E2512AA">
      <w:pPr>
        <w:adjustRightInd w:val="0"/>
        <w:snapToGrid w:val="0"/>
        <w:spacing w:line="360" w:lineRule="auto"/>
        <w:jc w:val="right"/>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法定代表人或授权</w:t>
      </w:r>
      <w:r>
        <w:rPr>
          <w:rFonts w:hint="eastAsia" w:ascii="宋体" w:hAnsi="宋体" w:cs="仿宋_GB2312"/>
          <w:color w:val="FF0000"/>
          <w:kern w:val="0"/>
          <w:sz w:val="24"/>
          <w:highlight w:val="none"/>
          <w:lang w:val="en-US" w:eastAsia="zh-CN"/>
        </w:rPr>
        <w:t>代表</w:t>
      </w:r>
      <w:r>
        <w:rPr>
          <w:rFonts w:hint="eastAsia" w:ascii="宋体" w:hAnsi="宋体" w:cs="仿宋_GB2312"/>
          <w:color w:val="FF0000"/>
          <w:kern w:val="0"/>
          <w:sz w:val="24"/>
          <w:highlight w:val="none"/>
          <w:lang w:val="zh-CN"/>
        </w:rPr>
        <w:t>签字（</w:t>
      </w:r>
      <w:r>
        <w:rPr>
          <w:rFonts w:hint="eastAsia" w:ascii="宋体" w:hAnsi="宋体" w:cs="仿宋_GB2312"/>
          <w:color w:val="FF0000"/>
          <w:kern w:val="0"/>
          <w:sz w:val="24"/>
          <w:highlight w:val="none"/>
          <w:lang w:val="en-US" w:eastAsia="zh-CN"/>
        </w:rPr>
        <w:t>签章</w:t>
      </w:r>
      <w:r>
        <w:rPr>
          <w:rFonts w:hint="eastAsia" w:ascii="宋体" w:hAnsi="宋体" w:cs="仿宋_GB2312"/>
          <w:color w:val="FF0000"/>
          <w:kern w:val="0"/>
          <w:sz w:val="24"/>
          <w:highlight w:val="none"/>
          <w:lang w:val="zh-CN"/>
        </w:rPr>
        <w:t>）：</w:t>
      </w:r>
    </w:p>
    <w:p w14:paraId="1CB9CFA7">
      <w:pPr>
        <w:adjustRightInd w:val="0"/>
        <w:snapToGrid w:val="0"/>
        <w:spacing w:line="360" w:lineRule="auto"/>
        <w:ind w:firstLine="4838" w:firstLineChars="2016"/>
        <w:rPr>
          <w:rFonts w:ascii="宋体" w:hAnsi="宋体" w:cs="仿宋_GB2312"/>
          <w:kern w:val="0"/>
          <w:sz w:val="24"/>
          <w:highlight w:val="none"/>
          <w:lang w:val="zh-CN"/>
        </w:rPr>
      </w:pPr>
      <w:r>
        <w:rPr>
          <w:rFonts w:hint="eastAsia" w:ascii="宋体" w:hAnsi="宋体" w:cs="仿宋_GB2312"/>
          <w:color w:val="FF0000"/>
          <w:kern w:val="0"/>
          <w:sz w:val="24"/>
          <w:highlight w:val="none"/>
          <w:lang w:val="zh-CN"/>
        </w:rPr>
        <w:t>日期：    年   月   日</w:t>
      </w:r>
    </w:p>
    <w:p w14:paraId="1F91D049">
      <w:pPr>
        <w:jc w:val="center"/>
        <w:rPr>
          <w:rFonts w:ascii="宋体" w:hAnsi="宋体"/>
          <w:b/>
          <w:kern w:val="0"/>
          <w:sz w:val="32"/>
          <w:szCs w:val="32"/>
          <w:highlight w:val="none"/>
        </w:rPr>
      </w:pPr>
    </w:p>
    <w:p w14:paraId="345FA2B4">
      <w:pPr>
        <w:jc w:val="center"/>
        <w:rPr>
          <w:rFonts w:ascii="宋体" w:hAnsi="宋体"/>
          <w:b/>
          <w:kern w:val="0"/>
          <w:sz w:val="32"/>
          <w:szCs w:val="32"/>
          <w:highlight w:val="none"/>
        </w:rPr>
      </w:pPr>
    </w:p>
    <w:p w14:paraId="1322BA31">
      <w:pPr>
        <w:rPr>
          <w:rFonts w:ascii="宋体" w:hAnsi="宋体"/>
          <w:b/>
          <w:kern w:val="0"/>
          <w:sz w:val="32"/>
          <w:szCs w:val="32"/>
          <w:highlight w:val="none"/>
        </w:rPr>
      </w:pPr>
      <w:r>
        <w:rPr>
          <w:rFonts w:ascii="宋体" w:hAnsi="宋体"/>
          <w:b/>
          <w:kern w:val="0"/>
          <w:sz w:val="32"/>
          <w:szCs w:val="32"/>
          <w:highlight w:val="none"/>
        </w:rPr>
        <w:br w:type="page"/>
      </w:r>
    </w:p>
    <w:p w14:paraId="175F6716">
      <w:pPr>
        <w:jc w:val="left"/>
        <w:rPr>
          <w:rFonts w:ascii="宋体" w:hAnsi="宋体"/>
          <w:b/>
          <w:kern w:val="0"/>
          <w:sz w:val="32"/>
          <w:szCs w:val="32"/>
          <w:highlight w:val="none"/>
        </w:rPr>
      </w:pPr>
      <w:r>
        <w:rPr>
          <w:rFonts w:hint="eastAsia" w:ascii="宋体" w:hAnsi="宋体"/>
          <w:b/>
          <w:kern w:val="0"/>
          <w:sz w:val="32"/>
          <w:szCs w:val="32"/>
          <w:highlight w:val="none"/>
        </w:rPr>
        <w:t>附件5</w:t>
      </w:r>
    </w:p>
    <w:p w14:paraId="44E7B2FD">
      <w:pPr>
        <w:jc w:val="center"/>
        <w:rPr>
          <w:rFonts w:ascii="宋体" w:hAnsi="宋体"/>
          <w:b/>
          <w:sz w:val="28"/>
          <w:highlight w:val="none"/>
        </w:rPr>
      </w:pPr>
      <w:r>
        <w:rPr>
          <w:rFonts w:ascii="宋体" w:hAnsi="宋体"/>
          <w:b/>
          <w:kern w:val="0"/>
          <w:sz w:val="32"/>
          <w:szCs w:val="32"/>
          <w:highlight w:val="none"/>
        </w:rPr>
        <w:t>具有履行合同所</w:t>
      </w:r>
      <w:r>
        <w:rPr>
          <w:rFonts w:hint="eastAsia" w:ascii="宋体" w:hAnsi="宋体"/>
          <w:b/>
          <w:kern w:val="0"/>
          <w:sz w:val="32"/>
          <w:szCs w:val="32"/>
          <w:highlight w:val="none"/>
          <w:lang w:eastAsia="zh-CN"/>
        </w:rPr>
        <w:t>必需的设备</w:t>
      </w:r>
      <w:r>
        <w:rPr>
          <w:rFonts w:ascii="宋体" w:hAnsi="宋体"/>
          <w:b/>
          <w:kern w:val="0"/>
          <w:sz w:val="32"/>
          <w:szCs w:val="32"/>
          <w:highlight w:val="none"/>
        </w:rPr>
        <w:t>和专业技术能力的承诺函</w:t>
      </w:r>
    </w:p>
    <w:p w14:paraId="2B05A94C">
      <w:pPr>
        <w:jc w:val="center"/>
        <w:rPr>
          <w:rFonts w:ascii="宋体" w:hAnsi="宋体"/>
          <w:b/>
          <w:sz w:val="28"/>
          <w:highlight w:val="none"/>
        </w:rPr>
      </w:pPr>
    </w:p>
    <w:p w14:paraId="6A5DDE0D">
      <w:pPr>
        <w:widowControl/>
        <w:shd w:val="clear" w:color="auto" w:fill="FFFFFF"/>
        <w:snapToGrid w:val="0"/>
        <w:spacing w:after="50" w:line="480" w:lineRule="auto"/>
        <w:jc w:val="left"/>
        <w:rPr>
          <w:rFonts w:ascii="宋体" w:hAnsi="宋体"/>
          <w:kern w:val="0"/>
          <w:sz w:val="24"/>
          <w:highlight w:val="none"/>
        </w:rPr>
      </w:pPr>
      <w:r>
        <w:rPr>
          <w:rFonts w:hint="eastAsia" w:ascii="宋体" w:hAnsi="宋体"/>
          <w:kern w:val="0"/>
          <w:sz w:val="24"/>
          <w:highlight w:val="none"/>
          <w:u w:val="single"/>
          <w:lang w:eastAsia="zh-CN"/>
        </w:rPr>
        <w:t>海虹街道中心幼儿园</w:t>
      </w:r>
      <w:r>
        <w:rPr>
          <w:rFonts w:ascii="宋体" w:hAnsi="宋体"/>
          <w:kern w:val="0"/>
          <w:sz w:val="24"/>
          <w:highlight w:val="none"/>
        </w:rPr>
        <w:t>：</w:t>
      </w:r>
    </w:p>
    <w:p w14:paraId="21319409">
      <w:pPr>
        <w:widowControl/>
        <w:shd w:val="clear" w:color="auto" w:fill="FFFFFF"/>
        <w:spacing w:before="100" w:beforeAutospacing="1" w:after="100" w:afterAutospacing="1" w:line="480" w:lineRule="auto"/>
        <w:ind w:firstLine="480" w:firstLineChars="200"/>
        <w:jc w:val="left"/>
        <w:rPr>
          <w:rFonts w:ascii="宋体" w:hAnsi="宋体"/>
          <w:kern w:val="0"/>
          <w:sz w:val="24"/>
          <w:highlight w:val="none"/>
        </w:rPr>
      </w:pPr>
      <w:r>
        <w:rPr>
          <w:rFonts w:ascii="宋体" w:hAnsi="宋体"/>
          <w:kern w:val="0"/>
          <w:sz w:val="24"/>
          <w:highlight w:val="none"/>
        </w:rPr>
        <w:t>我单位有履行该项目合同的设备和专业技术能力，胜任本项目的服务工作。如本声明失实，我单位自愿承担被取消成交资格等责任。</w:t>
      </w:r>
    </w:p>
    <w:p w14:paraId="30906CFA">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p>
    <w:p w14:paraId="3A7BCAD7">
      <w:pPr>
        <w:widowControl/>
        <w:shd w:val="clear" w:color="auto" w:fill="FFFFFF"/>
        <w:spacing w:before="100" w:beforeAutospacing="1" w:after="100" w:afterAutospacing="1" w:line="360" w:lineRule="auto"/>
        <w:ind w:firstLine="480" w:firstLineChars="200"/>
        <w:jc w:val="left"/>
        <w:rPr>
          <w:rFonts w:ascii="宋体" w:hAnsi="宋体"/>
          <w:kern w:val="0"/>
          <w:sz w:val="24"/>
          <w:highlight w:val="none"/>
        </w:rPr>
      </w:pPr>
      <w:r>
        <w:rPr>
          <w:rFonts w:ascii="宋体" w:hAnsi="宋体"/>
          <w:kern w:val="0"/>
          <w:sz w:val="24"/>
          <w:highlight w:val="none"/>
        </w:rPr>
        <w:t>特此声明</w:t>
      </w:r>
      <w:r>
        <w:rPr>
          <w:rFonts w:hint="eastAsia" w:ascii="宋体" w:hAnsi="宋体"/>
          <w:kern w:val="0"/>
          <w:sz w:val="24"/>
          <w:highlight w:val="none"/>
        </w:rPr>
        <w:t>。</w:t>
      </w:r>
    </w:p>
    <w:p w14:paraId="46A516D2">
      <w:pPr>
        <w:adjustRightInd w:val="0"/>
        <w:snapToGrid w:val="0"/>
        <w:spacing w:line="360" w:lineRule="auto"/>
        <w:ind w:firstLine="4838" w:firstLineChars="2016"/>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投标人（公章）：</w:t>
      </w:r>
    </w:p>
    <w:p w14:paraId="105D4FBC">
      <w:pPr>
        <w:adjustRightInd w:val="0"/>
        <w:snapToGrid w:val="0"/>
        <w:spacing w:line="360" w:lineRule="auto"/>
        <w:jc w:val="right"/>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法定代表人或授权</w:t>
      </w:r>
      <w:r>
        <w:rPr>
          <w:rFonts w:hint="eastAsia" w:ascii="宋体" w:hAnsi="宋体" w:cs="仿宋_GB2312"/>
          <w:color w:val="FF0000"/>
          <w:kern w:val="0"/>
          <w:sz w:val="24"/>
          <w:highlight w:val="none"/>
          <w:lang w:val="en-US" w:eastAsia="zh-CN"/>
        </w:rPr>
        <w:t>代表</w:t>
      </w:r>
      <w:r>
        <w:rPr>
          <w:rFonts w:hint="eastAsia" w:ascii="宋体" w:hAnsi="宋体" w:cs="仿宋_GB2312"/>
          <w:color w:val="FF0000"/>
          <w:kern w:val="0"/>
          <w:sz w:val="24"/>
          <w:highlight w:val="none"/>
          <w:lang w:val="zh-CN"/>
        </w:rPr>
        <w:t>签字（</w:t>
      </w:r>
      <w:r>
        <w:rPr>
          <w:rFonts w:hint="eastAsia" w:ascii="宋体" w:hAnsi="宋体" w:cs="仿宋_GB2312"/>
          <w:color w:val="FF0000"/>
          <w:kern w:val="0"/>
          <w:sz w:val="24"/>
          <w:highlight w:val="none"/>
          <w:lang w:val="en-US" w:eastAsia="zh-CN"/>
        </w:rPr>
        <w:t>签章</w:t>
      </w:r>
      <w:r>
        <w:rPr>
          <w:rFonts w:hint="eastAsia" w:ascii="宋体" w:hAnsi="宋体" w:cs="仿宋_GB2312"/>
          <w:color w:val="FF0000"/>
          <w:kern w:val="0"/>
          <w:sz w:val="24"/>
          <w:highlight w:val="none"/>
          <w:lang w:val="zh-CN"/>
        </w:rPr>
        <w:t>）：</w:t>
      </w:r>
    </w:p>
    <w:p w14:paraId="16E1C9E9">
      <w:pPr>
        <w:adjustRightInd w:val="0"/>
        <w:snapToGrid w:val="0"/>
        <w:spacing w:line="360" w:lineRule="auto"/>
        <w:ind w:firstLine="4838" w:firstLineChars="2016"/>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日期：    年   月   日</w:t>
      </w:r>
    </w:p>
    <w:p w14:paraId="5DC5AC58">
      <w:pPr>
        <w:jc w:val="center"/>
        <w:rPr>
          <w:sz w:val="52"/>
          <w:szCs w:val="52"/>
          <w:highlight w:val="none"/>
        </w:rPr>
      </w:pPr>
    </w:p>
    <w:p w14:paraId="65FCE800">
      <w:pPr>
        <w:jc w:val="center"/>
        <w:rPr>
          <w:sz w:val="52"/>
          <w:szCs w:val="52"/>
          <w:highlight w:val="none"/>
        </w:rPr>
      </w:pPr>
    </w:p>
    <w:p w14:paraId="24C5AEC1">
      <w:pPr>
        <w:jc w:val="center"/>
        <w:rPr>
          <w:sz w:val="52"/>
          <w:szCs w:val="52"/>
          <w:highlight w:val="none"/>
        </w:rPr>
      </w:pPr>
    </w:p>
    <w:p w14:paraId="2D2FCC73">
      <w:pPr>
        <w:rPr>
          <w:sz w:val="52"/>
          <w:szCs w:val="52"/>
          <w:highlight w:val="none"/>
        </w:rPr>
      </w:pPr>
    </w:p>
    <w:p w14:paraId="27AAFE1F">
      <w:pPr>
        <w:pStyle w:val="3"/>
        <w:numPr>
          <w:ilvl w:val="0"/>
          <w:numId w:val="0"/>
        </w:numPr>
        <w:jc w:val="both"/>
        <w:outlineLvl w:val="9"/>
        <w:rPr>
          <w:highlight w:val="none"/>
        </w:rPr>
      </w:pPr>
    </w:p>
    <w:p w14:paraId="6E243278">
      <w:pPr>
        <w:jc w:val="center"/>
        <w:rPr>
          <w:sz w:val="52"/>
          <w:szCs w:val="52"/>
          <w:highlight w:val="none"/>
        </w:rPr>
      </w:pPr>
    </w:p>
    <w:p w14:paraId="561C72C8">
      <w:pPr>
        <w:pStyle w:val="3"/>
        <w:numPr>
          <w:ilvl w:val="0"/>
          <w:numId w:val="0"/>
        </w:numPr>
        <w:ind w:left="425"/>
        <w:jc w:val="both"/>
        <w:outlineLvl w:val="9"/>
        <w:rPr>
          <w:highlight w:val="none"/>
        </w:rPr>
      </w:pPr>
    </w:p>
    <w:p w14:paraId="52163402">
      <w:pPr>
        <w:rPr>
          <w:highlight w:val="none"/>
        </w:rPr>
      </w:pPr>
    </w:p>
    <w:bookmarkEnd w:id="61"/>
    <w:bookmarkEnd w:id="62"/>
    <w:bookmarkEnd w:id="63"/>
    <w:p w14:paraId="3738561C">
      <w:pPr>
        <w:jc w:val="center"/>
        <w:rPr>
          <w:highlight w:val="none"/>
        </w:rPr>
      </w:pPr>
    </w:p>
    <w:p w14:paraId="767D059A">
      <w:pPr>
        <w:rPr>
          <w:rFonts w:hint="eastAsia" w:ascii="宋体" w:hAnsi="宋体"/>
          <w:sz w:val="44"/>
          <w:szCs w:val="44"/>
          <w:highlight w:val="none"/>
        </w:rPr>
      </w:pPr>
      <w:r>
        <w:rPr>
          <w:rFonts w:hint="eastAsia" w:ascii="宋体" w:hAnsi="宋体"/>
          <w:sz w:val="44"/>
          <w:szCs w:val="44"/>
          <w:highlight w:val="none"/>
        </w:rPr>
        <w:br w:type="page"/>
      </w:r>
    </w:p>
    <w:p w14:paraId="1E9F7F01">
      <w:pPr>
        <w:spacing w:before="312" w:beforeLines="100" w:line="360" w:lineRule="auto"/>
        <w:ind w:right="-108"/>
        <w:jc w:val="center"/>
        <w:rPr>
          <w:rFonts w:hint="eastAsia" w:ascii="宋体" w:hAnsi="宋体" w:eastAsia="宋体"/>
          <w:sz w:val="44"/>
          <w:szCs w:val="44"/>
          <w:highlight w:val="none"/>
          <w:lang w:eastAsia="zh-CN"/>
        </w:rPr>
      </w:pPr>
      <w:r>
        <w:rPr>
          <w:rFonts w:hint="eastAsia" w:ascii="宋体" w:hAnsi="宋体"/>
          <w:sz w:val="44"/>
          <w:szCs w:val="44"/>
          <w:highlight w:val="none"/>
          <w:lang w:eastAsia="zh-CN"/>
        </w:rPr>
        <w:t>海虹街道中心幼儿园（翡翠云邸）幼儿家具采购项目</w:t>
      </w:r>
    </w:p>
    <w:p w14:paraId="46A62ED2">
      <w:pPr>
        <w:spacing w:before="312" w:beforeLines="100" w:line="360" w:lineRule="auto"/>
        <w:ind w:right="-108"/>
        <w:jc w:val="center"/>
        <w:rPr>
          <w:rFonts w:hint="eastAsia" w:ascii="宋体" w:hAnsi="宋体" w:eastAsia="宋体"/>
          <w:sz w:val="36"/>
          <w:szCs w:val="36"/>
          <w:highlight w:val="none"/>
          <w:lang w:eastAsia="zh-CN"/>
        </w:rPr>
      </w:pPr>
      <w:r>
        <w:rPr>
          <w:rFonts w:hint="eastAsia" w:ascii="宋体" w:hAnsi="宋体"/>
          <w:sz w:val="36"/>
          <w:szCs w:val="36"/>
          <w:highlight w:val="none"/>
        </w:rPr>
        <w:t>项目编号：</w:t>
      </w:r>
      <w:r>
        <w:rPr>
          <w:rFonts w:hint="eastAsia" w:ascii="宋体" w:hAnsi="宋体"/>
          <w:sz w:val="36"/>
          <w:szCs w:val="36"/>
          <w:highlight w:val="none"/>
          <w:lang w:eastAsia="zh-CN"/>
        </w:rPr>
        <w:t>TZYY-2506-005号</w:t>
      </w:r>
    </w:p>
    <w:p w14:paraId="4310B253">
      <w:pPr>
        <w:autoSpaceDE w:val="0"/>
        <w:autoSpaceDN w:val="0"/>
        <w:adjustRightInd w:val="0"/>
        <w:spacing w:line="360" w:lineRule="auto"/>
        <w:jc w:val="center"/>
        <w:rPr>
          <w:rFonts w:ascii="宋体" w:hAnsi="宋体" w:cs="宋体"/>
          <w:sz w:val="24"/>
          <w:highlight w:val="none"/>
          <w:lang w:val="zh-CN"/>
        </w:rPr>
      </w:pPr>
    </w:p>
    <w:p w14:paraId="2E4AD3CE">
      <w:pPr>
        <w:jc w:val="center"/>
        <w:rPr>
          <w:sz w:val="84"/>
          <w:szCs w:val="84"/>
          <w:highlight w:val="none"/>
          <w:lang w:val="zh-CN"/>
        </w:rPr>
      </w:pPr>
      <w:r>
        <w:rPr>
          <w:rFonts w:hint="eastAsia"/>
          <w:sz w:val="84"/>
          <w:szCs w:val="84"/>
          <w:highlight w:val="none"/>
          <w:lang w:val="zh-CN"/>
        </w:rPr>
        <w:t>投</w:t>
      </w:r>
    </w:p>
    <w:p w14:paraId="3C8B7D19">
      <w:pPr>
        <w:jc w:val="center"/>
        <w:rPr>
          <w:sz w:val="84"/>
          <w:szCs w:val="84"/>
          <w:highlight w:val="none"/>
          <w:lang w:val="zh-CN"/>
        </w:rPr>
      </w:pPr>
      <w:r>
        <w:rPr>
          <w:rFonts w:hint="eastAsia"/>
          <w:sz w:val="84"/>
          <w:szCs w:val="84"/>
          <w:highlight w:val="none"/>
          <w:lang w:val="zh-CN"/>
        </w:rPr>
        <w:t>标</w:t>
      </w:r>
    </w:p>
    <w:p w14:paraId="7D88D23E">
      <w:pPr>
        <w:jc w:val="center"/>
        <w:rPr>
          <w:sz w:val="84"/>
          <w:szCs w:val="84"/>
          <w:highlight w:val="none"/>
        </w:rPr>
      </w:pPr>
      <w:r>
        <w:rPr>
          <w:rFonts w:hint="eastAsia"/>
          <w:sz w:val="84"/>
          <w:szCs w:val="84"/>
          <w:highlight w:val="none"/>
          <w:lang w:val="zh-CN"/>
        </w:rPr>
        <w:t>文</w:t>
      </w:r>
    </w:p>
    <w:p w14:paraId="697D29C3">
      <w:pPr>
        <w:jc w:val="center"/>
        <w:rPr>
          <w:sz w:val="84"/>
          <w:szCs w:val="84"/>
          <w:highlight w:val="none"/>
          <w:lang w:val="zh-CN"/>
        </w:rPr>
      </w:pPr>
      <w:r>
        <w:rPr>
          <w:rFonts w:hint="eastAsia"/>
          <w:sz w:val="84"/>
          <w:szCs w:val="84"/>
          <w:highlight w:val="none"/>
          <w:lang w:val="zh-CN"/>
        </w:rPr>
        <w:t>件</w:t>
      </w:r>
    </w:p>
    <w:p w14:paraId="07FB1061">
      <w:pPr>
        <w:spacing w:after="100" w:afterAutospacing="1" w:line="360" w:lineRule="auto"/>
        <w:ind w:right="-108"/>
        <w:jc w:val="center"/>
        <w:rPr>
          <w:rFonts w:ascii="宋体" w:hAnsi="宋体"/>
          <w:b/>
          <w:bCs/>
          <w:sz w:val="28"/>
          <w:szCs w:val="28"/>
          <w:highlight w:val="none"/>
        </w:rPr>
      </w:pPr>
      <w:r>
        <w:rPr>
          <w:rFonts w:hint="eastAsia" w:ascii="宋体" w:hAnsi="宋体" w:cs="宋体"/>
          <w:b/>
          <w:bCs/>
          <w:sz w:val="28"/>
          <w:szCs w:val="28"/>
          <w:highlight w:val="none"/>
          <w:lang w:val="zh-CN"/>
        </w:rPr>
        <w:t>（</w:t>
      </w:r>
      <w:r>
        <w:rPr>
          <w:rFonts w:hint="eastAsia" w:ascii="宋体" w:hAnsi="宋体"/>
          <w:b/>
          <w:bCs/>
          <w:sz w:val="28"/>
          <w:szCs w:val="28"/>
          <w:highlight w:val="none"/>
        </w:rPr>
        <w:t>技术标）</w:t>
      </w:r>
    </w:p>
    <w:p w14:paraId="48D102CD">
      <w:pPr>
        <w:pStyle w:val="26"/>
        <w:rPr>
          <w:highlight w:val="none"/>
        </w:rPr>
      </w:pPr>
    </w:p>
    <w:p w14:paraId="08E86447">
      <w:pPr>
        <w:spacing w:line="360" w:lineRule="auto"/>
        <w:ind w:right="532" w:firstLine="720" w:firstLineChars="200"/>
        <w:rPr>
          <w:rFonts w:ascii="宋体" w:hAnsi="宋体"/>
          <w:sz w:val="36"/>
          <w:szCs w:val="36"/>
          <w:highlight w:val="none"/>
        </w:rPr>
      </w:pPr>
      <w:r>
        <w:rPr>
          <w:rFonts w:hint="eastAsia" w:ascii="宋体" w:hAnsi="宋体"/>
          <w:sz w:val="36"/>
          <w:szCs w:val="36"/>
          <w:highlight w:val="none"/>
        </w:rPr>
        <w:t>投标人全称：</w:t>
      </w:r>
    </w:p>
    <w:p w14:paraId="1CF4EEE0">
      <w:pPr>
        <w:spacing w:line="360" w:lineRule="auto"/>
        <w:ind w:right="532" w:firstLine="720" w:firstLineChars="200"/>
        <w:rPr>
          <w:rFonts w:ascii="宋体" w:hAnsi="宋体"/>
          <w:sz w:val="36"/>
          <w:szCs w:val="36"/>
          <w:highlight w:val="none"/>
        </w:rPr>
      </w:pPr>
    </w:p>
    <w:p w14:paraId="102FFCD2">
      <w:pPr>
        <w:snapToGrid w:val="0"/>
        <w:spacing w:before="50" w:after="50" w:line="360" w:lineRule="auto"/>
        <w:rPr>
          <w:rFonts w:ascii="仿宋_GB2312" w:hAnsi="宋体" w:eastAsia="仿宋_GB2312"/>
          <w:b/>
          <w:sz w:val="36"/>
          <w:szCs w:val="36"/>
          <w:highlight w:val="none"/>
        </w:rPr>
      </w:pPr>
    </w:p>
    <w:p w14:paraId="3672760C">
      <w:pPr>
        <w:pStyle w:val="6"/>
        <w:rPr>
          <w:rFonts w:ascii="仿宋_GB2312" w:hAnsi="宋体" w:eastAsia="仿宋_GB2312"/>
          <w:b/>
          <w:sz w:val="36"/>
          <w:szCs w:val="36"/>
          <w:highlight w:val="none"/>
        </w:rPr>
      </w:pPr>
    </w:p>
    <w:p w14:paraId="244D2B6C">
      <w:pPr>
        <w:rPr>
          <w:b/>
          <w:bCs/>
          <w:sz w:val="32"/>
          <w:szCs w:val="32"/>
          <w:highlight w:val="none"/>
          <w:lang w:val="zh-CN"/>
        </w:rPr>
      </w:pPr>
      <w:bookmarkStart w:id="64" w:name="_Toc5889_WPSOffice_Level1"/>
      <w:bookmarkStart w:id="65" w:name="_Toc11308_WPSOffice_Level1"/>
    </w:p>
    <w:p w14:paraId="0EB028DA">
      <w:pPr>
        <w:jc w:val="center"/>
        <w:rPr>
          <w:b/>
          <w:bCs/>
          <w:sz w:val="36"/>
          <w:szCs w:val="36"/>
          <w:highlight w:val="none"/>
          <w:lang w:val="zh-CN"/>
        </w:rPr>
      </w:pPr>
    </w:p>
    <w:p w14:paraId="5A54FAD3">
      <w:pPr>
        <w:jc w:val="center"/>
        <w:rPr>
          <w:b/>
          <w:bCs/>
          <w:sz w:val="36"/>
          <w:szCs w:val="36"/>
          <w:highlight w:val="none"/>
          <w:lang w:val="zh-CN"/>
        </w:rPr>
      </w:pPr>
    </w:p>
    <w:p w14:paraId="083B0FBF">
      <w:pPr>
        <w:jc w:val="center"/>
        <w:rPr>
          <w:b/>
          <w:bCs/>
          <w:sz w:val="36"/>
          <w:szCs w:val="36"/>
          <w:highlight w:val="none"/>
          <w:lang w:val="zh-CN"/>
        </w:rPr>
      </w:pPr>
    </w:p>
    <w:p w14:paraId="0676FF7C">
      <w:pPr>
        <w:jc w:val="center"/>
        <w:rPr>
          <w:b/>
          <w:bCs/>
          <w:sz w:val="36"/>
          <w:szCs w:val="36"/>
          <w:highlight w:val="none"/>
          <w:lang w:val="zh-CN"/>
        </w:rPr>
      </w:pPr>
    </w:p>
    <w:p w14:paraId="01B49AB6">
      <w:pPr>
        <w:jc w:val="center"/>
        <w:rPr>
          <w:b/>
          <w:bCs/>
          <w:sz w:val="36"/>
          <w:szCs w:val="36"/>
          <w:highlight w:val="none"/>
        </w:rPr>
      </w:pPr>
      <w:r>
        <w:rPr>
          <w:rFonts w:hint="eastAsia"/>
          <w:b/>
          <w:bCs/>
          <w:sz w:val="36"/>
          <w:szCs w:val="36"/>
          <w:highlight w:val="none"/>
        </w:rPr>
        <w:t>技术标目录</w:t>
      </w:r>
      <w:bookmarkEnd w:id="64"/>
      <w:bookmarkEnd w:id="65"/>
    </w:p>
    <w:p w14:paraId="21DF4C7B">
      <w:pPr>
        <w:spacing w:line="360" w:lineRule="auto"/>
        <w:rPr>
          <w:sz w:val="24"/>
          <w:highlight w:val="none"/>
        </w:rPr>
      </w:pPr>
    </w:p>
    <w:p w14:paraId="6A181348">
      <w:pPr>
        <w:numPr>
          <w:ilvl w:val="0"/>
          <w:numId w:val="72"/>
        </w:numPr>
        <w:bidi w:val="0"/>
        <w:spacing w:line="360" w:lineRule="auto"/>
        <w:ind w:left="0" w:leftChars="0" w:firstLine="480" w:firstLineChars="200"/>
        <w:rPr>
          <w:rFonts w:hint="eastAsia"/>
          <w:sz w:val="24"/>
          <w:szCs w:val="24"/>
          <w:highlight w:val="none"/>
          <w:lang w:val="en-US" w:eastAsia="zh-CN"/>
        </w:rPr>
      </w:pPr>
      <w:r>
        <w:rPr>
          <w:rFonts w:hint="eastAsia"/>
          <w:sz w:val="24"/>
          <w:szCs w:val="24"/>
          <w:highlight w:val="none"/>
          <w:lang w:val="en-US" w:eastAsia="zh-CN"/>
        </w:rPr>
        <w:t>需求响应表（附件6）；</w:t>
      </w:r>
    </w:p>
    <w:p w14:paraId="53EA1FD2">
      <w:pPr>
        <w:numPr>
          <w:ilvl w:val="0"/>
          <w:numId w:val="72"/>
        </w:numPr>
        <w:bidi w:val="0"/>
        <w:spacing w:line="360" w:lineRule="auto"/>
        <w:ind w:left="0" w:leftChars="0" w:firstLine="480" w:firstLineChars="200"/>
        <w:rPr>
          <w:sz w:val="24"/>
          <w:szCs w:val="24"/>
          <w:highlight w:val="none"/>
        </w:rPr>
      </w:pPr>
      <w:r>
        <w:rPr>
          <w:rFonts w:hint="eastAsia"/>
          <w:sz w:val="24"/>
          <w:szCs w:val="24"/>
          <w:highlight w:val="none"/>
          <w:lang w:val="en-US" w:eastAsia="zh-CN"/>
        </w:rPr>
        <w:t>其余内容根据评标办法自拟</w:t>
      </w:r>
      <w:r>
        <w:rPr>
          <w:rFonts w:hint="eastAsia" w:ascii="宋体" w:hAnsi="宋体"/>
          <w:bCs/>
          <w:sz w:val="24"/>
          <w:szCs w:val="24"/>
          <w:highlight w:val="none"/>
        </w:rPr>
        <w:t>。</w:t>
      </w:r>
    </w:p>
    <w:p w14:paraId="67674204">
      <w:pPr>
        <w:pStyle w:val="6"/>
        <w:spacing w:line="360" w:lineRule="auto"/>
        <w:ind w:firstLine="0"/>
        <w:rPr>
          <w:rFonts w:ascii="宋体" w:hAnsi="宋体"/>
          <w:bCs/>
          <w:sz w:val="24"/>
          <w:highlight w:val="none"/>
        </w:rPr>
      </w:pPr>
    </w:p>
    <w:p w14:paraId="543BD7F4">
      <w:pPr>
        <w:pStyle w:val="6"/>
        <w:spacing w:line="360" w:lineRule="auto"/>
        <w:ind w:firstLine="0"/>
        <w:rPr>
          <w:rFonts w:ascii="宋体" w:hAnsi="宋体"/>
          <w:bCs/>
          <w:sz w:val="24"/>
          <w:highlight w:val="none"/>
        </w:rPr>
      </w:pPr>
    </w:p>
    <w:p w14:paraId="12384970">
      <w:pPr>
        <w:pStyle w:val="6"/>
        <w:spacing w:line="360" w:lineRule="auto"/>
        <w:ind w:firstLine="0"/>
        <w:rPr>
          <w:rFonts w:ascii="宋体" w:hAnsi="宋体"/>
          <w:bCs/>
          <w:sz w:val="24"/>
          <w:highlight w:val="none"/>
        </w:rPr>
      </w:pPr>
    </w:p>
    <w:p w14:paraId="570A677F">
      <w:pPr>
        <w:pStyle w:val="6"/>
        <w:spacing w:line="360" w:lineRule="auto"/>
        <w:ind w:firstLine="0"/>
        <w:rPr>
          <w:rFonts w:ascii="宋体" w:hAnsi="宋体"/>
          <w:bCs/>
          <w:sz w:val="24"/>
          <w:highlight w:val="none"/>
        </w:rPr>
      </w:pPr>
    </w:p>
    <w:p w14:paraId="2B1E7BF7">
      <w:pPr>
        <w:pStyle w:val="6"/>
        <w:spacing w:line="360" w:lineRule="auto"/>
        <w:ind w:firstLine="0"/>
        <w:rPr>
          <w:rFonts w:ascii="宋体" w:hAnsi="宋体"/>
          <w:bCs/>
          <w:sz w:val="24"/>
          <w:highlight w:val="none"/>
        </w:rPr>
      </w:pPr>
    </w:p>
    <w:p w14:paraId="5F0005A9">
      <w:pPr>
        <w:pStyle w:val="6"/>
        <w:spacing w:line="360" w:lineRule="auto"/>
        <w:ind w:firstLine="0"/>
        <w:rPr>
          <w:rFonts w:ascii="宋体" w:hAnsi="宋体"/>
          <w:bCs/>
          <w:sz w:val="24"/>
          <w:highlight w:val="none"/>
        </w:rPr>
      </w:pPr>
    </w:p>
    <w:p w14:paraId="14EAF528">
      <w:pPr>
        <w:pStyle w:val="6"/>
        <w:spacing w:line="360" w:lineRule="auto"/>
        <w:ind w:firstLine="0"/>
        <w:rPr>
          <w:rFonts w:ascii="宋体" w:hAnsi="宋体"/>
          <w:bCs/>
          <w:sz w:val="24"/>
          <w:highlight w:val="none"/>
        </w:rPr>
      </w:pPr>
    </w:p>
    <w:p w14:paraId="5DCC4E21">
      <w:pPr>
        <w:pStyle w:val="6"/>
        <w:spacing w:line="360" w:lineRule="auto"/>
        <w:ind w:firstLine="0"/>
        <w:rPr>
          <w:rFonts w:ascii="宋体" w:hAnsi="宋体"/>
          <w:bCs/>
          <w:sz w:val="24"/>
          <w:highlight w:val="none"/>
        </w:rPr>
      </w:pPr>
    </w:p>
    <w:p w14:paraId="38EB16FC">
      <w:pPr>
        <w:rPr>
          <w:highlight w:val="none"/>
        </w:rPr>
      </w:pPr>
    </w:p>
    <w:p w14:paraId="5ECA8869">
      <w:pPr>
        <w:pStyle w:val="40"/>
        <w:shd w:val="clear" w:color="auto" w:fill="FFFFFF"/>
        <w:spacing w:before="0" w:beforeAutospacing="0" w:after="0" w:afterAutospacing="0" w:line="360" w:lineRule="auto"/>
        <w:rPr>
          <w:b/>
          <w:sz w:val="28"/>
          <w:highlight w:val="none"/>
        </w:rPr>
      </w:pPr>
    </w:p>
    <w:p w14:paraId="01364A99">
      <w:pPr>
        <w:pStyle w:val="40"/>
        <w:shd w:val="clear" w:color="auto" w:fill="FFFFFF"/>
        <w:spacing w:before="0" w:beforeAutospacing="0" w:after="0" w:afterAutospacing="0" w:line="360" w:lineRule="auto"/>
        <w:rPr>
          <w:b/>
          <w:sz w:val="28"/>
          <w:highlight w:val="none"/>
        </w:rPr>
      </w:pPr>
    </w:p>
    <w:p w14:paraId="387D0E63">
      <w:pPr>
        <w:pStyle w:val="40"/>
        <w:shd w:val="clear" w:color="auto" w:fill="FFFFFF"/>
        <w:spacing w:before="0" w:beforeAutospacing="0" w:after="0" w:afterAutospacing="0" w:line="360" w:lineRule="auto"/>
        <w:rPr>
          <w:b/>
          <w:sz w:val="28"/>
          <w:highlight w:val="none"/>
        </w:rPr>
      </w:pPr>
    </w:p>
    <w:p w14:paraId="02579406">
      <w:pPr>
        <w:pStyle w:val="40"/>
        <w:shd w:val="clear" w:color="auto" w:fill="FFFFFF"/>
        <w:spacing w:before="0" w:beforeAutospacing="0" w:after="0" w:afterAutospacing="0" w:line="360" w:lineRule="auto"/>
        <w:rPr>
          <w:b/>
          <w:sz w:val="28"/>
          <w:highlight w:val="none"/>
        </w:rPr>
      </w:pPr>
    </w:p>
    <w:p w14:paraId="496FC427">
      <w:pPr>
        <w:rPr>
          <w:rFonts w:hint="eastAsia"/>
          <w:b/>
          <w:sz w:val="28"/>
          <w:highlight w:val="none"/>
        </w:rPr>
      </w:pPr>
      <w:r>
        <w:rPr>
          <w:rFonts w:hint="eastAsia"/>
          <w:b/>
          <w:sz w:val="28"/>
          <w:highlight w:val="none"/>
        </w:rPr>
        <w:br w:type="page"/>
      </w:r>
    </w:p>
    <w:p w14:paraId="62FA9ADA">
      <w:pPr>
        <w:pStyle w:val="40"/>
        <w:shd w:val="clear" w:color="auto" w:fill="FFFFFF"/>
        <w:spacing w:before="0" w:beforeAutospacing="0" w:after="0" w:afterAutospacing="0" w:line="360" w:lineRule="auto"/>
        <w:rPr>
          <w:rFonts w:hint="eastAsia"/>
          <w:b/>
          <w:sz w:val="28"/>
          <w:highlight w:val="none"/>
        </w:rPr>
        <w:sectPr>
          <w:headerReference r:id="rId10" w:type="default"/>
          <w:footerReference r:id="rId11"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5D14CAAB">
      <w:pPr>
        <w:pStyle w:val="40"/>
        <w:shd w:val="clear" w:color="auto" w:fill="FFFFFF"/>
        <w:spacing w:before="0" w:beforeAutospacing="0" w:after="0" w:afterAutospacing="0" w:line="360" w:lineRule="auto"/>
        <w:rPr>
          <w:b/>
          <w:sz w:val="28"/>
          <w:highlight w:val="none"/>
        </w:rPr>
      </w:pPr>
      <w:r>
        <w:rPr>
          <w:rFonts w:hint="eastAsia"/>
          <w:b/>
          <w:sz w:val="28"/>
          <w:highlight w:val="none"/>
        </w:rPr>
        <w:t>附件6</w:t>
      </w:r>
    </w:p>
    <w:p w14:paraId="23D6EC06">
      <w:pPr>
        <w:spacing w:line="360" w:lineRule="auto"/>
        <w:jc w:val="center"/>
        <w:rPr>
          <w:rFonts w:ascii="宋体" w:hAnsi="宋体"/>
          <w:b/>
          <w:kern w:val="0"/>
          <w:sz w:val="32"/>
          <w:szCs w:val="32"/>
          <w:highlight w:val="none"/>
        </w:rPr>
      </w:pPr>
      <w:bookmarkStart w:id="66" w:name="_Toc12856_WPSOffice_Level1"/>
      <w:bookmarkStart w:id="67" w:name="_Toc26601_WPSOffice_Level1"/>
      <w:r>
        <w:rPr>
          <w:rFonts w:hint="eastAsia" w:ascii="宋体" w:hAnsi="宋体"/>
          <w:b/>
          <w:kern w:val="0"/>
          <w:sz w:val="32"/>
          <w:szCs w:val="32"/>
          <w:highlight w:val="none"/>
          <w:lang w:val="en-US" w:eastAsia="zh-CN"/>
        </w:rPr>
        <w:t>需求</w:t>
      </w:r>
      <w:r>
        <w:rPr>
          <w:rFonts w:ascii="宋体" w:hAnsi="宋体"/>
          <w:b/>
          <w:kern w:val="0"/>
          <w:sz w:val="32"/>
          <w:szCs w:val="32"/>
          <w:highlight w:val="none"/>
        </w:rPr>
        <w:t>响应表</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1115"/>
        <w:gridCol w:w="1478"/>
        <w:gridCol w:w="8969"/>
        <w:gridCol w:w="1398"/>
        <w:gridCol w:w="1214"/>
      </w:tblGrid>
      <w:tr w14:paraId="7EFAD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tcBorders>
              <w:tl2br w:val="nil"/>
              <w:tr2bl w:val="nil"/>
            </w:tcBorders>
            <w:shd w:val="clear" w:color="auto" w:fill="FFFFFF" w:themeFill="background1"/>
            <w:vAlign w:val="center"/>
          </w:tcPr>
          <w:p w14:paraId="636B8CB8">
            <w:pPr>
              <w:adjustRightInd w:val="0"/>
              <w:snapToGrid w:val="0"/>
              <w:spacing w:before="100" w:beforeAutospacing="1" w:after="100" w:afterAutospacing="1"/>
              <w:jc w:val="center"/>
              <w:rPr>
                <w:rFonts w:hint="eastAsia" w:ascii="宋体" w:hAnsi="宋体"/>
                <w:b/>
                <w:bCs/>
                <w:sz w:val="24"/>
                <w:highlight w:val="none"/>
                <w:lang w:val="en-US" w:eastAsia="zh-CN"/>
              </w:rPr>
            </w:pPr>
            <w:r>
              <w:rPr>
                <w:rFonts w:hint="eastAsia" w:ascii="宋体" w:hAnsi="宋体"/>
                <w:b/>
                <w:bCs/>
                <w:sz w:val="24"/>
                <w:highlight w:val="none"/>
                <w:lang w:val="en-US" w:eastAsia="zh-CN"/>
              </w:rPr>
              <w:t>序号</w:t>
            </w:r>
          </w:p>
        </w:tc>
        <w:tc>
          <w:tcPr>
            <w:tcW w:w="1478" w:type="dxa"/>
            <w:tcBorders>
              <w:tl2br w:val="nil"/>
              <w:tr2bl w:val="nil"/>
            </w:tcBorders>
            <w:shd w:val="clear" w:color="auto" w:fill="FFFFFF" w:themeFill="background1"/>
            <w:vAlign w:val="center"/>
          </w:tcPr>
          <w:p w14:paraId="6BF56FE3">
            <w:pPr>
              <w:adjustRightInd w:val="0"/>
              <w:snapToGrid w:val="0"/>
              <w:spacing w:before="100" w:beforeAutospacing="1" w:after="100" w:afterAutospacing="1"/>
              <w:jc w:val="center"/>
              <w:rPr>
                <w:rFonts w:hint="default" w:ascii="宋体" w:hAnsi="宋体" w:eastAsia="宋体" w:cs="宋体"/>
                <w:b/>
                <w:bCs/>
                <w:i w:val="0"/>
                <w:iCs w:val="0"/>
                <w:color w:val="000000"/>
                <w:kern w:val="0"/>
                <w:sz w:val="22"/>
                <w:szCs w:val="22"/>
                <w:highlight w:val="none"/>
                <w:u w:val="none"/>
                <w:lang w:val="en-US" w:eastAsia="zh-CN" w:bidi="ar"/>
              </w:rPr>
            </w:pPr>
            <w:r>
              <w:rPr>
                <w:rFonts w:hint="eastAsia" w:ascii="宋体" w:hAnsi="宋体"/>
                <w:b/>
                <w:bCs/>
                <w:sz w:val="24"/>
                <w:highlight w:val="none"/>
                <w:lang w:val="en-US" w:eastAsia="zh-CN"/>
              </w:rPr>
              <w:t>内容/产品名称</w:t>
            </w:r>
          </w:p>
        </w:tc>
        <w:tc>
          <w:tcPr>
            <w:tcW w:w="8969" w:type="dxa"/>
            <w:tcBorders>
              <w:tl2br w:val="nil"/>
              <w:tr2bl w:val="nil"/>
            </w:tcBorders>
            <w:shd w:val="clear" w:color="auto" w:fill="FFFFFF" w:themeFill="background1"/>
            <w:vAlign w:val="center"/>
          </w:tcPr>
          <w:p w14:paraId="17E691AF">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r>
              <w:rPr>
                <w:rFonts w:ascii="宋体" w:hAnsi="宋体"/>
                <w:b/>
                <w:bCs/>
                <w:sz w:val="24"/>
                <w:highlight w:val="none"/>
                <w:u w:val="thick" w:color="FFFFFF"/>
              </w:rPr>
              <w:t>招标文件</w:t>
            </w:r>
            <w:r>
              <w:rPr>
                <w:rFonts w:ascii="宋体" w:hAnsi="宋体"/>
                <w:b/>
                <w:bCs/>
                <w:sz w:val="24"/>
                <w:highlight w:val="none"/>
              </w:rPr>
              <w:t>要求</w:t>
            </w:r>
          </w:p>
        </w:tc>
        <w:tc>
          <w:tcPr>
            <w:tcW w:w="1398" w:type="dxa"/>
            <w:tcBorders>
              <w:tl2br w:val="nil"/>
              <w:tr2bl w:val="nil"/>
            </w:tcBorders>
            <w:shd w:val="clear" w:color="auto" w:fill="FFFFFF" w:themeFill="background1"/>
            <w:noWrap/>
            <w:vAlign w:val="center"/>
          </w:tcPr>
          <w:p w14:paraId="4B70820A">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r>
              <w:rPr>
                <w:rFonts w:ascii="宋体" w:hAnsi="宋体"/>
                <w:b/>
                <w:bCs/>
                <w:sz w:val="24"/>
                <w:highlight w:val="none"/>
              </w:rPr>
              <w:t>投标响应内容</w:t>
            </w:r>
          </w:p>
        </w:tc>
        <w:tc>
          <w:tcPr>
            <w:tcW w:w="1214" w:type="dxa"/>
            <w:tcBorders>
              <w:tl2br w:val="nil"/>
              <w:tr2bl w:val="nil"/>
            </w:tcBorders>
            <w:shd w:val="clear" w:color="auto" w:fill="FFFFFF" w:themeFill="background1"/>
            <w:noWrap/>
            <w:vAlign w:val="center"/>
          </w:tcPr>
          <w:p w14:paraId="6A63211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b/>
                <w:bCs/>
                <w:sz w:val="24"/>
                <w:highlight w:val="none"/>
                <w:lang w:val="en-US" w:eastAsia="zh-CN"/>
              </w:rPr>
              <w:t>是否响应</w:t>
            </w:r>
          </w:p>
        </w:tc>
      </w:tr>
      <w:tr w14:paraId="64DF1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tcBorders>
              <w:tl2br w:val="nil"/>
              <w:tr2bl w:val="nil"/>
            </w:tcBorders>
            <w:shd w:val="clear" w:color="auto" w:fill="auto"/>
            <w:vAlign w:val="center"/>
          </w:tcPr>
          <w:p w14:paraId="7A8AFAA5">
            <w:pPr>
              <w:widowControl/>
              <w:spacing w:line="312" w:lineRule="auto"/>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w:t>
            </w:r>
          </w:p>
        </w:tc>
        <w:tc>
          <w:tcPr>
            <w:tcW w:w="1478" w:type="dxa"/>
            <w:tcBorders>
              <w:tl2br w:val="nil"/>
              <w:tr2bl w:val="nil"/>
            </w:tcBorders>
            <w:shd w:val="clear" w:color="auto" w:fill="auto"/>
            <w:vAlign w:val="center"/>
          </w:tcPr>
          <w:p w14:paraId="69BFA300">
            <w:pPr>
              <w:widowControl/>
              <w:spacing w:line="312"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▲交货期</w:t>
            </w:r>
          </w:p>
        </w:tc>
        <w:tc>
          <w:tcPr>
            <w:tcW w:w="8969" w:type="dxa"/>
            <w:tcBorders>
              <w:tl2br w:val="nil"/>
              <w:tr2bl w:val="nil"/>
            </w:tcBorders>
            <w:shd w:val="clear" w:color="auto" w:fill="auto"/>
            <w:vAlign w:val="center"/>
          </w:tcPr>
          <w:p w14:paraId="1ED089D2">
            <w:pPr>
              <w:widowControl/>
              <w:spacing w:line="312" w:lineRule="auto"/>
              <w:jc w:val="left"/>
              <w:rPr>
                <w:rFonts w:hint="default"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2025年7月25日前</w:t>
            </w:r>
            <w:r>
              <w:rPr>
                <w:rFonts w:hint="eastAsia" w:ascii="宋体" w:hAnsi="宋体" w:eastAsia="宋体" w:cs="宋体"/>
                <w:b/>
                <w:bCs/>
                <w:color w:val="auto"/>
                <w:kern w:val="0"/>
                <w:sz w:val="21"/>
                <w:szCs w:val="21"/>
                <w:highlight w:val="none"/>
                <w:lang w:eastAsia="zh-CN"/>
              </w:rPr>
              <w:t>完成供货</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安装，直至验收合格</w:t>
            </w:r>
          </w:p>
        </w:tc>
        <w:tc>
          <w:tcPr>
            <w:tcW w:w="1398" w:type="dxa"/>
            <w:tcBorders>
              <w:tl2br w:val="nil"/>
              <w:tr2bl w:val="nil"/>
            </w:tcBorders>
            <w:shd w:val="clear" w:color="auto" w:fill="FFFFFF" w:themeFill="background1"/>
            <w:noWrap/>
            <w:vAlign w:val="center"/>
          </w:tcPr>
          <w:p w14:paraId="742B105D">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tcBorders>
              <w:tl2br w:val="nil"/>
              <w:tr2bl w:val="nil"/>
            </w:tcBorders>
            <w:shd w:val="clear" w:color="auto" w:fill="FFFFFF" w:themeFill="background1"/>
            <w:noWrap/>
            <w:vAlign w:val="center"/>
          </w:tcPr>
          <w:p w14:paraId="2779A470">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358E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tcBorders>
              <w:tl2br w:val="nil"/>
              <w:tr2bl w:val="nil"/>
            </w:tcBorders>
            <w:shd w:val="clear" w:color="auto" w:fill="auto"/>
            <w:vAlign w:val="center"/>
          </w:tcPr>
          <w:p w14:paraId="1FDCD552">
            <w:pPr>
              <w:widowControl/>
              <w:spacing w:line="312" w:lineRule="auto"/>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w:t>
            </w:r>
          </w:p>
        </w:tc>
        <w:tc>
          <w:tcPr>
            <w:tcW w:w="1478" w:type="dxa"/>
            <w:tcBorders>
              <w:tl2br w:val="nil"/>
              <w:tr2bl w:val="nil"/>
            </w:tcBorders>
            <w:shd w:val="clear" w:color="auto" w:fill="auto"/>
            <w:vAlign w:val="center"/>
          </w:tcPr>
          <w:p w14:paraId="5D5E677A">
            <w:pPr>
              <w:widowControl/>
              <w:spacing w:line="312"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▲交货地点</w:t>
            </w:r>
          </w:p>
        </w:tc>
        <w:tc>
          <w:tcPr>
            <w:tcW w:w="8969" w:type="dxa"/>
            <w:tcBorders>
              <w:tl2br w:val="nil"/>
              <w:tr2bl w:val="nil"/>
            </w:tcBorders>
            <w:shd w:val="clear" w:color="auto" w:fill="auto"/>
            <w:vAlign w:val="center"/>
          </w:tcPr>
          <w:p w14:paraId="00B12D7C">
            <w:pPr>
              <w:widowControl/>
              <w:spacing w:line="312" w:lineRule="auto"/>
              <w:jc w:val="left"/>
              <w:rPr>
                <w:rFonts w:hint="eastAsia"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海虹街道中心幼儿园（翡翠云邸）台州湾新区云星路100号</w:t>
            </w:r>
          </w:p>
        </w:tc>
        <w:tc>
          <w:tcPr>
            <w:tcW w:w="1398" w:type="dxa"/>
            <w:tcBorders>
              <w:tl2br w:val="nil"/>
              <w:tr2bl w:val="nil"/>
            </w:tcBorders>
            <w:shd w:val="clear" w:color="auto" w:fill="FFFFFF" w:themeFill="background1"/>
            <w:noWrap/>
            <w:vAlign w:val="center"/>
          </w:tcPr>
          <w:p w14:paraId="22A9147B">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tcBorders>
              <w:tl2br w:val="nil"/>
              <w:tr2bl w:val="nil"/>
            </w:tcBorders>
            <w:shd w:val="clear" w:color="auto" w:fill="FFFFFF" w:themeFill="background1"/>
            <w:noWrap/>
            <w:vAlign w:val="center"/>
          </w:tcPr>
          <w:p w14:paraId="38A00DD7">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58A6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8FBD486">
            <w:pPr>
              <w:widowControl/>
              <w:spacing w:line="312" w:lineRule="auto"/>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w:t>
            </w:r>
          </w:p>
        </w:tc>
        <w:tc>
          <w:tcPr>
            <w:tcW w:w="1478" w:type="dxa"/>
            <w:shd w:val="clear" w:color="auto" w:fill="auto"/>
            <w:vAlign w:val="center"/>
          </w:tcPr>
          <w:p w14:paraId="4EBE044A">
            <w:pPr>
              <w:widowControl/>
              <w:spacing w:line="312"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付款方式</w:t>
            </w:r>
          </w:p>
        </w:tc>
        <w:tc>
          <w:tcPr>
            <w:tcW w:w="8969" w:type="dxa"/>
            <w:shd w:val="clear" w:color="auto" w:fill="auto"/>
            <w:vAlign w:val="center"/>
          </w:tcPr>
          <w:p w14:paraId="776ECBFE">
            <w:pPr>
              <w:widowControl/>
              <w:spacing w:line="312" w:lineRule="auto"/>
              <w:jc w:val="left"/>
              <w:rPr>
                <w:rFonts w:hint="eastAsia"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验收合格后一次性付清</w:t>
            </w:r>
          </w:p>
        </w:tc>
        <w:tc>
          <w:tcPr>
            <w:tcW w:w="1398" w:type="dxa"/>
            <w:shd w:val="clear" w:color="auto" w:fill="FFFFFF" w:themeFill="background1"/>
          </w:tcPr>
          <w:p w14:paraId="066335A8">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9E63B14">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1B6F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9587CB4">
            <w:pPr>
              <w:widowControl/>
              <w:spacing w:line="312" w:lineRule="auto"/>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w:t>
            </w:r>
          </w:p>
        </w:tc>
        <w:tc>
          <w:tcPr>
            <w:tcW w:w="1478" w:type="dxa"/>
            <w:shd w:val="clear" w:color="auto" w:fill="auto"/>
            <w:vAlign w:val="center"/>
          </w:tcPr>
          <w:p w14:paraId="59291E52">
            <w:pPr>
              <w:widowControl/>
              <w:spacing w:line="312"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质保期</w:t>
            </w:r>
          </w:p>
        </w:tc>
        <w:tc>
          <w:tcPr>
            <w:tcW w:w="8969" w:type="dxa"/>
            <w:shd w:val="clear" w:color="auto" w:fill="auto"/>
            <w:vAlign w:val="center"/>
          </w:tcPr>
          <w:p w14:paraId="7E3A67DA">
            <w:pPr>
              <w:widowControl/>
              <w:spacing w:line="312" w:lineRule="auto"/>
              <w:jc w:val="left"/>
              <w:rPr>
                <w:rFonts w:hint="eastAsia" w:ascii="宋体" w:hAnsi="宋体" w:eastAsia="宋体" w:cs="宋体"/>
                <w:b/>
                <w:bCs/>
                <w:color w:val="auto"/>
                <w:kern w:val="0"/>
                <w:sz w:val="21"/>
                <w:szCs w:val="21"/>
                <w:highlight w:val="none"/>
                <w:lang w:val="en-US" w:eastAsia="zh-CN" w:bidi="ar-SA"/>
              </w:rPr>
            </w:pPr>
            <w:r>
              <w:rPr>
                <w:rFonts w:hint="eastAsia" w:ascii="宋体" w:hAnsi="宋体" w:cs="宋体"/>
                <w:b/>
                <w:bCs/>
                <w:color w:val="auto"/>
                <w:kern w:val="0"/>
                <w:sz w:val="21"/>
                <w:szCs w:val="21"/>
                <w:highlight w:val="none"/>
                <w:lang w:val="en-US" w:eastAsia="zh-CN"/>
              </w:rPr>
              <w:t>三年，自验收合格之日起开始计</w:t>
            </w:r>
          </w:p>
        </w:tc>
        <w:tc>
          <w:tcPr>
            <w:tcW w:w="1398" w:type="dxa"/>
            <w:shd w:val="clear" w:color="auto" w:fill="FFFFFF" w:themeFill="background1"/>
          </w:tcPr>
          <w:p w14:paraId="6A0876D1">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DEEE89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18AC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8ACA668">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w:t>
            </w:r>
          </w:p>
        </w:tc>
        <w:tc>
          <w:tcPr>
            <w:tcW w:w="1478" w:type="dxa"/>
            <w:shd w:val="clear" w:color="auto" w:fill="auto"/>
            <w:vAlign w:val="center"/>
          </w:tcPr>
          <w:p w14:paraId="347EDCD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6人桌.可调节</w:t>
            </w:r>
          </w:p>
        </w:tc>
        <w:tc>
          <w:tcPr>
            <w:tcW w:w="8969" w:type="dxa"/>
            <w:shd w:val="clear" w:color="auto" w:fill="auto"/>
            <w:vAlign w:val="center"/>
          </w:tcPr>
          <w:p w14:paraId="2A482EE0">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规格：L120xW60xH34-46cm可调节高度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（2）桌脚底部安装可调节塑料件，可通过调整塑料件的数量来改变桌面的整体高度；可自由搭配不同颜色脚套环，适用多场景下使用，提高趣味性。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面板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紫红、蓝色、白色多种颜色的塑料调节脚套环，螺旋结构方便调节，每个脚套环规格为φ48xH55mm，选择安装不同的数量可满足不同的高度需求，桌面可调高度：340-460mm（每30mm可选调节安装）；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71BDF88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DCC7923">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6F5E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7FBE38E">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1478" w:type="dxa"/>
            <w:shd w:val="clear" w:color="auto" w:fill="auto"/>
            <w:vAlign w:val="center"/>
          </w:tcPr>
          <w:p w14:paraId="7AE371EE">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月亮桌.可调节</w:t>
            </w:r>
          </w:p>
        </w:tc>
        <w:tc>
          <w:tcPr>
            <w:tcW w:w="8969" w:type="dxa"/>
            <w:shd w:val="clear" w:color="auto" w:fill="auto"/>
            <w:vAlign w:val="center"/>
          </w:tcPr>
          <w:p w14:paraId="743C0D8B">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规格：L120xW60xH34-46cm可调节高度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（2）桌脚底部安装可调节塑料件，可通过调整塑料件的数量来改变桌面的整体高度；可自由搭配不同颜色脚套环，适用多场景下使用，提高趣味性。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面板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紫红、蓝色、白色多种颜色的塑料调节脚套环，螺旋结构方便调节，每个脚套环规格为φ48xH55mm，选择安装不同的数量可满足不同的高度需求，桌面可调高度：340-460mm（每30mm可选调节安装）；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6DE0D55C">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F287D2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1997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AF743B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w:t>
            </w:r>
          </w:p>
        </w:tc>
        <w:tc>
          <w:tcPr>
            <w:tcW w:w="1478" w:type="dxa"/>
            <w:shd w:val="clear" w:color="auto" w:fill="auto"/>
            <w:vAlign w:val="center"/>
          </w:tcPr>
          <w:p w14:paraId="6634349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圆桌.可调节</w:t>
            </w:r>
          </w:p>
        </w:tc>
        <w:tc>
          <w:tcPr>
            <w:tcW w:w="8969" w:type="dxa"/>
            <w:shd w:val="clear" w:color="auto" w:fill="auto"/>
            <w:vAlign w:val="center"/>
          </w:tcPr>
          <w:p w14:paraId="65961FE3">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规格：Φ80xH34-46cm可调节高度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（2）桌脚底部安装可调节塑料件，可通过调整塑料件的数量来改变桌面的整体高度；可自由搭配不同颜色脚套环，适用多场景下使用，提高趣味性。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面板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紫红、蓝色、白色多种颜色的塑料调节脚套环，螺旋结构方便调节，每个脚套环规格为φ48xH55mm，选择安装不同的数量可满足不同的高度需求，桌面可调高度：340-460mm（每30mm可选调节安装）；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701424E1">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C27453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1931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6ACD069">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4</w:t>
            </w:r>
          </w:p>
        </w:tc>
        <w:tc>
          <w:tcPr>
            <w:tcW w:w="1478" w:type="dxa"/>
            <w:shd w:val="clear" w:color="auto" w:fill="auto"/>
            <w:vAlign w:val="center"/>
          </w:tcPr>
          <w:p w14:paraId="76A6F9B0">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4人桌.可调节</w:t>
            </w:r>
          </w:p>
        </w:tc>
        <w:tc>
          <w:tcPr>
            <w:tcW w:w="8969" w:type="dxa"/>
            <w:shd w:val="clear" w:color="auto" w:fill="auto"/>
            <w:vAlign w:val="center"/>
          </w:tcPr>
          <w:p w14:paraId="19F8F947">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规格：L60xW60xH34-46cm可调节高度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（2）桌脚底部安装可调节塑料件，可通过调整塑料件的数量来改变桌面的整体高度；可自由搭配不同颜色脚套环，适用多场景下使用，提高趣味性。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面板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紫红、蓝色、白色多种颜色的塑料调节脚套环，螺旋结构方便调节，每个脚套环规格为φ48xH55mm，选择安装不同的数量可满足不同的高度需求，桌面可调高度：340-460mm（每30mm可选调节安装）；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1AC55EB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47A49A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D431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D609B47">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5</w:t>
            </w:r>
          </w:p>
        </w:tc>
        <w:tc>
          <w:tcPr>
            <w:tcW w:w="1478" w:type="dxa"/>
            <w:shd w:val="clear" w:color="auto" w:fill="auto"/>
            <w:vAlign w:val="center"/>
          </w:tcPr>
          <w:p w14:paraId="6165185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椅.23cm.可叠</w:t>
            </w:r>
          </w:p>
        </w:tc>
        <w:tc>
          <w:tcPr>
            <w:tcW w:w="8969" w:type="dxa"/>
            <w:shd w:val="clear" w:color="auto" w:fill="auto"/>
            <w:vAlign w:val="center"/>
          </w:tcPr>
          <w:p w14:paraId="6F9C887E">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规格：L36xW30xH42cm（座高23cm）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（1）背板小熊造型设计，图案采用立体雕刻工艺，立体生动能彰显凹凸感。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（2）侧板椅脚内倾斜设计，稳固且利于堆叠。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（1）主材厚度15mm的环保实木多层板。靠背造型最大离座板高度190mm,最小高度180mm；座板：坐高：230mm，坐宽285mm，坐深205mm；扶手两侧开孔设计便于儿童抓握提放，开孔尺寸为159x40mm，扶手上边沿离座板高80mm。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（2）扶手内侧增加2个塑料脚垫，高度为H10mm，直径17mm，堆叠的时候不易刮花椅子。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（3）椅脚：侧板椅脚向内倾斜5°，侧板下方拱形镂空处理，最大离地高度75mm,稳固且利于堆叠；椅脚底部安装塑料脚垫,软性防滑。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（5）油墨：采用环保水性油墨，颜色饱满，无毒无异味。</w:t>
            </w:r>
          </w:p>
        </w:tc>
        <w:tc>
          <w:tcPr>
            <w:tcW w:w="1398" w:type="dxa"/>
            <w:shd w:val="clear" w:color="auto" w:fill="FFFFFF" w:themeFill="background1"/>
          </w:tcPr>
          <w:p w14:paraId="5EF9651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0FFF059">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60A1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EEEAF83">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6</w:t>
            </w:r>
          </w:p>
        </w:tc>
        <w:tc>
          <w:tcPr>
            <w:tcW w:w="1478" w:type="dxa"/>
            <w:shd w:val="clear" w:color="auto" w:fill="auto"/>
            <w:vAlign w:val="center"/>
          </w:tcPr>
          <w:p w14:paraId="3C90A7A2">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蒙泰基一体成型椅.41cm.可叠</w:t>
            </w:r>
          </w:p>
        </w:tc>
        <w:tc>
          <w:tcPr>
            <w:tcW w:w="8969" w:type="dxa"/>
            <w:shd w:val="clear" w:color="auto" w:fill="auto"/>
            <w:vAlign w:val="center"/>
          </w:tcPr>
          <w:p w14:paraId="0FDF18C1">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规格：L47xW46.5xH73cm（座高41cm）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（1）椅子整体由多轴CNC一次加工完成材料切割、实木薄片多层胶合热压下一体成型，无须拼接，线条流畅。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（2）圆矩形挖孔设计，手提叠放轻松方便。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（3）座板前高后低倾角设计，靠背弧形贴合腰背，适应人体曲线，符合人体力学，呵护儿童脊椎发育，孩子久坐不累。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环保优质实木多层板（弯板），椅子座高：410mm，座宽：420~425mm。座板底部与支撑脚弯曲处安装V型加固角码，角码采用环保塑料，打磨圆滑，尺寸为L127xW95xH27mm呈浅咖色，更好的还原自然原木色，有效增加支撑脚牢固强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（2）椅脚与座板弧形相连一体成型，底部使用环保塑料脚套包裹，尺寸为41.8x18x42.8mm(±2mm)，加厚耐磨，防滑不易脱落。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（3）靠背圆矩形挖孔设计，靠背高度34cm手提叠放轻松方便。</w:t>
            </w:r>
          </w:p>
        </w:tc>
        <w:tc>
          <w:tcPr>
            <w:tcW w:w="1398" w:type="dxa"/>
            <w:shd w:val="clear" w:color="auto" w:fill="FFFFFF" w:themeFill="background1"/>
          </w:tcPr>
          <w:p w14:paraId="2F36983C">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D6BDC9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49B2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04CE660">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7</w:t>
            </w:r>
          </w:p>
        </w:tc>
        <w:tc>
          <w:tcPr>
            <w:tcW w:w="1478" w:type="dxa"/>
            <w:shd w:val="clear" w:color="auto" w:fill="auto"/>
            <w:vAlign w:val="center"/>
          </w:tcPr>
          <w:p w14:paraId="06F48ABB">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数字圆形皮质软垫（1-40）</w:t>
            </w:r>
          </w:p>
        </w:tc>
        <w:tc>
          <w:tcPr>
            <w:tcW w:w="8969" w:type="dxa"/>
            <w:shd w:val="clear" w:color="auto" w:fill="auto"/>
            <w:vAlign w:val="center"/>
          </w:tcPr>
          <w:p w14:paraId="6DAEB2CC">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规格：Ф30xH2cm（单个圆垫）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（1）亲肤圆垫材质配合数字设计，培养幼儿加深对数字的认识。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（1）底板采用厚度25mm的环保实木多层板，圆棒采用桦木原木。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（2）收纳架底部安装4个1.5寸静音万向脚轮，脚轮运行平稳无声，可360°旋转，转动顺滑。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（3）1个收纳架最多可以收纳21个垫子，单个垫子尺寸为Ф30*H2cm，垫子外皮采用厚度1.5mm聚氨酯合成革超柔皮，触感轻柔，绿色环保，耐磨耐用；填充材质：海绵，密度≥30kg/m³，回弹性强，不易变形。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（4）油漆：收纳架采用环保的水性漆，全封闭涂装工艺，漆面光泽高透，颜色均匀。</w:t>
            </w:r>
          </w:p>
        </w:tc>
        <w:tc>
          <w:tcPr>
            <w:tcW w:w="1398" w:type="dxa"/>
            <w:shd w:val="clear" w:color="auto" w:fill="FFFFFF" w:themeFill="background1"/>
          </w:tcPr>
          <w:p w14:paraId="72A40F1F">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BF1EDC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3FBE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83E259B">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8</w:t>
            </w:r>
          </w:p>
        </w:tc>
        <w:tc>
          <w:tcPr>
            <w:tcW w:w="1478" w:type="dxa"/>
            <w:shd w:val="clear" w:color="auto" w:fill="auto"/>
            <w:vAlign w:val="center"/>
          </w:tcPr>
          <w:p w14:paraId="0B432F1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树枝圆形地毯</w:t>
            </w:r>
          </w:p>
        </w:tc>
        <w:tc>
          <w:tcPr>
            <w:tcW w:w="8969" w:type="dxa"/>
            <w:shd w:val="clear" w:color="auto" w:fill="auto"/>
            <w:vAlign w:val="center"/>
          </w:tcPr>
          <w:p w14:paraId="0BC3F485">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规格：φ200cm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1.采用优质尼龙环保材料，弹性好而且富有光泽，具有很好的耐磨性和脚感，底部带防滑垫。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2.树枝圆形地毯内容丰富多彩，可让小朋友在游戏中学会认知，在课室的区角摆放中增添色彩。</w:t>
            </w:r>
          </w:p>
        </w:tc>
        <w:tc>
          <w:tcPr>
            <w:tcW w:w="1398" w:type="dxa"/>
            <w:shd w:val="clear" w:color="auto" w:fill="FFFFFF" w:themeFill="background1"/>
          </w:tcPr>
          <w:p w14:paraId="5429F83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241097A">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DE2D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E8ADC53">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9</w:t>
            </w:r>
          </w:p>
        </w:tc>
        <w:tc>
          <w:tcPr>
            <w:tcW w:w="1478" w:type="dxa"/>
            <w:shd w:val="clear" w:color="auto" w:fill="auto"/>
            <w:vAlign w:val="center"/>
          </w:tcPr>
          <w:p w14:paraId="7937BC34">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19#丽莎教具篮.卡其色</w:t>
            </w:r>
          </w:p>
        </w:tc>
        <w:tc>
          <w:tcPr>
            <w:tcW w:w="8969" w:type="dxa"/>
            <w:shd w:val="clear" w:color="auto" w:fill="auto"/>
            <w:vAlign w:val="center"/>
          </w:tcPr>
          <w:p w14:paraId="0604365E">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规格：L26xW28xH19cm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采用环保塑料一体成型工艺，边角采用圆边/圆角处理以及安全防撞设计。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采用环保塑料一体成型工艺，卡其色教具篮，搭配柜子使用，容量大，可堆叠。内控最小宽度22.5cm最大宽度25.5cm；内控长度23.5cm；两边凹陷设计，凸出15mm,叠放易抽取。</w:t>
            </w:r>
          </w:p>
        </w:tc>
        <w:tc>
          <w:tcPr>
            <w:tcW w:w="1398" w:type="dxa"/>
            <w:shd w:val="clear" w:color="auto" w:fill="FFFFFF" w:themeFill="background1"/>
          </w:tcPr>
          <w:p w14:paraId="09DAABCF">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0CBA10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B2DB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5DEA697">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10</w:t>
            </w:r>
          </w:p>
        </w:tc>
        <w:tc>
          <w:tcPr>
            <w:tcW w:w="1478" w:type="dxa"/>
            <w:shd w:val="clear" w:color="auto" w:fill="auto"/>
            <w:vAlign w:val="center"/>
          </w:tcPr>
          <w:p w14:paraId="750F096D">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10#丽莎教具篮.卡其色</w:t>
            </w:r>
          </w:p>
        </w:tc>
        <w:tc>
          <w:tcPr>
            <w:tcW w:w="8969" w:type="dxa"/>
            <w:shd w:val="clear" w:color="auto" w:fill="auto"/>
            <w:vAlign w:val="center"/>
          </w:tcPr>
          <w:p w14:paraId="0155050F">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规格：L26xW28xH10cm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采用环保塑料一体成型工艺，边角采用圆边/圆角处理以及安全防撞设计。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采用环保塑料一体成型工艺，卡其色教具篮，搭配柜子使用，容量大，可堆叠。内控最小宽度22cm最大宽度25.5cm；内控长度23.5cm；两边凹陷设计，凸出15mm，叠放易抽取。</w:t>
            </w:r>
          </w:p>
        </w:tc>
        <w:tc>
          <w:tcPr>
            <w:tcW w:w="1398" w:type="dxa"/>
            <w:shd w:val="clear" w:color="auto" w:fill="FFFFFF" w:themeFill="background1"/>
          </w:tcPr>
          <w:p w14:paraId="1F218FAB">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6D9B02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9F8E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626843A">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11</w:t>
            </w:r>
          </w:p>
        </w:tc>
        <w:tc>
          <w:tcPr>
            <w:tcW w:w="1478" w:type="dxa"/>
            <w:shd w:val="clear" w:color="auto" w:fill="auto"/>
            <w:vAlign w:val="center"/>
          </w:tcPr>
          <w:p w14:paraId="5B2446DE">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林中屋综合互动小厨房</w:t>
            </w:r>
          </w:p>
        </w:tc>
        <w:tc>
          <w:tcPr>
            <w:tcW w:w="8969" w:type="dxa"/>
            <w:shd w:val="clear" w:color="auto" w:fill="auto"/>
            <w:vAlign w:val="center"/>
          </w:tcPr>
          <w:p w14:paraId="044B0104">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规格：L90xW32xH102cm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（1）逼真综合厨房功能设计，树屋元素造型。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（3）可旋转按钮仿真功能，可视化按键，增强游戏真实体验感。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（4）多功能带轮带刹车柜体，移动/固定便捷。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（1）基材：主体采用厚度12mm和15mm厚度的桦木纹饰面环保橡胶木拼板以及厚度12mm和15mm厚度的环保实木多层板，背板采用厚度5mm的饰面环保实木纤维板。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（2）柜体上方设置厨房储放功能，拉手为直径29mm白色锌合金拉手；门板采用透明亚克力板做通透处理。储存空间下方搭配塑料挂钩。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柜面右侧为一个塑料一次成型呈奶白色的洗手台，尺寸L218xW218xH78mm；搭配可旋转的塑料成型2合1外直径35mm内直径18mm的旋转调节开关，一个长度70.5mm内径19mm的旋转水龙头；柜面左侧为两个φ124mm的仿真灶炉，搭配可旋转的塑料成型2合1外直径35mm内直径18mm的旋转调节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（4）柜体下方为3个独立开合门，门板内装缓冲铰链，能实现门板开合；3个拉手均采用深咖色环保塑料L104.5xW32mm。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（5）柜子底部安装4个1.5寸静音万向脚轮，脚轮运行平稳无声，可360°旋转，转动顺滑，其中2个脚轮带刹车功能，刹车灵敏，踏板不易断裂。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（8）油墨：采用环保水性油墨，颜色饱满，无毒无异味。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（9）亚克力板：采用厚度5mm的优质透明亚克力板，表面光滑无缺陷，坚硬耐用，高透光性，环保无毒。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（10）塑料板：采用食品级的环保塑料材质。</w:t>
            </w:r>
          </w:p>
        </w:tc>
        <w:tc>
          <w:tcPr>
            <w:tcW w:w="1398" w:type="dxa"/>
            <w:shd w:val="clear" w:color="auto" w:fill="FFFFFF" w:themeFill="background1"/>
          </w:tcPr>
          <w:p w14:paraId="506DA556">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C6B75D4">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EA9F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75EC6C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12</w:t>
            </w:r>
          </w:p>
        </w:tc>
        <w:tc>
          <w:tcPr>
            <w:tcW w:w="1478" w:type="dxa"/>
            <w:shd w:val="clear" w:color="auto" w:fill="auto"/>
            <w:vAlign w:val="center"/>
          </w:tcPr>
          <w:p w14:paraId="7F622FB9">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2层45°弧形柜</w:t>
            </w:r>
          </w:p>
        </w:tc>
        <w:tc>
          <w:tcPr>
            <w:tcW w:w="8969" w:type="dxa"/>
            <w:shd w:val="clear" w:color="auto" w:fill="auto"/>
            <w:vAlign w:val="center"/>
          </w:tcPr>
          <w:p w14:paraId="739BC0ED">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规格：L60xW33xH51cm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（1）90°转角设计，可搭配区角使用作转角连接。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通透2层高柜，格子上层内空高度：128mm，格子下层内空高度：223mm，柜体呈45°弧形；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15AE49BC">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D7B9B8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CC64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954F207">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13</w:t>
            </w:r>
          </w:p>
        </w:tc>
        <w:tc>
          <w:tcPr>
            <w:tcW w:w="1478" w:type="dxa"/>
            <w:shd w:val="clear" w:color="auto" w:fill="auto"/>
            <w:vAlign w:val="center"/>
          </w:tcPr>
          <w:p w14:paraId="22B12195">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2层90°转角柜</w:t>
            </w:r>
          </w:p>
        </w:tc>
        <w:tc>
          <w:tcPr>
            <w:tcW w:w="8969" w:type="dxa"/>
            <w:shd w:val="clear" w:color="auto" w:fill="auto"/>
            <w:vAlign w:val="center"/>
          </w:tcPr>
          <w:p w14:paraId="358BBD8A">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规格：L30xW30xH51cm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（1）90°转角设计，可搭配区角使用作转角连接。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全背板2层高柜，上层格子内空高度：128mm，下层格子内空高度：223mm，柜体呈90°转角；顶部安装H30mm高的扶手条，水性漆喷涂呈浅咖色，扶手条最大宽度24mm，凹弧设计方便幼儿学步抓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0396B93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76E2BB7">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407E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A84EB3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14</w:t>
            </w:r>
          </w:p>
        </w:tc>
        <w:tc>
          <w:tcPr>
            <w:tcW w:w="1478" w:type="dxa"/>
            <w:shd w:val="clear" w:color="auto" w:fill="auto"/>
            <w:vAlign w:val="center"/>
          </w:tcPr>
          <w:p w14:paraId="74106A9C">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托育巴士售卖台</w:t>
            </w:r>
          </w:p>
        </w:tc>
        <w:tc>
          <w:tcPr>
            <w:tcW w:w="8969" w:type="dxa"/>
            <w:shd w:val="clear" w:color="auto" w:fill="auto"/>
            <w:vAlign w:val="center"/>
          </w:tcPr>
          <w:p w14:paraId="39FC22E6">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规格：L92xW30xH120cm（含盒）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（1）特色巴士造型设计。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18mm的环保优质实木多层板。售卖柜体面板离地高度：490mm；顶部造型离售卖柜面高495mm,顶部造型板设计11个φ30mm镂空圆孔，便于悬挂标识牌；标识牌为长方形白色书写防火板，尺寸为：245x110mm，可使用水性笔进行擦写；造型顶两侧放置直径19mm长度884mm的铁艺圆棒，链接由涤纶纤维织造的仿棉麻材质倒三角挂饰，挂饰可拆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（2）两侧侧板总高1085mm,在侧板上方做尺寸110x455mm,的几何镂空造型，造型图案采用环保水性油墨，颜色饱满，无毒无异味。侧板安装塑料脚垫，高度为H10mm直径17mm，软性防滑。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（3）售卖柜底部分为上下两层；上层的售卖柜与水平夹角,30°，长度884mm，搭配5个大收纳盒，尺寸：L245xW150xH60mm；收纳盒采用环保塑料材质，呈浅咖色，一体成型设计。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围脚：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（6）油墨：采用环保水性油墨，颜色饱满，无毒无异味。</w:t>
            </w:r>
          </w:p>
        </w:tc>
        <w:tc>
          <w:tcPr>
            <w:tcW w:w="1398" w:type="dxa"/>
            <w:shd w:val="clear" w:color="auto" w:fill="FFFFFF" w:themeFill="background1"/>
          </w:tcPr>
          <w:p w14:paraId="658ADCE1">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44A3234">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1ED8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5B6E8B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15</w:t>
            </w:r>
          </w:p>
        </w:tc>
        <w:tc>
          <w:tcPr>
            <w:tcW w:w="1478" w:type="dxa"/>
            <w:shd w:val="clear" w:color="auto" w:fill="auto"/>
            <w:vAlign w:val="center"/>
          </w:tcPr>
          <w:p w14:paraId="3FD3C519">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托育弧形波纹挡板</w:t>
            </w:r>
          </w:p>
        </w:tc>
        <w:tc>
          <w:tcPr>
            <w:tcW w:w="8969" w:type="dxa"/>
            <w:shd w:val="clear" w:color="auto" w:fill="auto"/>
            <w:vAlign w:val="center"/>
          </w:tcPr>
          <w:p w14:paraId="29CCDF53">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规格：L87xW22.5xH51cm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（1）半透明通透波纹板，能搭配其他产品形成围合区域，增强独立性与互动性。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（1）采用厚度24mm的环保实木多层板，整体挡板呈1/4圆弧，整体挡板用于90°转角连接。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（2）波纹板：芯板采用厚度8mm的优质半透明亚克力中空板，可视弧形面积437x380mm共2块，表面光滑无缺陷，中空结构抗压性强，环保无毒。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60EB9D91">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F40A78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0BEC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32ACF26">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16</w:t>
            </w:r>
          </w:p>
        </w:tc>
        <w:tc>
          <w:tcPr>
            <w:tcW w:w="1478" w:type="dxa"/>
            <w:shd w:val="clear" w:color="auto" w:fill="auto"/>
            <w:vAlign w:val="center"/>
          </w:tcPr>
          <w:p w14:paraId="65E61B42">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H51cm挡板连接件</w:t>
            </w:r>
          </w:p>
        </w:tc>
        <w:tc>
          <w:tcPr>
            <w:tcW w:w="8969" w:type="dxa"/>
            <w:shd w:val="clear" w:color="auto" w:fill="auto"/>
            <w:vAlign w:val="center"/>
          </w:tcPr>
          <w:p w14:paraId="1F3BB5D9">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规格：φ5.5xH51cm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（1）配合连接梢，方便实现柜体与挡板之间、挡板与挡板之间、挡板与门洞之间的多角度连接，无须使用工具轻松快捷，提高环创多样性。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（2）连接铁管表面采用静电粉末喷涂工艺，圆润光滑，防腐抗锈，坚固耐用。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（1）4个链接柜体的“1”字型插销，由塑料一次成型两头带孔位L46mm呈浅咖色的插销，孔位直径9.7mm。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连接件底座分为3段，①底层为固定件由塑料一次成型8个齿轮成带脚钉呈浅咖色的底座，整体高44mm直径57.5mm，脚钉位置高18mm，直径34mm；②中间为塑料一次成型8个齿轮的旋转件，只需旋转一个齿轮即可实现快拆快组，直径49.5mm高度14.5mm；③上层为塑料一次成型8个齿轮型组成呈浅咖色的底座，高度49.5mm直径57.5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(3)顶部固定链接座，分为两段，上层为一个塑料一次成型带8个齿轮呈浅咖色的盖帽，直径57.5mm高度28.5mm；下层为塑料一次成型8个齿轮型组成呈浅咖色的固定件，直径57.5mm高度50mm。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（4）一个连接两段塑料件的铁艺圆棒，用优质冷轧铁艺，表面采用静电粉末喷涂工艺壁厚1.2mm，尺寸：Ф19x445mm。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（5）产品用于连接，通过连接梢连接套环上不同的插槽，可以进行90°/135°/180°的连接选择。</w:t>
            </w:r>
          </w:p>
        </w:tc>
        <w:tc>
          <w:tcPr>
            <w:tcW w:w="1398" w:type="dxa"/>
            <w:shd w:val="clear" w:color="auto" w:fill="FFFFFF" w:themeFill="background1"/>
          </w:tcPr>
          <w:p w14:paraId="718D62A6">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7E457D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B778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18AFFCB">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17</w:t>
            </w:r>
          </w:p>
        </w:tc>
        <w:tc>
          <w:tcPr>
            <w:tcW w:w="1478" w:type="dxa"/>
            <w:shd w:val="clear" w:color="auto" w:fill="auto"/>
            <w:vAlign w:val="center"/>
          </w:tcPr>
          <w:p w14:paraId="16398CB4">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5格柜.无背板</w:t>
            </w:r>
          </w:p>
        </w:tc>
        <w:tc>
          <w:tcPr>
            <w:tcW w:w="8969" w:type="dxa"/>
            <w:shd w:val="clear" w:color="auto" w:fill="auto"/>
            <w:vAlign w:val="center"/>
          </w:tcPr>
          <w:p w14:paraId="1B0310D8">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规格：L92xW30xH51cm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通透2层5格高柜，上层格子内空：283x300x128mm,下层格子内空：433x300x223mm，可满足各类教玩具收纳；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4BE91E6F">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5C397F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4615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C4196E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18</w:t>
            </w:r>
          </w:p>
        </w:tc>
        <w:tc>
          <w:tcPr>
            <w:tcW w:w="1478" w:type="dxa"/>
            <w:shd w:val="clear" w:color="auto" w:fill="auto"/>
            <w:vAlign w:val="center"/>
          </w:tcPr>
          <w:p w14:paraId="4EF81DC2">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2层柜.无背板</w:t>
            </w:r>
          </w:p>
        </w:tc>
        <w:tc>
          <w:tcPr>
            <w:tcW w:w="8969" w:type="dxa"/>
            <w:shd w:val="clear" w:color="auto" w:fill="auto"/>
            <w:vAlign w:val="center"/>
          </w:tcPr>
          <w:p w14:paraId="3625150A">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规格：L92xW30xH51cm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通透2层高柜，上层格子内空：884x300x128mm，下层内空：884x300xH223mm,可满足各类教玩具收纳；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3DBF6F5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220512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828D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864CFDA">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19</w:t>
            </w:r>
          </w:p>
        </w:tc>
        <w:tc>
          <w:tcPr>
            <w:tcW w:w="1478" w:type="dxa"/>
            <w:shd w:val="clear" w:color="auto" w:fill="auto"/>
            <w:vAlign w:val="center"/>
          </w:tcPr>
          <w:p w14:paraId="3C10B50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感官桌</w:t>
            </w:r>
          </w:p>
        </w:tc>
        <w:tc>
          <w:tcPr>
            <w:tcW w:w="8969" w:type="dxa"/>
            <w:shd w:val="clear" w:color="auto" w:fill="auto"/>
            <w:vAlign w:val="center"/>
          </w:tcPr>
          <w:p w14:paraId="239B50A5">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规格：60x60x40、43、46、49、52cm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（1）支持幼儿用玩具、模型和各类自然材料，体验桌面建构和搭建，提供感官刺激的场景。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（2）多功能带轮带刹车柜体，移动/固定便捷。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2.外观结构与材质：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（1）基材：主体采用厚度15mm的环保优质实木多层板。桌面下沉式30mm，物品摆放不易掉落；桌脚为48*48mm的实木脚，带7个调节高度孔位。四周侧板框高270mm。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其中一侧的2个桌脚安装塑料脚垫φ18x8mm，软性防滑；另外2个桌脚安装带刹车万向轮，轮径35xH42.5mm；轻提其中安装防滑塑料脚垫两条桌脚一侧桌边，可利用另一侧两条桌脚安装的万向轮实现轻松转移，放下即可固定（也可按下万向轮刹车加固定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（3）每个桌脚配置两个黑色塑料旋转螺杆螺帽外直径32mm，可调节高度40/43/46/49/52cm，满足不同年龄段孩子。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p>
        </w:tc>
        <w:tc>
          <w:tcPr>
            <w:tcW w:w="1398" w:type="dxa"/>
            <w:shd w:val="clear" w:color="auto" w:fill="FFFFFF" w:themeFill="background1"/>
          </w:tcPr>
          <w:p w14:paraId="75B9E6E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01AB227">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184F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D547B59">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20</w:t>
            </w:r>
          </w:p>
        </w:tc>
        <w:tc>
          <w:tcPr>
            <w:tcW w:w="1478" w:type="dxa"/>
            <w:shd w:val="clear" w:color="auto" w:fill="auto"/>
            <w:vAlign w:val="center"/>
          </w:tcPr>
          <w:p w14:paraId="348E091B">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2层90°弧形柜</w:t>
            </w:r>
          </w:p>
        </w:tc>
        <w:tc>
          <w:tcPr>
            <w:tcW w:w="8969" w:type="dxa"/>
            <w:shd w:val="clear" w:color="auto" w:fill="auto"/>
            <w:vAlign w:val="center"/>
          </w:tcPr>
          <w:p w14:paraId="50CE60F0">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规格：L84xW39.5xH51cm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（1）90°弧形设计，可搭配区角使用作转角连接。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18mm的环保实木多层板。通透2层4格高柜，格子上层内空高度：128mm，下层内空高度：223mm，柜体呈90°弧形；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30C48DB0">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3718D4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3250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4800203">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21</w:t>
            </w:r>
          </w:p>
        </w:tc>
        <w:tc>
          <w:tcPr>
            <w:tcW w:w="1478" w:type="dxa"/>
            <w:shd w:val="clear" w:color="auto" w:fill="auto"/>
            <w:vAlign w:val="center"/>
          </w:tcPr>
          <w:p w14:paraId="0498EB95">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托育仙人掌美术画板柜</w:t>
            </w:r>
          </w:p>
        </w:tc>
        <w:tc>
          <w:tcPr>
            <w:tcW w:w="8969" w:type="dxa"/>
            <w:shd w:val="clear" w:color="auto" w:fill="auto"/>
            <w:vAlign w:val="center"/>
          </w:tcPr>
          <w:p w14:paraId="662D1307">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规格：L91.5xW30xH108cm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（3）双面透明亚克力画板，不同绘画方式，透视互动性强。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（4）柜顶仙人掌造型设计，兼具装饰、收纳与教玩功能，能与其他柜体组合搭配使用。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（1）（1）基材：主体采用厚度15mm及18mm桦木纹饰面环保橡胶木拼板，部分采用厚度18mm环保实木多层板。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（2）柜体面板离地高度：H370mm，适合托班幼儿身高；通透单层2格分区，每个格子内空：434.5x300x270mm，竖板分区清晰；面板开4个直径70mm通孔，可放4个φ79x95mm烟灰橄榄绿颜料杯/笔筒；透明画板可使用水性笔书画。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（3）画板芯板采用厚度5mm的优质透明亚克力板，表面光滑无缺陷，坚硬耐用，高透光性，画板书写范围尺寸为：712x430mm。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（7）油墨：采用环保水性油墨，颜色饱满，无毒无异味。</w:t>
            </w:r>
          </w:p>
        </w:tc>
        <w:tc>
          <w:tcPr>
            <w:tcW w:w="1398" w:type="dxa"/>
            <w:shd w:val="clear" w:color="auto" w:fill="FFFFFF" w:themeFill="background1"/>
          </w:tcPr>
          <w:p w14:paraId="52651D39">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21498C4">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FD3F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1CCBD80">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22</w:t>
            </w:r>
          </w:p>
        </w:tc>
        <w:tc>
          <w:tcPr>
            <w:tcW w:w="1478" w:type="dxa"/>
            <w:shd w:val="clear" w:color="auto" w:fill="auto"/>
            <w:vAlign w:val="center"/>
          </w:tcPr>
          <w:p w14:paraId="0E905F64">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3格柜.无背板</w:t>
            </w:r>
          </w:p>
        </w:tc>
        <w:tc>
          <w:tcPr>
            <w:tcW w:w="8969" w:type="dxa"/>
            <w:shd w:val="clear" w:color="auto" w:fill="auto"/>
            <w:vAlign w:val="center"/>
          </w:tcPr>
          <w:p w14:paraId="4B643AA5">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规格：L92xW30xH36cm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（2）柜边扶手设计，满足托育幼儿学步防摔倒需求。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（1）采用厚度18mm的环保实木多层板。通透1层3格矮柜，格子内空：283x300x223mm,可满足各类教玩具收纳；顶部安装H30mm高的扶手条，扶手条最大宽度24mm，凹弧设计方便幼儿学步抓扶。水性漆喷涂呈浅咖色。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6D26AA9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1177F7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4A66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B1F325A">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23</w:t>
            </w:r>
          </w:p>
        </w:tc>
        <w:tc>
          <w:tcPr>
            <w:tcW w:w="1478" w:type="dxa"/>
            <w:shd w:val="clear" w:color="auto" w:fill="auto"/>
            <w:vAlign w:val="center"/>
          </w:tcPr>
          <w:p w14:paraId="1C3FDAD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托育童趣双人沙发</w:t>
            </w:r>
          </w:p>
        </w:tc>
        <w:tc>
          <w:tcPr>
            <w:tcW w:w="8969" w:type="dxa"/>
            <w:shd w:val="clear" w:color="auto" w:fill="auto"/>
            <w:vAlign w:val="center"/>
          </w:tcPr>
          <w:p w14:paraId="44B9F9E3">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规格：L103xW43xH44cm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1.框架材质：采用环保实木内框架，坚实牢固。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2.面料材质：采用优质环保的涤纶纤维织造布料，颜色浅绿色/米白色，仿棉麻材质，耐磨。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3.填充材质：填充材质为高回弹海绵，不易变形。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4.产品特点：沙发坐垫可折叠可平铺，双人可坐可躺。</w:t>
            </w:r>
          </w:p>
        </w:tc>
        <w:tc>
          <w:tcPr>
            <w:tcW w:w="1398" w:type="dxa"/>
            <w:shd w:val="clear" w:color="auto" w:fill="FFFFFF" w:themeFill="background1"/>
          </w:tcPr>
          <w:p w14:paraId="4B565969">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4342CFD">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ADF9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26B8DF3">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24</w:t>
            </w:r>
          </w:p>
        </w:tc>
        <w:tc>
          <w:tcPr>
            <w:tcW w:w="1478" w:type="dxa"/>
            <w:shd w:val="clear" w:color="auto" w:fill="auto"/>
            <w:vAlign w:val="center"/>
          </w:tcPr>
          <w:p w14:paraId="39A7175D">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托育童趣单人沙发</w:t>
            </w:r>
          </w:p>
        </w:tc>
        <w:tc>
          <w:tcPr>
            <w:tcW w:w="8969" w:type="dxa"/>
            <w:shd w:val="clear" w:color="auto" w:fill="auto"/>
            <w:vAlign w:val="center"/>
          </w:tcPr>
          <w:p w14:paraId="582FF4C5">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规格：L71xW43xH44cm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1.框架材质：采用环保实木内框架，坚实牢固。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2.面料材质：采用优质环保的涤纶纤维织造布料，颜色浅绿色/米白色，仿棉麻材质，耐磨。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3.填充材质：填充材质为高回弹海绵，不易变形。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4.产品特点：沙发坐垫可折叠可平铺，单人可坐可躺。</w:t>
            </w:r>
          </w:p>
        </w:tc>
        <w:tc>
          <w:tcPr>
            <w:tcW w:w="1398" w:type="dxa"/>
            <w:shd w:val="clear" w:color="auto" w:fill="FFFFFF" w:themeFill="background1"/>
          </w:tcPr>
          <w:p w14:paraId="49E9556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536CBA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5E9F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254799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25</w:t>
            </w:r>
          </w:p>
        </w:tc>
        <w:tc>
          <w:tcPr>
            <w:tcW w:w="1478" w:type="dxa"/>
            <w:shd w:val="clear" w:color="auto" w:fill="auto"/>
            <w:vAlign w:val="center"/>
          </w:tcPr>
          <w:p w14:paraId="31C9BE2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托育袋鼠造型书架</w:t>
            </w:r>
          </w:p>
        </w:tc>
        <w:tc>
          <w:tcPr>
            <w:tcW w:w="8969" w:type="dxa"/>
            <w:shd w:val="clear" w:color="auto" w:fill="auto"/>
            <w:vAlign w:val="center"/>
          </w:tcPr>
          <w:p w14:paraId="52D2A9F9">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规格：L70xW46xH67cm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（1）袋鼠妈妈和宝宝造型设计，突出亲子温馨氛围，可与其他柜体组合搭配进行环创。</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12mm的环保实木多层板。书槽共三层，书槽内空长：676mm，书架前部直径19mm圆管配套三联体由涤纶纤维织造的仿棉麻材质布袋，尺寸为L67.5xW18cm，可放置收纳小物件；顶部直径19mm长度676mm圆管挂杆可以挂放物品。底部安装塑料脚垫，高度为H5mm，直径13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（3）油墨：采用环保水性油墨，颜色饱满，无毒无异味。</w:t>
            </w:r>
          </w:p>
        </w:tc>
        <w:tc>
          <w:tcPr>
            <w:tcW w:w="1398" w:type="dxa"/>
            <w:shd w:val="clear" w:color="auto" w:fill="FFFFFF" w:themeFill="background1"/>
          </w:tcPr>
          <w:p w14:paraId="0A8D279D">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472309E">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27FA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0A5007D">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26</w:t>
            </w:r>
          </w:p>
        </w:tc>
        <w:tc>
          <w:tcPr>
            <w:tcW w:w="1478" w:type="dxa"/>
            <w:shd w:val="clear" w:color="auto" w:fill="auto"/>
            <w:vAlign w:val="center"/>
          </w:tcPr>
          <w:p w14:paraId="4A53AB04">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托育亲亲自然造型柜</w:t>
            </w:r>
          </w:p>
        </w:tc>
        <w:tc>
          <w:tcPr>
            <w:tcW w:w="8969" w:type="dxa"/>
            <w:shd w:val="clear" w:color="auto" w:fill="auto"/>
            <w:vAlign w:val="center"/>
          </w:tcPr>
          <w:p w14:paraId="2481C9D4">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规格：L60xW31xH99cm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（1）树形挂钩与太阳原顶造型设计，门板黑板可擦写，既能独立摆放起装饰收纳作用又易于搭配其他产品进行环创。</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（1）采用厚度12mm的环保实木多层板。门板尺寸：370x210mm，正面贴黑色书写防火板，可使用粉笔进行擦写；门板内装缓冲铰链，能实现门板开合，内部格子内空尺寸：376x268x174mm。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（2）下层内空尺寸：376x288x250mm；带弧形造型柜子总高870mm；底部安装塑料脚垫，软性防滑。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（3）书架一侧设置2个书架条，内控尺寸230x40x22mm；造型树总高990mm。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（5）油墨：采用环保水性油墨，颜色饱满，无毒无异味。</w:t>
            </w:r>
          </w:p>
        </w:tc>
        <w:tc>
          <w:tcPr>
            <w:tcW w:w="1398" w:type="dxa"/>
            <w:shd w:val="clear" w:color="auto" w:fill="FFFFFF" w:themeFill="background1"/>
          </w:tcPr>
          <w:p w14:paraId="7B1CD9E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7C8B6C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BBFC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88A3371">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27</w:t>
            </w:r>
          </w:p>
        </w:tc>
        <w:tc>
          <w:tcPr>
            <w:tcW w:w="1478" w:type="dxa"/>
            <w:shd w:val="clear" w:color="auto" w:fill="auto"/>
            <w:vAlign w:val="center"/>
          </w:tcPr>
          <w:p w14:paraId="18B14CA0">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私密小窝</w:t>
            </w:r>
          </w:p>
        </w:tc>
        <w:tc>
          <w:tcPr>
            <w:tcW w:w="8969" w:type="dxa"/>
            <w:shd w:val="clear" w:color="auto" w:fill="auto"/>
            <w:vAlign w:val="center"/>
          </w:tcPr>
          <w:p w14:paraId="5FB4DCED">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规格：L115xW70xH88cm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（1）树形小屋造型设计，亚克力大背板。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（2）布艺装饰，软化环境，能适用多场景下使用，提高趣味性。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主体采用厚度18mm的环保实木多层板，前后大框架为树形造型，造型板镂空树形线条；屋顶搭配L170xW130mm的1条浅蓝色毛绒针织毯。两侧为开放式空间，两侧安装Ф19xL663mm不锈钢圆棒，搭配L80xW57mm半透窗纱，可拆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(2)镂空线条大背板，背板安装一块亚克力镜尺寸为L800xW480x。内部可活动空间L1150xW660xH730mm。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(3)底板离地高度70mm，皮垫尺寸：L115xW66xH4cm；面料柔软透气不闷热，坐垫内部填充环保高弹海绵，密度≥30kg/m³，回弹性强，不易变形，能拆卸清洗。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(4)底部安装塑料脚垫，高度为H10mm，直径17mm,共8个软性防滑。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p>
        </w:tc>
        <w:tc>
          <w:tcPr>
            <w:tcW w:w="1398" w:type="dxa"/>
            <w:shd w:val="clear" w:color="auto" w:fill="FFFFFF" w:themeFill="background1"/>
          </w:tcPr>
          <w:p w14:paraId="37C96EB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6FBA16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4F40B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7CC0917">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28</w:t>
            </w:r>
          </w:p>
        </w:tc>
        <w:tc>
          <w:tcPr>
            <w:tcW w:w="1478" w:type="dxa"/>
            <w:shd w:val="clear" w:color="auto" w:fill="auto"/>
            <w:vAlign w:val="center"/>
          </w:tcPr>
          <w:p w14:paraId="0A437294">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点线面蓝色地毯</w:t>
            </w:r>
          </w:p>
        </w:tc>
        <w:tc>
          <w:tcPr>
            <w:tcW w:w="8969" w:type="dxa"/>
            <w:shd w:val="clear" w:color="auto" w:fill="auto"/>
            <w:vAlign w:val="center"/>
          </w:tcPr>
          <w:p w14:paraId="6BB61E38">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规格：L240xW180cm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1.采用优质尼龙环保材料，弹性好而且富有光泽，具有很好的耐磨性和脚感，底部带防滑垫。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2.点线面蓝色地毯内容丰富多彩，可让小朋友在游戏中学会认知，在课室的区角摆放中增添色彩。</w:t>
            </w:r>
          </w:p>
        </w:tc>
        <w:tc>
          <w:tcPr>
            <w:tcW w:w="1398" w:type="dxa"/>
            <w:shd w:val="clear" w:color="auto" w:fill="FFFFFF" w:themeFill="background1"/>
          </w:tcPr>
          <w:p w14:paraId="323A43A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142CF5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482A1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1FEE6CE">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29</w:t>
            </w:r>
          </w:p>
        </w:tc>
        <w:tc>
          <w:tcPr>
            <w:tcW w:w="1478" w:type="dxa"/>
            <w:shd w:val="clear" w:color="auto" w:fill="auto"/>
            <w:vAlign w:val="center"/>
          </w:tcPr>
          <w:p w14:paraId="2DDD4E5A">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感统钻洞</w:t>
            </w:r>
          </w:p>
        </w:tc>
        <w:tc>
          <w:tcPr>
            <w:tcW w:w="8969" w:type="dxa"/>
            <w:shd w:val="clear" w:color="auto" w:fill="auto"/>
            <w:vAlign w:val="center"/>
          </w:tcPr>
          <w:p w14:paraId="52250326">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规格：L60xW60xH60cm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（1）积木拼搭形式、桥拱设计，可单独使用，也可拼搭其他感统产品使用。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（2）适用于1~3岁幼儿使用，可翻跨、钻爬，满足幼儿活动锻炼、玩耍需求。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拉链式方便拆卸。产品由两部分组成，外拱尺寸为L600xW600xH600mm,厚150mm、中间钻爬宽度为300mm；可拆分芯部尺寸为：L590xW290xH440mm。</w:t>
            </w:r>
          </w:p>
        </w:tc>
        <w:tc>
          <w:tcPr>
            <w:tcW w:w="1398" w:type="dxa"/>
            <w:shd w:val="clear" w:color="auto" w:fill="FFFFFF" w:themeFill="background1"/>
          </w:tcPr>
          <w:p w14:paraId="7213ACB2">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425CF8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F0C5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BC6DB1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30</w:t>
            </w:r>
          </w:p>
        </w:tc>
        <w:tc>
          <w:tcPr>
            <w:tcW w:w="1478" w:type="dxa"/>
            <w:shd w:val="clear" w:color="auto" w:fill="auto"/>
            <w:vAlign w:val="center"/>
          </w:tcPr>
          <w:p w14:paraId="1079AE93">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感统波浪阶梯</w:t>
            </w:r>
          </w:p>
        </w:tc>
        <w:tc>
          <w:tcPr>
            <w:tcW w:w="8969" w:type="dxa"/>
            <w:shd w:val="clear" w:color="auto" w:fill="auto"/>
            <w:vAlign w:val="center"/>
          </w:tcPr>
          <w:p w14:paraId="380A5EB0">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规格：L60xW60xH36cm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（1）积木拼搭形式设计，波浪形坡道部分，用于拼搭其他感统产品使用。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（2）适用于1~3岁幼儿使用，满足幼儿活动锻炼、玩耍需求。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（1）产品外皮采用厚度1.5mm聚氨酯合成革超柔皮，外观呈3层波浪形，填充物为高回弹海绵，密度≥30kg/m³，回弹性强，不易变形，拉链式方便拆卸。</w:t>
            </w:r>
          </w:p>
        </w:tc>
        <w:tc>
          <w:tcPr>
            <w:tcW w:w="1398" w:type="dxa"/>
            <w:shd w:val="clear" w:color="auto" w:fill="FFFFFF" w:themeFill="background1"/>
          </w:tcPr>
          <w:p w14:paraId="6FF73CF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8EA771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6B2D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8D598D7">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31</w:t>
            </w:r>
          </w:p>
        </w:tc>
        <w:tc>
          <w:tcPr>
            <w:tcW w:w="1478" w:type="dxa"/>
            <w:shd w:val="clear" w:color="auto" w:fill="auto"/>
            <w:vAlign w:val="center"/>
          </w:tcPr>
          <w:p w14:paraId="10CFE202">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不规则方块软包.烟灰绿</w:t>
            </w:r>
          </w:p>
        </w:tc>
        <w:tc>
          <w:tcPr>
            <w:tcW w:w="8969" w:type="dxa"/>
            <w:shd w:val="clear" w:color="auto" w:fill="auto"/>
            <w:vAlign w:val="center"/>
          </w:tcPr>
          <w:p w14:paraId="58862C02">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规格：L120xW120xH18cm（R60cm）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（1）搭配托育产品做软垫，不规则大面积设计，可适用不同场景，多功能使用，触感舒适，安全牢固。填充物为高回弹海绵，柔软亲肤，呈烟灰绿。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（1）产品外皮由环保PU合成革厚度1.5mm；填充物为高回弹海绵，密度≥30kg/m³，回弹性强，不易变形。</w:t>
            </w:r>
          </w:p>
        </w:tc>
        <w:tc>
          <w:tcPr>
            <w:tcW w:w="1398" w:type="dxa"/>
            <w:shd w:val="clear" w:color="auto" w:fill="FFFFFF" w:themeFill="background1"/>
          </w:tcPr>
          <w:p w14:paraId="6F4160F0">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B8BF08E">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7F6C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42197DA">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1478" w:type="dxa"/>
            <w:shd w:val="clear" w:color="auto" w:fill="auto"/>
            <w:vAlign w:val="center"/>
          </w:tcPr>
          <w:p w14:paraId="0AD6DF56">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1/4椭圆软包.烟灰绿</w:t>
            </w:r>
          </w:p>
        </w:tc>
        <w:tc>
          <w:tcPr>
            <w:tcW w:w="8969" w:type="dxa"/>
            <w:shd w:val="clear" w:color="auto" w:fill="auto"/>
            <w:vAlign w:val="center"/>
          </w:tcPr>
          <w:p w14:paraId="47FF5E85">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规格：L120xW60xH9cm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（1）搭配托育产品做软垫，1/4椭圆设计，可适用不同场景，多功能使用，触感舒适，安全牢固。填充物为高回弹海绵，柔软亲肤，呈烟灰绿。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398" w:type="dxa"/>
            <w:shd w:val="clear" w:color="auto" w:fill="FFFFFF" w:themeFill="background1"/>
          </w:tcPr>
          <w:p w14:paraId="0C722438">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05D438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4FC4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965A060">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33</w:t>
            </w:r>
          </w:p>
        </w:tc>
        <w:tc>
          <w:tcPr>
            <w:tcW w:w="1478" w:type="dxa"/>
            <w:shd w:val="clear" w:color="auto" w:fill="auto"/>
            <w:vAlign w:val="center"/>
          </w:tcPr>
          <w:p w14:paraId="0ED9A41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弧形软包(小).橙色</w:t>
            </w:r>
          </w:p>
        </w:tc>
        <w:tc>
          <w:tcPr>
            <w:tcW w:w="8969" w:type="dxa"/>
            <w:shd w:val="clear" w:color="auto" w:fill="auto"/>
            <w:vAlign w:val="center"/>
          </w:tcPr>
          <w:p w14:paraId="2D8AAFA8">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规格：外：R40cm；内：R20cm；高：18cm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（1）搭配托育产品做情景造型，半圆外弧设计，可适用不同场景，多功能使用，触感舒适，安全牢固。填充物为高回弹海绵，柔软亲肤，呈橙色。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398" w:type="dxa"/>
            <w:shd w:val="clear" w:color="auto" w:fill="FFFFFF" w:themeFill="background1"/>
          </w:tcPr>
          <w:p w14:paraId="4BE6F124">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92CD2A9">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64C3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CDD143D">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34</w:t>
            </w:r>
          </w:p>
        </w:tc>
        <w:tc>
          <w:tcPr>
            <w:tcW w:w="1478" w:type="dxa"/>
            <w:shd w:val="clear" w:color="auto" w:fill="auto"/>
            <w:vAlign w:val="center"/>
          </w:tcPr>
          <w:p w14:paraId="4C5C316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树叶软包(小)</w:t>
            </w:r>
          </w:p>
        </w:tc>
        <w:tc>
          <w:tcPr>
            <w:tcW w:w="8969" w:type="dxa"/>
            <w:shd w:val="clear" w:color="auto" w:fill="auto"/>
            <w:vAlign w:val="center"/>
          </w:tcPr>
          <w:p w14:paraId="793B6C1E">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规格：L33xW20xH56cm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（1）搭配托育产品做情景搭建，树叶软包设计，可适用不同场景，多功能使用，触感舒适，安全牢固。填充物为高回弹海绵，柔软亲肤。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398" w:type="dxa"/>
            <w:shd w:val="clear" w:color="auto" w:fill="FFFFFF" w:themeFill="background1"/>
          </w:tcPr>
          <w:p w14:paraId="0BEFDDFA">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43A978C">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F12C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280C5BB">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35</w:t>
            </w:r>
          </w:p>
        </w:tc>
        <w:tc>
          <w:tcPr>
            <w:tcW w:w="1478" w:type="dxa"/>
            <w:shd w:val="clear" w:color="auto" w:fill="auto"/>
            <w:vAlign w:val="center"/>
          </w:tcPr>
          <w:p w14:paraId="679A641A">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树叶软包(大)</w:t>
            </w:r>
          </w:p>
        </w:tc>
        <w:tc>
          <w:tcPr>
            <w:tcW w:w="8969" w:type="dxa"/>
            <w:shd w:val="clear" w:color="auto" w:fill="auto"/>
            <w:vAlign w:val="center"/>
          </w:tcPr>
          <w:p w14:paraId="4D02F6F6">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规格：L46xW23xH80cm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（1）搭配托育产品做情景搭建，树叶软包设计，可适用不同场景，多功能使用，触感舒适，安全牢固。填充物为高回弹海绵，柔软亲肤。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398" w:type="dxa"/>
            <w:shd w:val="clear" w:color="auto" w:fill="FFFFFF" w:themeFill="background1"/>
          </w:tcPr>
          <w:p w14:paraId="6FD066D8">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43E096F">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46AF6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1738778">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36</w:t>
            </w:r>
          </w:p>
        </w:tc>
        <w:tc>
          <w:tcPr>
            <w:tcW w:w="1478" w:type="dxa"/>
            <w:shd w:val="clear" w:color="auto" w:fill="auto"/>
            <w:vAlign w:val="center"/>
          </w:tcPr>
          <w:p w14:paraId="31352240">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萝卜墩软包</w:t>
            </w:r>
          </w:p>
        </w:tc>
        <w:tc>
          <w:tcPr>
            <w:tcW w:w="8969" w:type="dxa"/>
            <w:shd w:val="clear" w:color="auto" w:fill="auto"/>
            <w:vAlign w:val="center"/>
          </w:tcPr>
          <w:p w14:paraId="3D6AAC11">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规格：φ30xH25cm（底部φ22cm）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（1）搭配托育产品做情景搭建，萝卜软包设计，可适用不同场景，多功能使用，触感舒适，安全牢固。填充物为高回弹海绵，柔软亲肤。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398" w:type="dxa"/>
            <w:shd w:val="clear" w:color="auto" w:fill="FFFFFF" w:themeFill="background1"/>
          </w:tcPr>
          <w:p w14:paraId="4EE09DF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DABC56D">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5E1F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1983F2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37</w:t>
            </w:r>
          </w:p>
        </w:tc>
        <w:tc>
          <w:tcPr>
            <w:tcW w:w="1478" w:type="dxa"/>
            <w:shd w:val="clear" w:color="auto" w:fill="auto"/>
            <w:vAlign w:val="center"/>
          </w:tcPr>
          <w:p w14:paraId="463A0D4E">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圆洞障碍软包</w:t>
            </w:r>
          </w:p>
        </w:tc>
        <w:tc>
          <w:tcPr>
            <w:tcW w:w="8969" w:type="dxa"/>
            <w:shd w:val="clear" w:color="auto" w:fill="auto"/>
            <w:vAlign w:val="center"/>
          </w:tcPr>
          <w:p w14:paraId="4528CCAC">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规格：L120xW60xH18cm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（1）搭配托育产品做情景搭建，圆形认知软包设计，可适用不同场景，多功能使用，触感舒适，安全牢固。填充物为高回弹海绵，柔软亲肤。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（1）产品外皮采用厚度1.5mm聚氨酯合成革超柔皮；填充物为高回弹海绵，密度≥30kg/m³，回弹性强，不易变形。</w:t>
            </w:r>
          </w:p>
        </w:tc>
        <w:tc>
          <w:tcPr>
            <w:tcW w:w="1398" w:type="dxa"/>
            <w:shd w:val="clear" w:color="auto" w:fill="FFFFFF" w:themeFill="background1"/>
          </w:tcPr>
          <w:p w14:paraId="1FC7FFC2">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A7DE87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A702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59FB91D">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38</w:t>
            </w:r>
          </w:p>
        </w:tc>
        <w:tc>
          <w:tcPr>
            <w:tcW w:w="1478" w:type="dxa"/>
            <w:shd w:val="clear" w:color="auto" w:fill="auto"/>
            <w:vAlign w:val="center"/>
          </w:tcPr>
          <w:p w14:paraId="7128163B">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42格茶杯架.落地款</w:t>
            </w:r>
          </w:p>
        </w:tc>
        <w:tc>
          <w:tcPr>
            <w:tcW w:w="8969" w:type="dxa"/>
            <w:shd w:val="clear" w:color="auto" w:fill="auto"/>
            <w:vAlign w:val="center"/>
          </w:tcPr>
          <w:p w14:paraId="4BBBF349">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规格：L73xW30xH102cm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（1）大容量收纳设计，配透气防虫纱网，适合每个班级使用。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（1）采用厚度15mm与9mm的环保实木多层板，背板采用厚度5mm的饰面环保实木纤维板。下柜：尺寸：730x300x270mm，左右格内空尺寸：340x260x190mm，双开门。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（2）上柜：尺寸：700x160x750mm,上柜共42格，格内空95x95x100mm,双开门，门板尺寸：745x350mm；上门板采用了加厚不锈钢防蚊虫纱网，透气散味可防蚊虫。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（3）门板内装缓冲铰链，能实现门板开合；4个拉手采用深咖色环保塑料一次成型，尺寸：L104.5xW32mm。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（4）围脚高度：40mm，底部安装塑料脚垫，高度为H10mm，直径17mm，软性防滑。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p>
        </w:tc>
        <w:tc>
          <w:tcPr>
            <w:tcW w:w="1398" w:type="dxa"/>
            <w:shd w:val="clear" w:color="auto" w:fill="FFFFFF" w:themeFill="background1"/>
          </w:tcPr>
          <w:p w14:paraId="3635ED49">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080766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2AE2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CB9AE3C">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39</w:t>
            </w:r>
          </w:p>
        </w:tc>
        <w:tc>
          <w:tcPr>
            <w:tcW w:w="1478" w:type="dxa"/>
            <w:shd w:val="clear" w:color="auto" w:fill="auto"/>
            <w:vAlign w:val="center"/>
          </w:tcPr>
          <w:p w14:paraId="01A3A4FF">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托育婴幼儿活动床1.24m</w:t>
            </w:r>
          </w:p>
        </w:tc>
        <w:tc>
          <w:tcPr>
            <w:tcW w:w="8969" w:type="dxa"/>
            <w:shd w:val="clear" w:color="auto" w:fill="auto"/>
            <w:vAlign w:val="center"/>
          </w:tcPr>
          <w:p w14:paraId="2ECC0112">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规格：L124xW58xH22.5cm(不含轮)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（1）塑料注塑脚柱设计，嵌套紧密，安全不易跌落。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（2）活动床可堆叠构造，节省空间。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边框采用厚度18mm的桦木纹饰面环保橡胶木拼板，床板采用厚度9mm的白色饰面环保实木多层板。床内空尺寸：1197x544mm，床板增加安全透气孔，床板两段拼接；不装轮子时，床板离地高度140mm(含脚垫)，扶手上边沿离床边85mm，扶手高度：117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脚柱：采用环保塑料注塑脚，呈浅咖色，呈“T”形，圆滑无毛刺，一体成型设计，结构稳固不走位，床脚之间接口吻合，可便于层层套叠堆放。尺寸L180xH210mm，凹陷的卡扣位置孔深190mm,最大长度105mm，宽度45mm，可牢固承接床脚，不易倾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（3）可选配2寸静音万向带刹车脚轮安装在注塑脚底部，便于叠放推动（建议8-10张配1张带轮）。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（4）水性漆：采用环保的水性漆封边，全封闭涂装工艺，漆面光泽高透，颜色均匀。</w:t>
            </w:r>
          </w:p>
        </w:tc>
        <w:tc>
          <w:tcPr>
            <w:tcW w:w="1398" w:type="dxa"/>
            <w:shd w:val="clear" w:color="auto" w:fill="FFFFFF" w:themeFill="background1"/>
          </w:tcPr>
          <w:p w14:paraId="1F49724B">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461C2BD">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265F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188CE9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40</w:t>
            </w:r>
          </w:p>
        </w:tc>
        <w:tc>
          <w:tcPr>
            <w:tcW w:w="1478" w:type="dxa"/>
            <w:shd w:val="clear" w:color="auto" w:fill="auto"/>
            <w:vAlign w:val="center"/>
          </w:tcPr>
          <w:p w14:paraId="6F54163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丝杆万向脚轮(适配叠床)</w:t>
            </w:r>
          </w:p>
        </w:tc>
        <w:tc>
          <w:tcPr>
            <w:tcW w:w="8969" w:type="dxa"/>
            <w:shd w:val="clear" w:color="auto" w:fill="auto"/>
            <w:vAlign w:val="center"/>
          </w:tcPr>
          <w:p w14:paraId="0E1923D4">
            <w:pPr>
              <w:keepNext w:val="0"/>
              <w:keepLines w:val="0"/>
              <w:widowControl/>
              <w:suppressLineNumbers w:val="0"/>
              <w:jc w:val="both"/>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规格：φ6xH8cm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1.优质平底万向脚轮，高度为80mm，主要为塑料材质。脚轮运行平稳无声，可360°旋转，转动顺滑，刹车灵敏，踏板不易断裂。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2.脚轮：H80mm平底万向脚轮，轮面光洁，无裂纹、伤痕、毛边等缺陷；金属件表面光滑平整。</w:t>
            </w:r>
          </w:p>
        </w:tc>
        <w:tc>
          <w:tcPr>
            <w:tcW w:w="1398" w:type="dxa"/>
            <w:shd w:val="clear" w:color="auto" w:fill="FFFFFF" w:themeFill="background1"/>
          </w:tcPr>
          <w:p w14:paraId="16A99768">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084AC8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3EB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DE247D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41</w:t>
            </w:r>
          </w:p>
        </w:tc>
        <w:tc>
          <w:tcPr>
            <w:tcW w:w="1478" w:type="dxa"/>
            <w:shd w:val="clear" w:color="auto" w:fill="auto"/>
            <w:vAlign w:val="center"/>
          </w:tcPr>
          <w:p w14:paraId="0696E9E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原木6人桌.49cm</w:t>
            </w:r>
          </w:p>
        </w:tc>
        <w:tc>
          <w:tcPr>
            <w:tcW w:w="8969" w:type="dxa"/>
            <w:shd w:val="clear" w:color="auto" w:fill="auto"/>
            <w:vAlign w:val="center"/>
          </w:tcPr>
          <w:p w14:paraId="3754997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规格：L120xW60xH49cm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（1）采用立水工艺，结构支撑性强，防止桌面下沉。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（2）所有螺丝位无毛刺不刮手，桌角及边沿采用R30mm圆角/圆边处理以及安全防撞设计</w:t>
            </w:r>
            <w:r>
              <w:rPr>
                <w:rFonts w:hint="eastAsia" w:ascii="宋体" w:hAnsi="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（1）桌面：采用厚度30mm的优质橡胶木拼板搭配防火板贴面加工而成，耐刮耐磨，长时间使用不褪色、不容易开裂；长立水尺寸：L1062xW60xH18mm，短立水尺寸：L462xW60xH18mm。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（2）桌脚：采橡胶木实木，厚实纹路清晰，尺寸为48x48mm，边沿均采用圆边处理（外侧边R25mm,其他三边R10mm）；底部安装塑料脚垫，软性防滑。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（3）产品整体采用环保的水性漆，全封闭涂装工艺，漆面光泽高透，颜色均匀，附着能力强，通透度高。桌面封边采用环保的水性木蜡油封边，成分天然，分子机构细小，成膜牢固，密封性好。</w:t>
            </w:r>
          </w:p>
        </w:tc>
        <w:tc>
          <w:tcPr>
            <w:tcW w:w="1398" w:type="dxa"/>
            <w:shd w:val="clear" w:color="auto" w:fill="FFFFFF" w:themeFill="background1"/>
          </w:tcPr>
          <w:p w14:paraId="40A7A89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E2F6DD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46DF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DCEA86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42</w:t>
            </w:r>
          </w:p>
        </w:tc>
        <w:tc>
          <w:tcPr>
            <w:tcW w:w="1478" w:type="dxa"/>
            <w:shd w:val="clear" w:color="auto" w:fill="auto"/>
            <w:vAlign w:val="center"/>
          </w:tcPr>
          <w:p w14:paraId="22F0C15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原木4人桌.49cm</w:t>
            </w:r>
          </w:p>
        </w:tc>
        <w:tc>
          <w:tcPr>
            <w:tcW w:w="8969" w:type="dxa"/>
            <w:shd w:val="clear" w:color="auto" w:fill="auto"/>
            <w:vAlign w:val="center"/>
          </w:tcPr>
          <w:p w14:paraId="05B1726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规格：L60xW60xH49cm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（1）采用立水工艺，结构支撑性强，防止桌面下沉。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（1）桌面：采用厚度30mm的优质橡胶木拼板搭配防火板贴面加工而成，耐刮耐磨，长时间使用不褪色、不容易开裂；立水尺寸L462xW60xH18mm结构稳固。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（2）桌脚：采橡胶木实木，厚实纹路清晰，尺寸为48x48mm，边沿均采用圆边处理（外侧边R25mm,其他三边R10mm）；底部安装塑料脚垫，软性防滑。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（3）产品整体采用环保的水性漆，全封闭涂装工艺，漆面光泽高透，颜色均匀，附着能力强，通透度高。桌面封边采用环保的水性木蜡油封边，成分天然，分子机构细小，成膜牢固，密封性好。</w:t>
            </w:r>
          </w:p>
        </w:tc>
        <w:tc>
          <w:tcPr>
            <w:tcW w:w="1398" w:type="dxa"/>
            <w:shd w:val="clear" w:color="auto" w:fill="FFFFFF" w:themeFill="background1"/>
          </w:tcPr>
          <w:p w14:paraId="36D1ED5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3D6486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5AC3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D401E4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43</w:t>
            </w:r>
          </w:p>
        </w:tc>
        <w:tc>
          <w:tcPr>
            <w:tcW w:w="1478" w:type="dxa"/>
            <w:shd w:val="clear" w:color="auto" w:fill="auto"/>
            <w:vAlign w:val="center"/>
          </w:tcPr>
          <w:p w14:paraId="53CB5E0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原木椅.25cm</w:t>
            </w:r>
          </w:p>
        </w:tc>
        <w:tc>
          <w:tcPr>
            <w:tcW w:w="8969" w:type="dxa"/>
            <w:shd w:val="clear" w:color="auto" w:fill="auto"/>
            <w:vAlign w:val="center"/>
          </w:tcPr>
          <w:p w14:paraId="5F92719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规格：L30xW30xH47cm（座高25cm）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（1）整体为工字框架，使用木梢做榫孔定位加固安装，使用二合一、自攻丝进行连接，组搭安装便捷。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（1）座板：采用厚度12mm的饰面环保实木多层板双贴橡胶木纹皮,座高:250mm；座深:270mm；座宽:290mm。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（2）椅背：采用厚度20mm的环保橡胶木拼板，靠背呈波浪造型，最大高度97mm最小高度79mm,底部横梁尺寸宽35mm，背板加宽，弧形修饰，使坐姿靠背更舒适。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（3）椅脚：椅脚厚度22mm、其余框架厚度18mm的环保橡胶木拼板，底部安装塑料脚垫，高度为H6.5mm，直径19mm,软性防滑。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(4)产品整体采用环保的水性漆，全封闭涂装工艺，漆面光泽高透，颜色均匀，附着能力强，通透度高。座板采用环保的水性木蜡油封边，成分天然，分子机构细小，成膜牢固，密封性好。</w:t>
            </w:r>
          </w:p>
        </w:tc>
        <w:tc>
          <w:tcPr>
            <w:tcW w:w="1398" w:type="dxa"/>
            <w:shd w:val="clear" w:color="auto" w:fill="FFFFFF" w:themeFill="background1"/>
          </w:tcPr>
          <w:p w14:paraId="5D742602">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2D70C2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AD8A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868B33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44</w:t>
            </w:r>
          </w:p>
        </w:tc>
        <w:tc>
          <w:tcPr>
            <w:tcW w:w="1478" w:type="dxa"/>
            <w:shd w:val="clear" w:color="auto" w:fill="auto"/>
            <w:vAlign w:val="center"/>
          </w:tcPr>
          <w:p w14:paraId="0ACD900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美术储物双面画架</w:t>
            </w:r>
          </w:p>
        </w:tc>
        <w:tc>
          <w:tcPr>
            <w:tcW w:w="8969" w:type="dxa"/>
            <w:shd w:val="clear" w:color="auto" w:fill="auto"/>
            <w:vAlign w:val="center"/>
          </w:tcPr>
          <w:p w14:paraId="3C1D934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规格：L62xW45xH124cm（含轮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（1）画板双面使用、带磁吸设计，能满足不同的教学需要。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（2）多功能带轮带刹车画架，移动/固定便捷。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（3）底部与中间大空间收纳设计，兼具教学与收纳功能。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画板芯材采用厚度9mm的环保实木纤维板配黑白磁铁皮书写面材。柜体上隔层内空高度：397mm，中隔层内空高度：472mm；柜体下层分2格，左右格内空尺寸：287.5x450x160mm。侧板两侧为几何图形镂空造型，大空间方便拿取物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（2）画板：正反面安装2块方形可吸附磁铁的黑板白板，白板可使用水性笔进行擦写，黑板可使用粉笔进行擦写，画板尺寸：885x590mm。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（3）配件：搭配圆形包塑磁碰，能紧紧吸附在画板上，尺寸为φ42xH11.5mm；顶部安装圆形不锈钢管尺寸Ф19x594mm,配合槽位其中2个根圆棒的一端可根据实际情况调节高度，用以挂装常规画纸纸卷。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（4）底部安装4个1.5寸TPR静音万向脚轮，脚轮运行平稳无声，可360°旋转，转动顺滑，其中2个脚轮带刹车功能，刹车灵敏，踏板不易断裂。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p>
        </w:tc>
        <w:tc>
          <w:tcPr>
            <w:tcW w:w="1398" w:type="dxa"/>
            <w:shd w:val="clear" w:color="auto" w:fill="FFFFFF" w:themeFill="background1"/>
          </w:tcPr>
          <w:p w14:paraId="6D257CF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992AE20">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06A8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8BD0BB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45</w:t>
            </w:r>
          </w:p>
        </w:tc>
        <w:tc>
          <w:tcPr>
            <w:tcW w:w="1478" w:type="dxa"/>
            <w:shd w:val="clear" w:color="auto" w:fill="auto"/>
            <w:vAlign w:val="center"/>
          </w:tcPr>
          <w:p w14:paraId="6225062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美术作品晾干柜</w:t>
            </w:r>
          </w:p>
        </w:tc>
        <w:tc>
          <w:tcPr>
            <w:tcW w:w="8969" w:type="dxa"/>
            <w:shd w:val="clear" w:color="auto" w:fill="auto"/>
            <w:vAlign w:val="center"/>
          </w:tcPr>
          <w:p w14:paraId="16DF4EF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规格：L50xW40xH76cm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（1）卡槽定位设计，分布均匀，实现作品晾干网抽拉式取放，不易走位。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（2）铁网表面采用静电粉末喷涂工艺，圆润光滑，防腐抗锈，坚固耐用。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双贴桦木纹饰面的环保橡胶木拼板。顶部收纳格内空尺寸：470x354x40mm；柜体内包含9个铁质晾干网，尺寸：L461xW388xH8mm，铁网每层均匀分布，层间距为：64mm；柜内安装9个塑料材质U型槽，呈卡其色，尺寸为L370mm，有利于柜体空间合理分布，铁网能准确滑入槽中，取放便捷。底部安装4个1.5寸静音带刹车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（2）采用环保的水性木蜡油封边，成分天然，分子机构细小，成膜牢固，密封性好，环保无毒。</w:t>
            </w:r>
          </w:p>
        </w:tc>
        <w:tc>
          <w:tcPr>
            <w:tcW w:w="1398" w:type="dxa"/>
            <w:shd w:val="clear" w:color="auto" w:fill="FFFFFF" w:themeFill="background1"/>
          </w:tcPr>
          <w:p w14:paraId="166F765A">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7DDFBEA">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B134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D14188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46</w:t>
            </w:r>
          </w:p>
        </w:tc>
        <w:tc>
          <w:tcPr>
            <w:tcW w:w="1478" w:type="dxa"/>
            <w:shd w:val="clear" w:color="auto" w:fill="auto"/>
            <w:vAlign w:val="center"/>
          </w:tcPr>
          <w:p w14:paraId="33CD166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美术用品收纳柜</w:t>
            </w:r>
          </w:p>
        </w:tc>
        <w:tc>
          <w:tcPr>
            <w:tcW w:w="8969" w:type="dxa"/>
            <w:shd w:val="clear" w:color="auto" w:fill="auto"/>
            <w:vAlign w:val="center"/>
          </w:tcPr>
          <w:p w14:paraId="57126EA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规格：L100xW40xH61.5cm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（1）卡槽定位设计，分布均匀，实现作品晾干架抽拉式取放，不易走位。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（2）铁网表面采用静电粉末喷涂工艺，圆润光滑，防腐抗锈，坚固耐用。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（3）配套塑料收纳盒，可满足不同类型材料的分类储存。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12mm的桦木纹饰面环保橡胶木拼板。柜体中间是两层无背板设计，内控600x400x185mm。上层格子安装塑料材质U型槽，呈卡其色，尺寸为L370mm，有利于铁网能准确滑入槽中，左右两侧设有纸卷放置格1格，尺寸176x150mm， 短背板设计，背板尺寸487x176x12mm；2层2格颜料收纳格，内控208x176mm,层板镂空设计尺寸178x158mm 通透自然教具存放一目了然。顶部中间收纳槽尺寸：600x370x95mm。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搭配：4个大收纳盒尺寸：L245xW150xH60mm，4个小收纳盒尺寸：L150xW120xH60mm，教具收纳更轻松。收纳盒采用环保塑料材质，呈浅咖色，圆滑无毛刺，一体成型设计，结构稳固。1块铁质晾干网，尺寸：L590xW350xH8mm，铁网表面采用静电粉末喷涂工艺，圆润光滑，防腐抗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（3）采用环保的水性木蜡油封边，成分天然，分子机构细小，成膜牢固，密封性好，环保无毒。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（4）柜子底部安装4个1.5寸静音带刹车万向脚轮，1个1.5寸静音万向脚轮，脚轮运行平稳无声，可360°旋转，转动顺滑。</w:t>
            </w:r>
          </w:p>
        </w:tc>
        <w:tc>
          <w:tcPr>
            <w:tcW w:w="1398" w:type="dxa"/>
            <w:shd w:val="clear" w:color="auto" w:fill="FFFFFF" w:themeFill="background1"/>
          </w:tcPr>
          <w:p w14:paraId="25D384EF">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988C28E">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4DD4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8E59DE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47</w:t>
            </w:r>
          </w:p>
        </w:tc>
        <w:tc>
          <w:tcPr>
            <w:tcW w:w="1478" w:type="dxa"/>
            <w:shd w:val="clear" w:color="auto" w:fill="auto"/>
            <w:vAlign w:val="center"/>
          </w:tcPr>
          <w:p w14:paraId="4D7377F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三层教具篮收纳柜</w:t>
            </w:r>
          </w:p>
        </w:tc>
        <w:tc>
          <w:tcPr>
            <w:tcW w:w="8969" w:type="dxa"/>
            <w:shd w:val="clear" w:color="auto" w:fill="auto"/>
            <w:vAlign w:val="center"/>
          </w:tcPr>
          <w:p w14:paraId="5F377E2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15mm的环保橡胶木拼板。柜子长度内空：884mm，整体为3层，共安装8个浅咖色铁质圆管用于固定教具篮，铁管尺寸为：φ19mm长度884mm；包含9个教具篮，尺寸：L280xW260xH100mm，用于收纳各种教玩具物品，教具篮采用环保塑料材质，呈浅咖色，圆滑无毛刺，一体成型设计，结构稳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398" w:type="dxa"/>
            <w:shd w:val="clear" w:color="auto" w:fill="FFFFFF" w:themeFill="background1"/>
          </w:tcPr>
          <w:p w14:paraId="714B210D">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55749A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E709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A04421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1478" w:type="dxa"/>
            <w:shd w:val="clear" w:color="auto" w:fill="auto"/>
            <w:vAlign w:val="center"/>
          </w:tcPr>
          <w:p w14:paraId="359ED7B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互动展示柜</w:t>
            </w:r>
          </w:p>
        </w:tc>
        <w:tc>
          <w:tcPr>
            <w:tcW w:w="8969" w:type="dxa"/>
            <w:shd w:val="clear" w:color="auto" w:fill="auto"/>
            <w:vAlign w:val="center"/>
          </w:tcPr>
          <w:p w14:paraId="57303A3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规格：L91.5xW30xH114cm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（1）可收纳、可书写、可钉设计，兼具多方式展示与收纳功能。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（3）所有螺丝位无毛刺不刮手，边角采用圆边/圆角处理以及安全防撞设计，不易倾倒，安全缝隙和孔洞均符合《GB28007-2011儿童家具通用技术条件》的要求。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画板框采用厚度24mm的环保实木多层板。柜体格子内空尺寸分别为292x300x240mm和270x300x490mm；柜体面板离地高度：590mm，面共四个φ70mm开孔，用于笔筒杯放置；中间格子内置6条环保塑料一次成型L270mm的U型槽，呈卡其色，有利于柜体空间合理分布，教具篮能准确滑入槽中，取放便捷。画板尺寸为双面设计；一面白色书写磁铁皮；一面为吸音板展示板；可使用尺寸均为712x430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（2）搭配L26xW28xH19cm浅咖色教具盒2个，L26xW28xH10cm浅咖色教具盒2个，L26xW28xH10cm透明教具盒4个；配套4个φ79x95mm烟灰橄榄绿颜料杯/笔筒。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柜体与底部围脚采用环保材质的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聚酯纤维吸音板:选用环保安全聚酯纤维材质厚度9mm的吸音板，对中高频噪声的吸声效果优异，适合吸收乐器声、户外声等中高频噪声，提升语音清晰度并降低噪声干扰；低频声音并无明显吸声，不影响正常的活动交流；中高低频声音智能吸纳，符合幼儿区角活动课室使用。</w:t>
            </w:r>
          </w:p>
        </w:tc>
        <w:tc>
          <w:tcPr>
            <w:tcW w:w="1398" w:type="dxa"/>
            <w:shd w:val="clear" w:color="auto" w:fill="FFFFFF" w:themeFill="background1"/>
          </w:tcPr>
          <w:p w14:paraId="286787DC">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1F00989">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A4BC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EDEAA0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49</w:t>
            </w:r>
          </w:p>
        </w:tc>
        <w:tc>
          <w:tcPr>
            <w:tcW w:w="1478" w:type="dxa"/>
            <w:shd w:val="clear" w:color="auto" w:fill="auto"/>
            <w:vAlign w:val="center"/>
          </w:tcPr>
          <w:p w14:paraId="0ECB05A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原木3层高柜.全背板</w:t>
            </w:r>
          </w:p>
        </w:tc>
        <w:tc>
          <w:tcPr>
            <w:tcW w:w="8969" w:type="dxa"/>
            <w:shd w:val="clear" w:color="auto" w:fill="auto"/>
            <w:vAlign w:val="center"/>
          </w:tcPr>
          <w:p w14:paraId="21A76D6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（1）柜体：采用16mm的环保橡胶木拼板。三层无竖板，层格内空均为：884x280x222mm，满足较大型玩教具收纳。背板采用厚度5mm的饰面环保实木纤维板。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6487EE38">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07A9AD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77D6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A2C5A0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50</w:t>
            </w:r>
          </w:p>
        </w:tc>
        <w:tc>
          <w:tcPr>
            <w:tcW w:w="1478" w:type="dxa"/>
            <w:shd w:val="clear" w:color="auto" w:fill="auto"/>
            <w:vAlign w:val="center"/>
          </w:tcPr>
          <w:p w14:paraId="1BB0FA0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原木2层90°弧形矮柜</w:t>
            </w:r>
          </w:p>
        </w:tc>
        <w:tc>
          <w:tcPr>
            <w:tcW w:w="8969" w:type="dxa"/>
            <w:shd w:val="clear" w:color="auto" w:fill="auto"/>
            <w:vAlign w:val="center"/>
          </w:tcPr>
          <w:p w14:paraId="0928112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规格：L84xW38.5xH59cm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（1）90°弧形设计，可搭配区角使用作转角连接。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（1）柜体：采用16mm的环保橡胶木拼板。通透2层矮柜，上下内空高度为236mm，柜体呈90°弧形。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27FD006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19804F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8FFA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4DD1B2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51</w:t>
            </w:r>
          </w:p>
        </w:tc>
        <w:tc>
          <w:tcPr>
            <w:tcW w:w="1478" w:type="dxa"/>
            <w:shd w:val="clear" w:color="auto" w:fill="auto"/>
            <w:vAlign w:val="center"/>
          </w:tcPr>
          <w:p w14:paraId="44B7F5E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山峰小屋收纳柜</w:t>
            </w:r>
          </w:p>
        </w:tc>
        <w:tc>
          <w:tcPr>
            <w:tcW w:w="8969" w:type="dxa"/>
            <w:shd w:val="clear" w:color="auto" w:fill="auto"/>
            <w:vAlign w:val="center"/>
          </w:tcPr>
          <w:p w14:paraId="45F6D3C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规格：L50xW30xH110.5cm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（1）小屋造型设计，兼具装饰与收纳功能。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（3）底格收纳抽斗采用可移动带滑轮设计，便于教玩具的转移与储藏。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（1）柜体：用厚度15mm的桦木纹饰面环保橡胶木拼板。柜体顶部屋顶造型，2层通透，顶层内空尺寸：470x300x303mm，中层内控尺寸470x300x224mm；下层带背板内空尺寸：470x280x224mm。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子最底格为移动式收纳抽斗，抽斗内空尺寸：420x249x178mm，抽斗底部安装4个1.5寸静音万向脚轮，脚轮运行平稳无声，可360°旋转，转动顺滑。抽斗面板中间凹20mm，手握弧度舒适面板增加几何造型图案。造型部分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（5）油墨：采用环保水性油墨，颜色饱满，无毒无异味。</w:t>
            </w:r>
          </w:p>
        </w:tc>
        <w:tc>
          <w:tcPr>
            <w:tcW w:w="1398" w:type="dxa"/>
            <w:shd w:val="clear" w:color="auto" w:fill="FFFFFF" w:themeFill="background1"/>
          </w:tcPr>
          <w:p w14:paraId="59482AC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810E0D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47713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519B15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52</w:t>
            </w:r>
          </w:p>
        </w:tc>
        <w:tc>
          <w:tcPr>
            <w:tcW w:w="1478" w:type="dxa"/>
            <w:shd w:val="clear" w:color="auto" w:fill="auto"/>
            <w:vAlign w:val="center"/>
          </w:tcPr>
          <w:p w14:paraId="148FC42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简约书架</w:t>
            </w:r>
          </w:p>
        </w:tc>
        <w:tc>
          <w:tcPr>
            <w:tcW w:w="8969" w:type="dxa"/>
            <w:shd w:val="clear" w:color="auto" w:fill="auto"/>
            <w:vAlign w:val="center"/>
          </w:tcPr>
          <w:p w14:paraId="1EFD52F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规格：L93xW30xH81cm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（1）书架与收纳柜结合，兼具收纳与学习功能。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（1）架体：采用厚度16mm的桦木纹环保双饰面浸渍胶膜纸饰面刨花板。共四层书本搁置槽，内空长900mm，内空宽分别40mm和38mm；底层空间：900x300x196mm。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（3）封边条：采用PVC封边条，表面光滑平整，封边细腻硬度高，线条均匀，转角过渡自然，无脱胶，表面光滑平整无胶渍。</w:t>
            </w:r>
          </w:p>
        </w:tc>
        <w:tc>
          <w:tcPr>
            <w:tcW w:w="1398" w:type="dxa"/>
            <w:shd w:val="clear" w:color="auto" w:fill="FFFFFF" w:themeFill="background1"/>
          </w:tcPr>
          <w:p w14:paraId="54B1319B">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F8C4DD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8058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BDD517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53</w:t>
            </w:r>
          </w:p>
        </w:tc>
        <w:tc>
          <w:tcPr>
            <w:tcW w:w="1478" w:type="dxa"/>
            <w:shd w:val="clear" w:color="auto" w:fill="auto"/>
            <w:vAlign w:val="center"/>
          </w:tcPr>
          <w:p w14:paraId="617A99A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原木3层短柜高柜.半背板</w:t>
            </w:r>
          </w:p>
        </w:tc>
        <w:tc>
          <w:tcPr>
            <w:tcW w:w="8969" w:type="dxa"/>
            <w:shd w:val="clear" w:color="auto" w:fill="auto"/>
            <w:vAlign w:val="center"/>
          </w:tcPr>
          <w:p w14:paraId="32EA951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规格：L61.5xW30xH80cm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（1）柜体：采用16mm的环保橡胶木拼板。共三层，属于短柜高柜，可用于补充区角空间，增加层次；上二层格子内空：586x300x222mm，下层格子内空：586x280x222mm。背板采用厚度5mm的饰面环保实木纤维板。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794A030A">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1D9B03D">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B6DD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60DDC4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54</w:t>
            </w:r>
          </w:p>
        </w:tc>
        <w:tc>
          <w:tcPr>
            <w:tcW w:w="1478" w:type="dxa"/>
            <w:shd w:val="clear" w:color="auto" w:fill="auto"/>
            <w:vAlign w:val="center"/>
          </w:tcPr>
          <w:p w14:paraId="21E42E9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方块百宝箱.4个</w:t>
            </w:r>
          </w:p>
        </w:tc>
        <w:tc>
          <w:tcPr>
            <w:tcW w:w="8969" w:type="dxa"/>
            <w:shd w:val="clear" w:color="auto" w:fill="auto"/>
            <w:vAlign w:val="center"/>
          </w:tcPr>
          <w:p w14:paraId="2B593CF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规格：L132xW33xH28cm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（1）储物式建构箱，收纳空间大，箱体可自由堆叠，通过旋钮塑料开关可横向延伸拼搭，可收纳，可坐；可搭配脚轮带刹车设计，操作便捷。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（2）所有螺丝位无毛刺不刮手，边角采用圆边/圆角处理以及安全防撞设计，不易倾倒。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（1）采用厚度12mm的实木多层板，12mm乳白饰面实木多层板。4个独立储物盒，搭配塑料件可以进行建构搭配，面板为活动面板。箱体内控299x299x237mm，3面椭圆形提手孔尺寸：89x26mm，拱门大小:206x206mm。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（2）底部可选配安装4个平底万向脚轮，脚轮运行平稳无声，可360°旋转，转动顺滑，刹车灵敏，踏板不易断裂。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（3）单个箱体之间的面板链接采用4条塑料一次成型的链接条，呈浅咖色，尺寸为39x39x250mm；塑料一次成型的卡扣件，呈浅咖色，尺寸为39x39x18.5mm共8个；塑料一次成型的链接开关件，呈浅咖色，尺寸88x25x52mm。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p>
        </w:tc>
        <w:tc>
          <w:tcPr>
            <w:tcW w:w="1398" w:type="dxa"/>
            <w:shd w:val="clear" w:color="auto" w:fill="FFFFFF" w:themeFill="background1"/>
          </w:tcPr>
          <w:p w14:paraId="6F3471D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CF5A613">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331F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074F7F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55</w:t>
            </w:r>
          </w:p>
        </w:tc>
        <w:tc>
          <w:tcPr>
            <w:tcW w:w="1478" w:type="dxa"/>
            <w:shd w:val="clear" w:color="auto" w:fill="auto"/>
            <w:vAlign w:val="center"/>
          </w:tcPr>
          <w:p w14:paraId="39A6708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怀抱双人布艺沙发.米白</w:t>
            </w:r>
          </w:p>
        </w:tc>
        <w:tc>
          <w:tcPr>
            <w:tcW w:w="8969" w:type="dxa"/>
            <w:shd w:val="clear" w:color="auto" w:fill="auto"/>
            <w:vAlign w:val="center"/>
          </w:tcPr>
          <w:p w14:paraId="6446C4F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规格：L97xW50xH61cm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1.面料材质：采用优质环保的涤纶纤维织造布料，颜色米白色，仿棉麻材质，耐磨，免洗。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3.产品特点：双人座，脚柱采用原木，经抛光上透明清漆。</w:t>
            </w:r>
          </w:p>
        </w:tc>
        <w:tc>
          <w:tcPr>
            <w:tcW w:w="1398" w:type="dxa"/>
            <w:shd w:val="clear" w:color="auto" w:fill="FFFFFF" w:themeFill="background1"/>
          </w:tcPr>
          <w:p w14:paraId="2D6CA85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DDF38DE">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FBFF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C3C2C3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56</w:t>
            </w:r>
          </w:p>
        </w:tc>
        <w:tc>
          <w:tcPr>
            <w:tcW w:w="1478" w:type="dxa"/>
            <w:shd w:val="clear" w:color="auto" w:fill="auto"/>
            <w:vAlign w:val="center"/>
          </w:tcPr>
          <w:p w14:paraId="6629C71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仙人掌书架</w:t>
            </w:r>
          </w:p>
        </w:tc>
        <w:tc>
          <w:tcPr>
            <w:tcW w:w="8969" w:type="dxa"/>
            <w:shd w:val="clear" w:color="auto" w:fill="auto"/>
            <w:vAlign w:val="center"/>
          </w:tcPr>
          <w:p w14:paraId="775798F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规格：L100xW44xH80cm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（1）仙人掌元素造型，底部收纳格设计，兼具装饰与收纳功能，能与其他柜体组合搭配使用。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（2）书架与座位一体，方便幼儿阅读，提高专注度。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（1）书架：采用厚度厚度15mm的桦木纹饰面环保橡胶木拼板，左侧板采用厚度18mm的环保实木多层。书架共三层，内空长:558mm,内空宽：52mm；底板收纳空间：558x297x116mm。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右侧为休闲储存空间，顶部为仙人掌造型，座板靠背均设置回高度弹性强海绵的填充物外加环保海蓝色麻面布艺装饰，厚度均为30mm，软坐垫面积400x300mm,靠背面积400x250mm。使用4条魔术贴能轻松拆卸清洗。坐柜下层为1格收纳空间，内空尺寸：385x280x230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（3）围脚：围脚高度60mm；柜子底部安装塑料脚垫，高度为H10mm，直径17mm软性防滑。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p>
        </w:tc>
        <w:tc>
          <w:tcPr>
            <w:tcW w:w="1398" w:type="dxa"/>
            <w:shd w:val="clear" w:color="auto" w:fill="FFFFFF" w:themeFill="background1"/>
          </w:tcPr>
          <w:p w14:paraId="1661BEF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48EB98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8BC6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2C523C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57</w:t>
            </w:r>
          </w:p>
        </w:tc>
        <w:tc>
          <w:tcPr>
            <w:tcW w:w="1478" w:type="dxa"/>
            <w:shd w:val="clear" w:color="auto" w:fill="auto"/>
            <w:vAlign w:val="center"/>
          </w:tcPr>
          <w:p w14:paraId="664F0C8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原木2层矮柜.可调节.无背板</w:t>
            </w:r>
          </w:p>
        </w:tc>
        <w:tc>
          <w:tcPr>
            <w:tcW w:w="8969" w:type="dxa"/>
            <w:shd w:val="clear" w:color="auto" w:fill="auto"/>
            <w:vAlign w:val="center"/>
          </w:tcPr>
          <w:p w14:paraId="567796B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柜子长度内空：884mm，上下两层，中间一块层板。柜子内侧配环保优质塑料一次成型呈浅咖色长度440mm的活动层板支撑条，内嵌式安装嵌入深度≥4.5mm，固定条凸11mm,灵活安全使用层板，不占用空间，共15个挡位、每挡28mm，可实现层板自选放置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6D645C34">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4D0D59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F334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E47BD3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58</w:t>
            </w:r>
          </w:p>
        </w:tc>
        <w:tc>
          <w:tcPr>
            <w:tcW w:w="1478" w:type="dxa"/>
            <w:shd w:val="clear" w:color="auto" w:fill="auto"/>
            <w:vAlign w:val="center"/>
          </w:tcPr>
          <w:p w14:paraId="1B42CE1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拱形造型柜</w:t>
            </w:r>
          </w:p>
        </w:tc>
        <w:tc>
          <w:tcPr>
            <w:tcW w:w="8969" w:type="dxa"/>
            <w:shd w:val="clear" w:color="auto" w:fill="auto"/>
            <w:vAlign w:val="center"/>
          </w:tcPr>
          <w:p w14:paraId="2284BD8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规格：L48xW32.4xH141cm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（1）拱形镂空造型设计，兼具装饰与收纳功能。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（3）底格收纳抽斗采用可移动带滑轮设计，便于教玩具的转移与储藏。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顶部装饰板采用厚度12mm的环保实木多层板。顶部为拱形镂空造型，使用圆木棒连接，木棒直径为：φ22mm；拱形造型弧度R246mm；上两层内空尺寸：420x300x270mm；带背板中层内空尺寸：420x280x270mm；侧板镂空尺寸分别为：200x160mm，160x160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（2）柜子底格为移动式收纳抽斗，抽斗内空尺寸：370x249x180mm，抽斗底部安装4个1.5寸静音万向脚轮，脚轮运行平稳无声，可360°旋转，转动顺滑。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（6）油墨：采用环保水性油墨，颜色饱满，无毒无异味。</w:t>
            </w:r>
          </w:p>
        </w:tc>
        <w:tc>
          <w:tcPr>
            <w:tcW w:w="1398" w:type="dxa"/>
            <w:shd w:val="clear" w:color="auto" w:fill="FFFFFF" w:themeFill="background1"/>
          </w:tcPr>
          <w:p w14:paraId="6F25E30C">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1FD7BF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EC79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1CC118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59</w:t>
            </w:r>
          </w:p>
        </w:tc>
        <w:tc>
          <w:tcPr>
            <w:tcW w:w="1478" w:type="dxa"/>
            <w:shd w:val="clear" w:color="auto" w:fill="auto"/>
            <w:vAlign w:val="center"/>
          </w:tcPr>
          <w:p w14:paraId="7FCC8E0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互动婴儿床</w:t>
            </w:r>
          </w:p>
        </w:tc>
        <w:tc>
          <w:tcPr>
            <w:tcW w:w="8969" w:type="dxa"/>
            <w:shd w:val="clear" w:color="auto" w:fill="auto"/>
            <w:vAlign w:val="center"/>
          </w:tcPr>
          <w:p w14:paraId="1DBA662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规格：L60xW40xH53.5cm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（1）床边镂空圆孔设计，增强互动性。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（1）采用厚度15mm的桦木纹饰面环保橡胶木拼板。床内空尺寸为：570x360x135mm；床边6个镂空圆形，圆孔直径为：φ75mm。床头床尾下方为拱形设计，内弧R150mm。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（2）床脚使用环保塑料脚套包裹，尺寸为36.5x22.5x44mm(±2mm)。加厚耐磨，防滑不易脱落。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398" w:type="dxa"/>
            <w:shd w:val="clear" w:color="auto" w:fill="FFFFFF" w:themeFill="background1"/>
          </w:tcPr>
          <w:p w14:paraId="1CEF2A6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B7DA6CC">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4EC6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282C17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w:t>
            </w:r>
          </w:p>
        </w:tc>
        <w:tc>
          <w:tcPr>
            <w:tcW w:w="1478" w:type="dxa"/>
            <w:shd w:val="clear" w:color="auto" w:fill="auto"/>
            <w:vAlign w:val="center"/>
          </w:tcPr>
          <w:p w14:paraId="3DD5D40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原木2层90°转角矮柜</w:t>
            </w:r>
          </w:p>
        </w:tc>
        <w:tc>
          <w:tcPr>
            <w:tcW w:w="8969" w:type="dxa"/>
            <w:shd w:val="clear" w:color="auto" w:fill="auto"/>
            <w:vAlign w:val="center"/>
          </w:tcPr>
          <w:p w14:paraId="4FBA3C3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规格：L30xW30xH59cm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（1）90°转角设计，可搭配区角使用作转角连接。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（1）柜体：采用16mm的环保橡胶木拼板。全背板2层矮柜，上下内空高度为236mm，柜体呈90°转角。可搭配L25xW25xH15cm的三角藤编教具篮，实用性更强。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6F39115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B88EC9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E357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368B69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61</w:t>
            </w:r>
          </w:p>
        </w:tc>
        <w:tc>
          <w:tcPr>
            <w:tcW w:w="1478" w:type="dxa"/>
            <w:shd w:val="clear" w:color="auto" w:fill="auto"/>
            <w:vAlign w:val="center"/>
          </w:tcPr>
          <w:p w14:paraId="6E95326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洞洞拱形门</w:t>
            </w:r>
          </w:p>
        </w:tc>
        <w:tc>
          <w:tcPr>
            <w:tcW w:w="8969" w:type="dxa"/>
            <w:shd w:val="clear" w:color="auto" w:fill="auto"/>
            <w:vAlign w:val="center"/>
          </w:tcPr>
          <w:p w14:paraId="5E0ABF4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规格：L85xW8xH138cm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（1）整体拱形造型设计，几何线条清晰，易于搭配其他产品进行环创。</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（1）立柱板采用厚度24mm的环保实木多层板，顶造型板采用厚度18mm的环保实木多层板。拱门内空宽度：800mm，顶部造型板共7个圆孔镂空，直径为30mm，可悬挂装饰物件。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1B4E3CD0">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A844A93">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DC03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D1034D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62</w:t>
            </w:r>
          </w:p>
        </w:tc>
        <w:tc>
          <w:tcPr>
            <w:tcW w:w="1478" w:type="dxa"/>
            <w:shd w:val="clear" w:color="auto" w:fill="auto"/>
            <w:vAlign w:val="center"/>
          </w:tcPr>
          <w:p w14:paraId="15EA0AC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原木2层45°弧形矮柜</w:t>
            </w:r>
          </w:p>
        </w:tc>
        <w:tc>
          <w:tcPr>
            <w:tcW w:w="8969" w:type="dxa"/>
            <w:shd w:val="clear" w:color="auto" w:fill="auto"/>
            <w:vAlign w:val="center"/>
          </w:tcPr>
          <w:p w14:paraId="2DD22DC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规格：L60xW33xH59cm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（1）45°弧形设计，可搭配区角使用作转角连接。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（1）柜体：采用16mm的环保橡胶木拼板。通透2层矮柜，上下内空高度为236mm，柜体呈45°弧形。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（2）围脚：采用厚度18mm的多层胶合弯板，弧形围脚高度为60mm；柜子底部安装塑料脚垫，高度为H10mm，直径17mm，软性防滑。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5A78AB1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049E19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38D0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AB3F3D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63</w:t>
            </w:r>
          </w:p>
        </w:tc>
        <w:tc>
          <w:tcPr>
            <w:tcW w:w="1478" w:type="dxa"/>
            <w:shd w:val="clear" w:color="auto" w:fill="auto"/>
            <w:vAlign w:val="center"/>
          </w:tcPr>
          <w:p w14:paraId="06C0603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简约互动小厨房</w:t>
            </w:r>
          </w:p>
        </w:tc>
        <w:tc>
          <w:tcPr>
            <w:tcW w:w="8969" w:type="dxa"/>
            <w:shd w:val="clear" w:color="auto" w:fill="auto"/>
            <w:vAlign w:val="center"/>
          </w:tcPr>
          <w:p w14:paraId="1931F8E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规格：L93xW30xH86cm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（1）逼真厨房功能设计。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（3）可旋转按钮仿真功能，可视化按键，增强游戏真实体验感。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（1）柜体采用厚度15mm的桦木纹饰面环保橡胶木拼板，部分采用厚度12mm及15mm的环保实木多层板喷涂水性漆，背板采用厚度5mm的饰面环保实木纤维板。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右侧为冰箱造型，独立一扇门，门板内装缓冲铰链，门板外拉手采用深咖色环保塑料一次成型，尺寸L104.5xW32mm，实现门板开合。柜体侧面与操作面板有5个挂钩，挂钩采用环保塑料一次成型单孔挂，尺寸：L32xW18xH17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左侧为一个塑料一次成型呈奶白色的洗手台，尺寸L218xW218xH78mm；搭配3个可旋转的塑料一次成型2合1外直径35mm内直径18mm的旋转调节开关，一个长度70.5mm内径19mm的旋转水龙头；两个φ124mm的仿真灶炉，搭配2个可旋转的塑料一次成型2合1外直径35mm内直径18mm的旋转调节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柜体面板离地500mm，柜体下方为2个独立开合门，门板内装缓冲铰链，能实现门板开合；2个拉手采用采用深咖色环保塑料一次成型，尺寸L104.5xW32mm。门板中间采用透明亚克力板做卡通图案，门上方有4个可旋转的塑料一次成型2合1外直径35mm内直径18mm的旋转调节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（5）底部安装塑料脚垫，尺寸为Φ17xH10mm，软性防滑。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（8）油墨：采用环保水性油墨，颜色饱满，无毒无异味。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（9）亚克力板：采用厚度5mm的优质透明亚克力板，表面光滑无缺陷，坚硬耐用，高透光性，环保无毒。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（10）塑料板：采用食品级的环保塑料材质。</w:t>
            </w:r>
          </w:p>
        </w:tc>
        <w:tc>
          <w:tcPr>
            <w:tcW w:w="1398" w:type="dxa"/>
            <w:shd w:val="clear" w:color="auto" w:fill="FFFFFF" w:themeFill="background1"/>
          </w:tcPr>
          <w:p w14:paraId="2E7E7E01">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E0BACC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7F6B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AD15E9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64</w:t>
            </w:r>
          </w:p>
        </w:tc>
        <w:tc>
          <w:tcPr>
            <w:tcW w:w="1478" w:type="dxa"/>
            <w:shd w:val="clear" w:color="auto" w:fill="auto"/>
            <w:vAlign w:val="center"/>
          </w:tcPr>
          <w:p w14:paraId="53CE7BB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互动化妆台</w:t>
            </w:r>
          </w:p>
        </w:tc>
        <w:tc>
          <w:tcPr>
            <w:tcW w:w="8969" w:type="dxa"/>
            <w:shd w:val="clear" w:color="auto" w:fill="auto"/>
            <w:vAlign w:val="center"/>
          </w:tcPr>
          <w:p w14:paraId="1F7B86A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桌:L79xW37xH91cm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椅:L36xW24xH26cm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（1）逼真梳妆台造型设计，搭配梳妆椅与亚克力镜子，能适用游戏场景下使用，提高趣味性。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（3）所有螺丝位无毛刺不刮手，四角及边沿采用圆角/圆边处理以及安全防撞设计，不易倾倒。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12mm及18mm的环保优质实木多层板，抽屉盒底板采用厚度5mm桦木纹饰面实木纤维板。化妆台镜子采用亚克力镜面板材质，安全防摔，清晰度高，亚克力镜子尺寸为310x340mm，台面离地高度：520mm，抽屉内空：197x236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搭配1张梳妆椅，面板贴黑色防火板，可使用粉笔进行擦写；椅脚采用一体成型的可弯板；脚顶部折弯外弧半径为R=45mm，椅脚侧向倾角12°，侧向底部支撑脚内空为230mm；椅脚横向倾角5°，横向底部支撑脚内空为240mm，呈八字支撑增加承重力。椅脚使用环保塑料脚套包裹，尺寸为36.5x22.5x44mm(±2mm)，加厚耐磨，防滑不易脱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（4）油墨：采用环保水性油墨，颜色饱满。</w:t>
            </w:r>
          </w:p>
        </w:tc>
        <w:tc>
          <w:tcPr>
            <w:tcW w:w="1398" w:type="dxa"/>
            <w:shd w:val="clear" w:color="auto" w:fill="FFFFFF" w:themeFill="background1"/>
          </w:tcPr>
          <w:p w14:paraId="3533F929">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2C65ACC">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5B9F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8B608F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65</w:t>
            </w:r>
          </w:p>
        </w:tc>
        <w:tc>
          <w:tcPr>
            <w:tcW w:w="1478" w:type="dxa"/>
            <w:shd w:val="clear" w:color="auto" w:fill="auto"/>
            <w:vAlign w:val="center"/>
          </w:tcPr>
          <w:p w14:paraId="1928410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移动水杯水桶收纳柜</w:t>
            </w:r>
          </w:p>
        </w:tc>
        <w:tc>
          <w:tcPr>
            <w:tcW w:w="8969" w:type="dxa"/>
            <w:shd w:val="clear" w:color="auto" w:fill="auto"/>
            <w:vAlign w:val="center"/>
          </w:tcPr>
          <w:p w14:paraId="69B91A5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规格：L70xW46xH95cm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（1）侧板水滴镂空造型设计，视觉上提醒幼儿注意喝水，能适用多场景下使用，提高趣味性。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（2）同时兼具水桶与水杯收纳，带轮移动，使用便捷方便。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15mm的桦木纹饰面环保橡胶木拼板，杯架采用厚度9mm的环保实木多层板。柜体左右侧为杯架，每边20格共40格，杯架单格内空：98x110mm与98x114mm；杯架门板安装了防蚊虫不锈钢纱网，门板均采用优质缓冲铰链连接安装，实现自由开合，门板配置一个深咖色环保塑料一次成型尺寸：L104.5xW32mm拉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（2）柜体底部安装4个1.5寸静音带刹车万向脚轮，脚轮运行平稳无声，可360°旋转，转动顺滑。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p>
        </w:tc>
        <w:tc>
          <w:tcPr>
            <w:tcW w:w="1398" w:type="dxa"/>
            <w:shd w:val="clear" w:color="auto" w:fill="FFFFFF" w:themeFill="background1"/>
          </w:tcPr>
          <w:p w14:paraId="3EC9CE66">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1735290">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4C62A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A39495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66</w:t>
            </w:r>
          </w:p>
        </w:tc>
        <w:tc>
          <w:tcPr>
            <w:tcW w:w="1478" w:type="dxa"/>
            <w:shd w:val="clear" w:color="auto" w:fill="auto"/>
            <w:vAlign w:val="center"/>
          </w:tcPr>
          <w:p w14:paraId="211AD9F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清新小家三层六人推拉床</w:t>
            </w:r>
          </w:p>
        </w:tc>
        <w:tc>
          <w:tcPr>
            <w:tcW w:w="8969" w:type="dxa"/>
            <w:shd w:val="clear" w:color="auto" w:fill="auto"/>
            <w:vAlign w:val="center"/>
          </w:tcPr>
          <w:p w14:paraId="43DD018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规格：L146xW136xH69.5cm（含轮）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（1）可推拉三层六人床功能设计，占地空间少，便于移动收纳；每层带不锈钢插销，保证床在使用过程中保持稳定。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（2）清新树叶、窗户图案，采用美工机喷绘工艺，搭配优质油墨，图案附着力好，生动立体不易褪色。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（3）支持双侧面楼梯、正面床体两种方式上床。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边框采用厚度18mm的桦木纹饰面环保橡胶木拼板，床板采用厚度9mm的白色饰面环保实木多层板；支柱采用桦木原木，尺寸为45x45mm，材质厚实坚固，纹理均匀细致。包含上中下3层，每层2张床左右对称，床内空尺寸：长度均为1340mm,宽度从下往上依次为540/590/640mm；每张床板6个φ25mm透气孔，床板两段拼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（2）扶手下方做爬梯镂空设计，每层扶手与中间木隔断最高段高度：195mm，最矮段高度：110mm。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（3）床支柱大小：45x45mm；支柱高度（含轮）：从下往上284/490/695mm。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（4）推拉床完全展开占地面积约5.7平方米，合拢占地面积约1.9平方米；中层与下层的床底部安装6个1.5寸TPR静音脚轮，脚轮运行平稳无声，万向与定向，带刹与不带刹相结合，运转更加顺畅。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（7）油墨：采用环保水性油墨，颜色饱满，无毒无异味。</w:t>
            </w:r>
          </w:p>
        </w:tc>
        <w:tc>
          <w:tcPr>
            <w:tcW w:w="1398" w:type="dxa"/>
            <w:shd w:val="clear" w:color="auto" w:fill="FFFFFF" w:themeFill="background1"/>
          </w:tcPr>
          <w:p w14:paraId="0BD8E336">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FE4540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0D0F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A703F0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67</w:t>
            </w:r>
          </w:p>
        </w:tc>
        <w:tc>
          <w:tcPr>
            <w:tcW w:w="1478" w:type="dxa"/>
            <w:shd w:val="clear" w:color="auto" w:fill="auto"/>
            <w:vAlign w:val="center"/>
          </w:tcPr>
          <w:p w14:paraId="6AF3DD1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原木6人桌.52cm</w:t>
            </w:r>
          </w:p>
        </w:tc>
        <w:tc>
          <w:tcPr>
            <w:tcW w:w="8969" w:type="dxa"/>
            <w:shd w:val="clear" w:color="auto" w:fill="auto"/>
            <w:vAlign w:val="center"/>
          </w:tcPr>
          <w:p w14:paraId="37D7A11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规格：L120xW60xH52cm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（1）采用立水工艺，结构支撑性强，防止桌面下沉。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（1）桌面：采用厚度30mm的优质橡胶木拼板搭配防火板贴面加工而成，耐刮耐磨，长时间使用不褪色、不容易开裂；长立水尺寸：L1062xW60xH18mm，短立水尺寸：L462xW60xH18mm。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（2）桌脚：采橡胶木实木，厚实纹路清晰，尺寸为48x48mm，边沿均采用圆边处理（外侧边R25mm,其他三边R10mm）；底部安装塑料脚垫，软性防滑。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（3）产品整体采用环保的水性漆，全封闭涂装工艺，漆面光泽高透，颜色均匀，附着能力强，通透度高。桌面封边采用环保的水性木蜡油封边，成分天然，分子机构细小，成膜牢固，密封性好。</w:t>
            </w:r>
          </w:p>
        </w:tc>
        <w:tc>
          <w:tcPr>
            <w:tcW w:w="1398" w:type="dxa"/>
            <w:shd w:val="clear" w:color="auto" w:fill="FFFFFF" w:themeFill="background1"/>
          </w:tcPr>
          <w:p w14:paraId="7A50092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7A51A2A">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424B4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45FED6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68</w:t>
            </w:r>
          </w:p>
        </w:tc>
        <w:tc>
          <w:tcPr>
            <w:tcW w:w="1478" w:type="dxa"/>
            <w:shd w:val="clear" w:color="auto" w:fill="auto"/>
            <w:vAlign w:val="center"/>
          </w:tcPr>
          <w:p w14:paraId="7C1DC5C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原木4人桌.52cm</w:t>
            </w:r>
          </w:p>
        </w:tc>
        <w:tc>
          <w:tcPr>
            <w:tcW w:w="8969" w:type="dxa"/>
            <w:shd w:val="clear" w:color="auto" w:fill="auto"/>
            <w:vAlign w:val="center"/>
          </w:tcPr>
          <w:p w14:paraId="08B8394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规格：L60xW60xH52cm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（1）采用立水工艺，结构支撑性强，防止桌面下沉。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（1）桌面：采用厚度30mm的优质橡胶木拼板搭配防火板贴面加工而成，耐刮耐磨，长时间使用不褪色、不容易开裂；立水尺寸L462xW60xH18mm结构稳固。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（2）桌脚：采橡胶木实木，厚实纹路清晰，尺寸为48x48mm，边沿均采用圆边处理（外侧边R25mm,其他三边R10mm）；底部安装塑料脚垫，软性防滑。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（3）产品整体采用环保的水性漆，全封闭涂装工艺，漆面光泽高透，颜色均匀，附着能力强，通透度高。桌面封边采用环保的水性木蜡油封边，成分天然，分子机构细小，成膜牢固，密封性好。</w:t>
            </w:r>
          </w:p>
        </w:tc>
        <w:tc>
          <w:tcPr>
            <w:tcW w:w="1398" w:type="dxa"/>
            <w:shd w:val="clear" w:color="auto" w:fill="FFFFFF" w:themeFill="background1"/>
          </w:tcPr>
          <w:p w14:paraId="25858169">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EDE656D">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41A87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9847FE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69</w:t>
            </w:r>
          </w:p>
        </w:tc>
        <w:tc>
          <w:tcPr>
            <w:tcW w:w="1478" w:type="dxa"/>
            <w:shd w:val="clear" w:color="auto" w:fill="auto"/>
            <w:vAlign w:val="center"/>
          </w:tcPr>
          <w:p w14:paraId="34597D3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原木椅.27cm</w:t>
            </w:r>
          </w:p>
        </w:tc>
        <w:tc>
          <w:tcPr>
            <w:tcW w:w="8969" w:type="dxa"/>
            <w:shd w:val="clear" w:color="auto" w:fill="auto"/>
            <w:vAlign w:val="center"/>
          </w:tcPr>
          <w:p w14:paraId="67B94A2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规格：L30xW30xH50cm（座高27cm）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（1）整体为工字框架，使用木梢做榫孔定位加固安装，使用二合一、自攻丝进行连接，组搭安装便捷。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（1）座板：采用厚度12mm的饰面环保实木多层板双贴橡胶木纹皮,座高:270mm；座深:270mm；座宽:290mm。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（2）椅背：采用厚度20mm的环保橡胶木拼板，靠背呈波浪造型，最大高度97mm最小高度79mm,底部横梁尺寸宽35mm，背板加宽，弧形修饰，使坐姿靠背更舒适。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（3）椅脚：椅脚厚度22mm、其余框架厚度18mm的环保橡胶木拼板，底部安装塑料脚垫，高度为H6.5mm，直径19mm,软性防滑。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(4)产品整体采用环保的水性漆，全封闭涂装工艺，漆面光泽高透，颜色均匀，附着能力强，通透度高。座板采用环保的水性木蜡油封边，成分天然，分子机构细小，成膜牢固，密封性好。</w:t>
            </w:r>
          </w:p>
        </w:tc>
        <w:tc>
          <w:tcPr>
            <w:tcW w:w="1398" w:type="dxa"/>
            <w:shd w:val="clear" w:color="auto" w:fill="FFFFFF" w:themeFill="background1"/>
          </w:tcPr>
          <w:p w14:paraId="40E4D15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FA2C2B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7DF0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D6E475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70</w:t>
            </w:r>
          </w:p>
        </w:tc>
        <w:tc>
          <w:tcPr>
            <w:tcW w:w="1478" w:type="dxa"/>
            <w:shd w:val="clear" w:color="auto" w:fill="auto"/>
            <w:vAlign w:val="center"/>
          </w:tcPr>
          <w:p w14:paraId="518EF57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美术纸筒柜</w:t>
            </w:r>
          </w:p>
        </w:tc>
        <w:tc>
          <w:tcPr>
            <w:tcW w:w="8969" w:type="dxa"/>
            <w:shd w:val="clear" w:color="auto" w:fill="auto"/>
            <w:vAlign w:val="center"/>
          </w:tcPr>
          <w:p w14:paraId="5E56909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规格：L40xW40xH58cm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（1）车头美工造型设计，兼具装饰与收纳功能。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（1）柜体：采用厚度12mm双贴桦木纹饰面的环保橡胶木拼板，柜体四块竖板呈半月形，嵌入式安装，保留高低错落弧度造型，形成9格分类，每个格子内空尺寸：115x115mm。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（2）柜子底部安装4个1.5寸静音带刹车万向脚轮，脚轮运行平稳无声，可360°旋转，转动顺滑。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（3）采用环保的水性木蜡油封边，成分天然，分子机构细小，成膜牢固，密封性好，环保无毒。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（4）油墨：车头造型采用美工机喷绘工艺，搭配环保水性油墨，图案附着力好，生动立体不易褪色。</w:t>
            </w:r>
          </w:p>
        </w:tc>
        <w:tc>
          <w:tcPr>
            <w:tcW w:w="1398" w:type="dxa"/>
            <w:shd w:val="clear" w:color="auto" w:fill="FFFFFF" w:themeFill="background1"/>
          </w:tcPr>
          <w:p w14:paraId="4431C57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32AAD4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5B5E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015119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71</w:t>
            </w:r>
          </w:p>
        </w:tc>
        <w:tc>
          <w:tcPr>
            <w:tcW w:w="1478" w:type="dxa"/>
            <w:shd w:val="clear" w:color="auto" w:fill="auto"/>
            <w:vAlign w:val="center"/>
          </w:tcPr>
          <w:p w14:paraId="1D9F9EA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杯筒收纳盒</w:t>
            </w:r>
          </w:p>
        </w:tc>
        <w:tc>
          <w:tcPr>
            <w:tcW w:w="8969" w:type="dxa"/>
            <w:shd w:val="clear" w:color="auto" w:fill="auto"/>
            <w:vAlign w:val="center"/>
          </w:tcPr>
          <w:p w14:paraId="57FF85B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规格：L24xW24xH9cm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（1）多功能收纳储物，小巧不占地方，兼具装饰与收纳功能。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（2）铁质表面采用静电粉末喷涂工艺，圆润光滑，防腐抗锈，坚固耐用。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（1）收纳盒外框采用直径4mm的铁艺线条，其他位置采用直径3mm的铁艺线条；搭配9个塑料一次成型颜料杯/笔筒，尺寸φ79x95mm烟灰橄榄绿。</w:t>
            </w:r>
          </w:p>
        </w:tc>
        <w:tc>
          <w:tcPr>
            <w:tcW w:w="1398" w:type="dxa"/>
            <w:shd w:val="clear" w:color="auto" w:fill="FFFFFF" w:themeFill="background1"/>
          </w:tcPr>
          <w:p w14:paraId="399DA2A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E053904">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0EDD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C4CC22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1478" w:type="dxa"/>
            <w:shd w:val="clear" w:color="auto" w:fill="auto"/>
            <w:vAlign w:val="center"/>
          </w:tcPr>
          <w:p w14:paraId="7F9D1CD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原木3层矮柜.可调节.无背板</w:t>
            </w:r>
          </w:p>
        </w:tc>
        <w:tc>
          <w:tcPr>
            <w:tcW w:w="8969" w:type="dxa"/>
            <w:shd w:val="clear" w:color="auto" w:fill="auto"/>
            <w:vAlign w:val="center"/>
          </w:tcPr>
          <w:p w14:paraId="5CCD81F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柜子长度内空：884mm，上中下三层，中间两块层板。柜子内侧配环保优质塑料一次成型呈浅咖色长度440mm的活动层板支撑条，内嵌式安装嵌入深度≥4.5mm，固定条凸11mm,灵活安全使用层板，不占用空间，共15个挡位、每挡28mm，可实现层板自选放置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525D22E6">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9B0B8D4">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998B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0BE73C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73</w:t>
            </w:r>
          </w:p>
        </w:tc>
        <w:tc>
          <w:tcPr>
            <w:tcW w:w="1478" w:type="dxa"/>
            <w:shd w:val="clear" w:color="auto" w:fill="auto"/>
            <w:vAlign w:val="center"/>
          </w:tcPr>
          <w:p w14:paraId="0A2CEEB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原木阶梯组合柜.无背板</w:t>
            </w:r>
          </w:p>
        </w:tc>
        <w:tc>
          <w:tcPr>
            <w:tcW w:w="8969" w:type="dxa"/>
            <w:shd w:val="clear" w:color="auto" w:fill="auto"/>
            <w:vAlign w:val="center"/>
          </w:tcPr>
          <w:p w14:paraId="4F71BFC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3层：L30xW30xH80cm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2层：L30xW30xH59cm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1层：L30xW30xH34cm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（1）三个柜体可独立使用，灵活搭配，高低错落，可满足不同层次区角搭配。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（1）柜体：采用16mm的环保橡胶木拼板。所有柜子组合使用呈阶梯状，格子内空长均为：267mm。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（2）围脚：柜子底部安装塑料脚垫，高度为H10mm，直径17mm，软性防滑。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692A69B0">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956837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57BD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1E61EA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74</w:t>
            </w:r>
          </w:p>
        </w:tc>
        <w:tc>
          <w:tcPr>
            <w:tcW w:w="1478" w:type="dxa"/>
            <w:shd w:val="clear" w:color="auto" w:fill="auto"/>
            <w:vAlign w:val="center"/>
          </w:tcPr>
          <w:p w14:paraId="6AF8BF4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怀抱双人布艺沙发.天蓝</w:t>
            </w:r>
          </w:p>
        </w:tc>
        <w:tc>
          <w:tcPr>
            <w:tcW w:w="8969" w:type="dxa"/>
            <w:shd w:val="clear" w:color="auto" w:fill="auto"/>
            <w:vAlign w:val="center"/>
          </w:tcPr>
          <w:p w14:paraId="3E49062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规格：L97xW50xH61cm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1.面料材质：采用优质环保的涤纶纤维织造布料，颜色天蓝色，仿棉麻材质，耐磨，免洗。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3.产品特点：双人座，脚柱采用原木，经抛光上透明清漆。</w:t>
            </w:r>
          </w:p>
        </w:tc>
        <w:tc>
          <w:tcPr>
            <w:tcW w:w="1398" w:type="dxa"/>
            <w:shd w:val="clear" w:color="auto" w:fill="FFFFFF" w:themeFill="background1"/>
          </w:tcPr>
          <w:p w14:paraId="3A0B61F6">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3274DC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D75E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971897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75</w:t>
            </w:r>
          </w:p>
        </w:tc>
        <w:tc>
          <w:tcPr>
            <w:tcW w:w="1478" w:type="dxa"/>
            <w:shd w:val="clear" w:color="auto" w:fill="auto"/>
            <w:vAlign w:val="center"/>
          </w:tcPr>
          <w:p w14:paraId="5957BD4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互动造型柜</w:t>
            </w:r>
          </w:p>
        </w:tc>
        <w:tc>
          <w:tcPr>
            <w:tcW w:w="8969" w:type="dxa"/>
            <w:shd w:val="clear" w:color="auto" w:fill="auto"/>
            <w:vAlign w:val="center"/>
          </w:tcPr>
          <w:p w14:paraId="06BB8CE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规格：L98xW40xH136cm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（1）特色屋顶+篷布造型设计，吊牌黑板可擦写。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柜体采用厚度15mm的桦木纹饰面环保橡胶木拼板，部分采用厚度12mm及18mm的环保实木多层板喷涂水性漆，铭牌采用厚度9mm环保实木多层板喷涂水性漆。屋顶离柜面高770mm，面板离地高度为590mm，柜体内空尺寸：884x300x237.5mm；下层柜体正面安装长方形可吸附磁铁的黑板，尺寸为910x520mm，柜体上方两边挂杆可挂吊牌黑板，尺寸为200x150mm，可使用粉笔进行擦写；产品顶部搭配安装由涤纶纤维织造的仿棉麻材质篷布，尺寸：L990xW800mm 篷布可拆洗。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（4）油漆：采用环保的水性漆，全封闭涂装工艺，漆面光泽高透，颜色均匀。</w:t>
            </w:r>
          </w:p>
        </w:tc>
        <w:tc>
          <w:tcPr>
            <w:tcW w:w="1398" w:type="dxa"/>
            <w:shd w:val="clear" w:color="auto" w:fill="FFFFFF" w:themeFill="background1"/>
          </w:tcPr>
          <w:p w14:paraId="6FE94EF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96A46FD">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FB0B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9A3C88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76</w:t>
            </w:r>
          </w:p>
        </w:tc>
        <w:tc>
          <w:tcPr>
            <w:tcW w:w="1478" w:type="dxa"/>
            <w:shd w:val="clear" w:color="auto" w:fill="auto"/>
            <w:vAlign w:val="center"/>
          </w:tcPr>
          <w:p w14:paraId="06099E3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简约衣帽饰品柜</w:t>
            </w:r>
          </w:p>
        </w:tc>
        <w:tc>
          <w:tcPr>
            <w:tcW w:w="8969" w:type="dxa"/>
            <w:shd w:val="clear" w:color="auto" w:fill="auto"/>
            <w:vAlign w:val="center"/>
          </w:tcPr>
          <w:p w14:paraId="3CDF441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规格：L105xW40xH110cm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（1）多功能带轮衣帽收纳架，储物空间大，移动/固定便捷。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（2）加厚亚克力镜子，模拟真实换装情景，兼具装饰、收纳与教玩功能，能与其他柜体组合搭配使用。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柜体顶部收纳槽内空：870x358x50mm，挂衣格内空：580x400x775mm，悬挂一个长564mm铝合金双筋扁管挂杆；底部格子内空：580x400x120mm，右侧四格内空均为：275x400x216mm；柜子一边外侧安装亚克力材质镜子，冲击强度比玻璃镜高，不容易碎，尺寸L540xW260xH3mm，镜子下方配置化妆收纳格，尺寸为：380x150x170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（2）底部安装4个高度为80mm的优质平底带刹车万向脚轮，脚轮运行平稳无声，可360°旋转，转动顺滑。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398" w:type="dxa"/>
            <w:shd w:val="clear" w:color="auto" w:fill="FFFFFF" w:themeFill="background1"/>
          </w:tcPr>
          <w:p w14:paraId="107FB03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CABC517">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4631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9EFE35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77</w:t>
            </w:r>
          </w:p>
        </w:tc>
        <w:tc>
          <w:tcPr>
            <w:tcW w:w="1478" w:type="dxa"/>
            <w:shd w:val="clear" w:color="auto" w:fill="auto"/>
            <w:vAlign w:val="center"/>
          </w:tcPr>
          <w:p w14:paraId="5CD08EB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原木4层可调高柜.可调节.半背板</w:t>
            </w:r>
          </w:p>
        </w:tc>
        <w:tc>
          <w:tcPr>
            <w:tcW w:w="8969" w:type="dxa"/>
            <w:shd w:val="clear" w:color="auto" w:fill="auto"/>
            <w:vAlign w:val="center"/>
          </w:tcPr>
          <w:p w14:paraId="49CB5CE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规格：L91.5xW30xH80cm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（1）采用翻板活动轮工艺，移动/固定自由切换。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（3）所有螺丝位无毛刺不刮手，四角及边沿采用R10mm圆角/圆边处理以及安全防撞设计。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16mm的环保橡胶木拼板。共四层，底层含背板内空：884x280x162mm，上面三层含两块层板。柜子内侧配L440mm活动层板支撑条，内嵌式安装嵌入深度≥4.5mm，固定条凸11mm，灵活安全使用层板，不占用空间，共15个挡位、每挡28mm，可实现层板自选放置高度。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采用厚度18mm的环保橡胶木拼板。柜体与底部围脚采用环保优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0E994D1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0232382">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F852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20E1FE4">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78</w:t>
            </w:r>
          </w:p>
        </w:tc>
        <w:tc>
          <w:tcPr>
            <w:tcW w:w="1478" w:type="dxa"/>
            <w:shd w:val="clear" w:color="auto" w:fill="auto"/>
            <w:vAlign w:val="center"/>
          </w:tcPr>
          <w:p w14:paraId="0CAAFD5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可擦写绘画桌</w:t>
            </w:r>
          </w:p>
        </w:tc>
        <w:tc>
          <w:tcPr>
            <w:tcW w:w="8969" w:type="dxa"/>
            <w:shd w:val="clear" w:color="auto" w:fill="auto"/>
            <w:vAlign w:val="center"/>
          </w:tcPr>
          <w:p w14:paraId="7000B94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L120xW120xH55cm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主体采用厚度18mm的桦木纹环保双饰面浸渍胶膜纸饰面刨花板，面板采用厚度18mm的环保实木多层板，板材甲醛释放量≤0.05mg/m3，抗菌率≥99%，防霉性能测试结果为0%，外观质量、理化性能等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画板采用环保的水性漆，全封闭涂装工艺，漆面光泽高透，颜色均匀，抗菌率≥99%；有害物质限量；耐黄变检测，经500h以上耐人工气候老化检测结果为粉化0级，涂膜无起泡、无剥落、无裂纹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（3）五金件：采用环保五金，可迁移元素中锑、钡、镉、铅、硒、砷、铬、汞八大金属含量；防腐抗锈，经中性盐雾测试无生锈、无气泡、无粉化等腐蚀现象，符合标准要求。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（4）封边条：采用PVC封边条，表面光滑平整，环保无毒，封边细腻硬度高，线条均匀，转角过渡自然，无脱胶，表面光滑平整无胶渍。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（5）塑料：采用环保无毒材质，优质不易开裂，邻苯二甲酸酯，可迁移元素中锑、钡、镉、铅、硒、砷、铬、汞八大金属含量符合标准要求。</w:t>
            </w:r>
          </w:p>
        </w:tc>
        <w:tc>
          <w:tcPr>
            <w:tcW w:w="1398" w:type="dxa"/>
            <w:shd w:val="clear" w:color="auto" w:fill="FFFFFF" w:themeFill="background1"/>
          </w:tcPr>
          <w:p w14:paraId="09829E0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200E8AE">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9016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B77B9AF">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79</w:t>
            </w:r>
          </w:p>
        </w:tc>
        <w:tc>
          <w:tcPr>
            <w:tcW w:w="1478" w:type="dxa"/>
            <w:shd w:val="clear" w:color="auto" w:fill="auto"/>
            <w:vAlign w:val="center"/>
          </w:tcPr>
          <w:p w14:paraId="6839AB4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多功能手工桌</w:t>
            </w:r>
          </w:p>
        </w:tc>
        <w:tc>
          <w:tcPr>
            <w:tcW w:w="8969" w:type="dxa"/>
            <w:shd w:val="clear" w:color="auto" w:fill="auto"/>
            <w:vAlign w:val="center"/>
          </w:tcPr>
          <w:p w14:paraId="70EE88D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L120xW120xH78cm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规格：L120xW120xH78cm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主要采用厚度18mm的桦木纹环保双饰面浸渍胶膜纸饰面刨花板，面板采用厚度18mm的环保优质实木多层板，桌面架采用厚度12mm的环保优质实木多层板，板材甲醛释放量≤0.05mg/m3，抗菌率≥99%，防霉性能测试结果为0%，外观质量、理化性能等符合国家标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面板+桌面架采用环保的水性漆，全封闭涂装工艺，漆面光泽高透，颜色均匀，抗菌率≥99%；有害物质限量；耐黄变检测，经500h以上耐人工气候老化检测结果为粉化0级，涂膜无起泡、无剥落、无裂纹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（3）五金件：采用环保五金，可迁移元素中锑、钡、镉、铅、硒、砷、铬、汞八大金属含量；防腐抗锈，经中性盐雾测试无生锈、无气泡、无粉化等腐蚀现象，符合标准要求。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（4）塑料：采用环保无毒材质，优质不易开裂，邻苯二甲酸酯，可迁移元素中锑、钡、镉、铅、硒、砷、铬、汞八大金属含量符合标准要求。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（5）封边条：采用PVC封边条，表面光滑平整，环保无毒，封边细腻硬度高，线条均匀，转角过渡自然，无脱胶，表面光滑平整无胶渍。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（6）铁质洞洞板：采用优质冷轧铁艺，表面采用静电粉末喷涂工艺，粉末涂料经500h以上盐雾试验，无变色、无气泡、裂纹、锈蚀现象。</w:t>
            </w:r>
          </w:p>
        </w:tc>
        <w:tc>
          <w:tcPr>
            <w:tcW w:w="1398" w:type="dxa"/>
            <w:shd w:val="clear" w:color="auto" w:fill="FFFFFF" w:themeFill="background1"/>
          </w:tcPr>
          <w:p w14:paraId="79BEF8F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583BBB0">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18B9A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712ECCE">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80</w:t>
            </w:r>
          </w:p>
        </w:tc>
        <w:tc>
          <w:tcPr>
            <w:tcW w:w="1478" w:type="dxa"/>
            <w:shd w:val="clear" w:color="auto" w:fill="auto"/>
            <w:vAlign w:val="center"/>
          </w:tcPr>
          <w:p w14:paraId="57A1359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美工椅</w:t>
            </w:r>
          </w:p>
        </w:tc>
        <w:tc>
          <w:tcPr>
            <w:tcW w:w="8969" w:type="dxa"/>
            <w:shd w:val="clear" w:color="auto" w:fill="auto"/>
            <w:vAlign w:val="center"/>
          </w:tcPr>
          <w:p w14:paraId="486160E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L36xW24xH26cm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（1）座板为黑板漆贴面设计，可擦写，儿童可在椅子上书写绘画。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（1）座板：采用厚度18mm的环保实木多层板，面板贴黑色防火板，可使用粉笔进行擦写；座板为360x240mm圆角矩形造型。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脚：采用厚度15mm环保实木多层板（弯板），采用一体成型的可弯板；脚顶部折弯外弧半径为R=45mm，椅脚侧向倾角12°，侧向底部支撑脚内空为230mm；椅脚横向倾角5°，横向底部支撑脚内空为240mm，呈八字支撑增加承重力。椅脚使用环保塑料脚套包裹，尺寸为37.5x22.6x42.8mm(±2mm)，加厚耐磨，防滑不易脱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p>
        </w:tc>
        <w:tc>
          <w:tcPr>
            <w:tcW w:w="1398" w:type="dxa"/>
            <w:shd w:val="clear" w:color="auto" w:fill="FFFFFF" w:themeFill="background1"/>
          </w:tcPr>
          <w:p w14:paraId="6EECA851">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F9F95BA">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E284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700979A">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81</w:t>
            </w:r>
          </w:p>
        </w:tc>
        <w:tc>
          <w:tcPr>
            <w:tcW w:w="1478" w:type="dxa"/>
            <w:shd w:val="clear" w:color="auto" w:fill="auto"/>
            <w:vAlign w:val="center"/>
          </w:tcPr>
          <w:p w14:paraId="6D8514F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黑白板双面画架</w:t>
            </w:r>
          </w:p>
        </w:tc>
        <w:tc>
          <w:tcPr>
            <w:tcW w:w="8969" w:type="dxa"/>
            <w:shd w:val="clear" w:color="auto" w:fill="auto"/>
            <w:vAlign w:val="center"/>
          </w:tcPr>
          <w:p w14:paraId="488A52E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规格：L62xW67xH120cm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笔盒托板采用厚度15mm的环保实木多层板，板材甲醛释放量≤0.05mg/m3，抗菌率≥99%，防霉性能测试结果为0%，外观质量、理化性能等符合国家标准；画板芯材采用厚度9mm的环保实木纤维板配黑白磁铁皮书写面材；画架框架采用桦木原木，尺寸45x25mm，材质厚实坚固，纹理均匀细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（2）油漆：采用环保的水性漆，全封闭涂装工艺，漆面光泽高透，颜色均匀，抗菌率≥99%；经500h以上耐人工气候老化检测结果为粉化0级，涂膜无起泡、无剥落、无裂纹符合标准要求。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（3）五金件：采用环保五金，可迁移元素中锑、钡、镉、铅、硒、砷、铬、汞八大金属含量；防腐抗锈，经中性盐雾测试无生锈、无气泡、无粉化等腐蚀现象，符合标准要求。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（4）塑料：采用环保无毒材质，优质不易开裂，邻苯二甲酸酯，可迁移元素中锑、钡、镉、铅、硒、砷、铬、汞八大金属含量符合标准要求。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（5）脚轮：1.5寸TPR静音万向脚轮，轮面光洁，无裂纹、伤痕、毛边等缺陷；金属件表面光滑平整、无锈蚀、毛刺、露底等缺陷。</w:t>
            </w:r>
          </w:p>
        </w:tc>
        <w:tc>
          <w:tcPr>
            <w:tcW w:w="1398" w:type="dxa"/>
            <w:shd w:val="clear" w:color="auto" w:fill="FFFFFF" w:themeFill="background1"/>
          </w:tcPr>
          <w:p w14:paraId="39D6BE1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1971634">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2362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B5A254D">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82</w:t>
            </w:r>
          </w:p>
        </w:tc>
        <w:tc>
          <w:tcPr>
            <w:tcW w:w="1478" w:type="dxa"/>
            <w:shd w:val="clear" w:color="auto" w:fill="auto"/>
            <w:vAlign w:val="center"/>
          </w:tcPr>
          <w:p w14:paraId="6AD738E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蒙泰基6人桌.可调节</w:t>
            </w:r>
          </w:p>
        </w:tc>
        <w:tc>
          <w:tcPr>
            <w:tcW w:w="8969" w:type="dxa"/>
            <w:shd w:val="clear" w:color="auto" w:fill="auto"/>
            <w:vAlign w:val="center"/>
          </w:tcPr>
          <w:p w14:paraId="4DD1957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规格：L120xW60xH49/52/55cm可调节高度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浅咖色塑料调节脚套环，螺旋结构方便调节，每个脚套环规格为φ48xH55mm，选择安装不同的数量可满足不同的高度需求，可调高度为490/520/550mm；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187D7E1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A3DD659">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98EE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4B6B541">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83</w:t>
            </w:r>
          </w:p>
        </w:tc>
        <w:tc>
          <w:tcPr>
            <w:tcW w:w="1478" w:type="dxa"/>
            <w:shd w:val="clear" w:color="auto" w:fill="auto"/>
            <w:vAlign w:val="center"/>
          </w:tcPr>
          <w:p w14:paraId="7AE3FBD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蒙泰基4人桌.可调节</w:t>
            </w:r>
          </w:p>
        </w:tc>
        <w:tc>
          <w:tcPr>
            <w:tcW w:w="8969" w:type="dxa"/>
            <w:shd w:val="clear" w:color="auto" w:fill="auto"/>
            <w:vAlign w:val="center"/>
          </w:tcPr>
          <w:p w14:paraId="121D091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规格：L60xW60xH49/52/55cm可调节高度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（1）桌面背面设置有4个塑料连接件，桌脚使用螺旋安装方式与桌面连接，方便拆卸。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（2）桌脚底部安装可调节塑料件，可通过调整塑料件的数量来改变桌面的整体高度。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（3）所有螺丝位无毛刺不刮手，桌角及边沿采用R30mm圆角/圆边处理以及安全防撞设计。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桌面：采用厚度24mm的环保实木多层板，桌面与桌脚链接安装4个环保塑料一次成型尺寸为L187xW150xH66mm的扇形脚座连接件，脚座设置一个外直径50mm连接桌脚，呈浅咖色，表面光滑无毛刺，线条圆润，桌脚直接螺旋拧上即完成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桌脚：采用直径φ48mm的桦木原木搭配浅咖色塑料调节脚套环，螺旋结构方便调节，每个脚套环规格为φ48xH55mm，选择安装不同的数量可满足不同的高度需求，可调高度为490/520/550mm；桌脚底部是直径62mm高度40mm的塑料脚垫，脚垫底部安装可调螺旋塑料脚垫直径39.5mm，可适应个别不平整的地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（3）采用环保的水性漆，全封闭涂装工艺，漆面光泽高透，颜色均匀。</w:t>
            </w:r>
          </w:p>
        </w:tc>
        <w:tc>
          <w:tcPr>
            <w:tcW w:w="1398" w:type="dxa"/>
            <w:shd w:val="clear" w:color="auto" w:fill="FFFFFF" w:themeFill="background1"/>
          </w:tcPr>
          <w:p w14:paraId="2D70273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42C16BD7">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9A90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B9DE3ED">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84</w:t>
            </w:r>
          </w:p>
        </w:tc>
        <w:tc>
          <w:tcPr>
            <w:tcW w:w="1478" w:type="dxa"/>
            <w:shd w:val="clear" w:color="auto" w:fill="auto"/>
            <w:vAlign w:val="center"/>
          </w:tcPr>
          <w:p w14:paraId="1252119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围裙综合收纳架</w:t>
            </w:r>
          </w:p>
        </w:tc>
        <w:tc>
          <w:tcPr>
            <w:tcW w:w="8969" w:type="dxa"/>
            <w:shd w:val="clear" w:color="auto" w:fill="auto"/>
            <w:vAlign w:val="center"/>
          </w:tcPr>
          <w:p w14:paraId="6AD406B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L100xW40xH110cm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（1）多功能收纳，分布均匀，独立铭牌设计，方便管理。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顶部带8个φ70mm的孔位置物板，可放8个烟灰橄榄绿颜料杯/笔筒，杯子尺寸φ78xH94mm，采用环保塑料材质，一体成型；板面离地1000mm。中部安装直径19mm挂杆，离地790mm；下方共8个环保塑料3合1挂勾，挂钩设计有透明塑料翻盖铭牌，尺寸49.5x43.5mm,可放入孩子的1寸照片。挂钩呈浅咖色，圆滑无毛刺。底部大空间收纳，可放置4个塑料一次成型教具盒，尺寸L20xW28xH15cm浅咖色。两面各配置2个Ф38x28mm的木质拉手，方便移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（2）底部安装4个静音万向脚轮，脚轮运行平稳无声，可360°旋转，转动顺滑，其中2个脚轮带刹车功能，刹车灵敏，踏板不易断裂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398" w:type="dxa"/>
            <w:shd w:val="clear" w:color="auto" w:fill="FFFFFF" w:themeFill="background1"/>
          </w:tcPr>
          <w:p w14:paraId="735A5B8B">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F3F1EB0">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8DFA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1C8D8FC">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85</w:t>
            </w:r>
          </w:p>
        </w:tc>
        <w:tc>
          <w:tcPr>
            <w:tcW w:w="1478" w:type="dxa"/>
            <w:shd w:val="clear" w:color="auto" w:fill="auto"/>
            <w:vAlign w:val="center"/>
          </w:tcPr>
          <w:p w14:paraId="116137A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四层置物架</w:t>
            </w:r>
          </w:p>
        </w:tc>
        <w:tc>
          <w:tcPr>
            <w:tcW w:w="8969" w:type="dxa"/>
            <w:shd w:val="clear" w:color="auto" w:fill="auto"/>
            <w:vAlign w:val="center"/>
          </w:tcPr>
          <w:p w14:paraId="6B4C3E0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L80×W30×H132cm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（2）顶部白板可擦写，便于材料分类。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15mm的桦木纹饰面环保橡胶木拼板。架体最高一层板均为活动层板，侧板中上位置安装6卡位的层板塑料支撑条L165mm，内嵌式安装嵌入深度≥4.5mm，固定条凸11mm,每卡位间距30mm，可在最大高低差150mm间选择层板放置高度；顶部中间位置安装高120mm挡板，单面贴白色书写防火板，可擦写；两边侧板镂空宽度为：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（2）整体分四层，包含三块层板，底下两层高度固定，内空长度均为770mm，高度均为263mm。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p>
        </w:tc>
        <w:tc>
          <w:tcPr>
            <w:tcW w:w="1398" w:type="dxa"/>
            <w:shd w:val="clear" w:color="auto" w:fill="FFFFFF" w:themeFill="background1"/>
          </w:tcPr>
          <w:p w14:paraId="5456BC42">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68B5E15">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0E2B6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D2FFE87">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86</w:t>
            </w:r>
          </w:p>
        </w:tc>
        <w:tc>
          <w:tcPr>
            <w:tcW w:w="1478" w:type="dxa"/>
            <w:shd w:val="clear" w:color="auto" w:fill="auto"/>
            <w:vAlign w:val="center"/>
          </w:tcPr>
          <w:p w14:paraId="5E74442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三层置物架</w:t>
            </w:r>
          </w:p>
        </w:tc>
        <w:tc>
          <w:tcPr>
            <w:tcW w:w="8969" w:type="dxa"/>
            <w:shd w:val="clear" w:color="auto" w:fill="auto"/>
            <w:vAlign w:val="center"/>
          </w:tcPr>
          <w:p w14:paraId="0E6F453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L80×W30×H104cm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（1）层板可调设计，提高空间利用率。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（2）顶部白板可擦写，便于材料分类。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主体采用厚度15mm的桦木纹饰面环保橡胶木拼板。架体最高一层板均为活动层板，侧板中上位置安装6卡位的层板塑料支撑条L165mm，内嵌式安装嵌入深度≥4.5mm，固定条凸11mm,每卡位间距30mm，可在最大高低差150mm间选择层板放置高度；顶部中间位置安装高120mm挡板，单面贴白色书写防火板，可擦写；两边侧板镂空宽度为：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（2）整体分五层，包含四块层板，下三层高度固定，内空长度均为770mm，高度均为263mm。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p>
        </w:tc>
        <w:tc>
          <w:tcPr>
            <w:tcW w:w="1398" w:type="dxa"/>
            <w:shd w:val="clear" w:color="auto" w:fill="FFFFFF" w:themeFill="background1"/>
          </w:tcPr>
          <w:p w14:paraId="3EC53E53">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7FC407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D3A8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52D3C18">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87</w:t>
            </w:r>
          </w:p>
        </w:tc>
        <w:tc>
          <w:tcPr>
            <w:tcW w:w="1478" w:type="dxa"/>
            <w:shd w:val="clear" w:color="auto" w:fill="auto"/>
            <w:vAlign w:val="center"/>
          </w:tcPr>
          <w:p w14:paraId="2E21263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木制储物推车</w:t>
            </w:r>
          </w:p>
        </w:tc>
        <w:tc>
          <w:tcPr>
            <w:tcW w:w="8969" w:type="dxa"/>
            <w:shd w:val="clear" w:color="auto" w:fill="auto"/>
            <w:vAlign w:val="center"/>
          </w:tcPr>
          <w:p w14:paraId="44619E6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L90xW50xH81cm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（1）储物式推车，收纳空间大，方便物品转移；脚轮带刹车设计，操作便捷。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（1）采用厚度15mm的桦木纹饰面环保橡胶木拼板，三层储物盒内空尺寸：870x460x60mm，层间间距：245mm；侧板镂空大小：380x245mm。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（2）底部安装4个高度为80mm的优质平底万向脚轮，脚轮运行平稳无声，可360°旋转，转动顺滑，刹车灵敏，踏板不易断裂。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（3）木蜡油：采用环保的水性木蜡油封边，成分天然，分子机构细小，成膜牢固，密封性好，环保无毒。</w:t>
            </w:r>
          </w:p>
        </w:tc>
        <w:tc>
          <w:tcPr>
            <w:tcW w:w="1398" w:type="dxa"/>
            <w:shd w:val="clear" w:color="auto" w:fill="FFFFFF" w:themeFill="background1"/>
          </w:tcPr>
          <w:p w14:paraId="4052CE22">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BEFC494">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0EFA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DD66639">
            <w:pPr>
              <w:keepNext w:val="0"/>
              <w:keepLines w:val="0"/>
              <w:widowControl/>
              <w:suppressLineNumbers w:val="0"/>
              <w:jc w:val="center"/>
              <w:textAlignment w:val="center"/>
              <w:rPr>
                <w:rFonts w:hint="default"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88</w:t>
            </w:r>
          </w:p>
        </w:tc>
        <w:tc>
          <w:tcPr>
            <w:tcW w:w="1478" w:type="dxa"/>
            <w:shd w:val="clear" w:color="auto" w:fill="auto"/>
            <w:vAlign w:val="center"/>
          </w:tcPr>
          <w:p w14:paraId="0D82D55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铁艺收纳展示柜组合</w:t>
            </w:r>
          </w:p>
        </w:tc>
        <w:tc>
          <w:tcPr>
            <w:tcW w:w="8969" w:type="dxa"/>
            <w:shd w:val="clear" w:color="auto" w:fill="auto"/>
            <w:vAlign w:val="center"/>
          </w:tcPr>
          <w:p w14:paraId="5B3F566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L246xW41xH126cm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（1）层板可调节，柜体间利用铁艺挂杆组合，能存放不同尺寸的材料，适用多场景下使用。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（2）铁架表面采用静电粉末喷涂工艺，圆润光滑，防腐抗锈，坚固耐用。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（3）所有板材截面均采用全自动封边机精加工封边处理，保证封边界面平整，让封边条和板材贴合紧密。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（1）采用厚度25mm的桦木纹环保双饰面浸渍胶膜纸饰面刨花板；铁架框使用φ12mm的挂杆，采用优质冷轧铁艺，表面采用静电粉末喷涂工艺。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层板尺寸：800x400x25mm；每层分别间隔375/175/175mm；顶部造型支架距离面板高370mm；支撑铁架每200mm高度一个安装档位，可自由选择层板安装位置，拆装便捷。其中一个柜体背板安装2块白色铁艺双面洞洞板，尺寸L834x400x16mm，可挂各种物件，配套2个L230xW90xH50mm铁艺收纳盒，4个L75xW65xH110mm铁艺笔盒，5个铁艺文件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（3）封边条：采用厚度1.5mmPVC封边条，表面光滑平整，环保无毒，封边细腻硬度高，线条均匀，转角过渡自然，无脱胶，表面光滑平整无胶渍。</w:t>
            </w:r>
          </w:p>
        </w:tc>
        <w:tc>
          <w:tcPr>
            <w:tcW w:w="1398" w:type="dxa"/>
            <w:shd w:val="clear" w:color="auto" w:fill="FFFFFF" w:themeFill="background1"/>
          </w:tcPr>
          <w:p w14:paraId="1756020A">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08D21B0">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42734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8A65B05">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89</w:t>
            </w:r>
          </w:p>
        </w:tc>
        <w:tc>
          <w:tcPr>
            <w:tcW w:w="1478" w:type="dxa"/>
            <w:shd w:val="clear" w:color="auto" w:fill="auto"/>
            <w:vAlign w:val="center"/>
          </w:tcPr>
          <w:p w14:paraId="67092BA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雪松造型阅读桌</w:t>
            </w:r>
          </w:p>
        </w:tc>
        <w:tc>
          <w:tcPr>
            <w:tcW w:w="8969" w:type="dxa"/>
            <w:shd w:val="clear" w:color="auto" w:fill="auto"/>
            <w:vAlign w:val="center"/>
          </w:tcPr>
          <w:p w14:paraId="5D98111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L120xW80xH90cm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（1）雪松造型，兼具装饰、阅读、休息功能。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（1）采用厚度18mm的环保实木多层板。桌面最底处离地549mm，桌面宽316mm，与水平面夹角15°；桌面档条18mm厚/40mm宽；顶部搁物盒内空L1164xW80xL59mm，双面贴白色书写防火板，可水性笔书写。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（3）油漆：采用环保的水性漆，全封闭涂装工艺，漆面光泽高透，颜色均匀。</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（4）油墨：采用环保水性油墨，颜色饱满，无毒无异味。</w:t>
            </w:r>
          </w:p>
        </w:tc>
        <w:tc>
          <w:tcPr>
            <w:tcW w:w="1398" w:type="dxa"/>
            <w:shd w:val="clear" w:color="auto" w:fill="FFFFFF" w:themeFill="background1"/>
          </w:tcPr>
          <w:p w14:paraId="40AFB646">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16083CD">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CBBA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EA18688">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90</w:t>
            </w:r>
          </w:p>
        </w:tc>
        <w:tc>
          <w:tcPr>
            <w:tcW w:w="1478" w:type="dxa"/>
            <w:shd w:val="clear" w:color="auto" w:fill="auto"/>
            <w:vAlign w:val="center"/>
          </w:tcPr>
          <w:p w14:paraId="5C75B7E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原木拱桥椅.27cm</w:t>
            </w:r>
          </w:p>
        </w:tc>
        <w:tc>
          <w:tcPr>
            <w:tcW w:w="8969" w:type="dxa"/>
            <w:shd w:val="clear" w:color="auto" w:fill="auto"/>
            <w:vAlign w:val="center"/>
          </w:tcPr>
          <w:p w14:paraId="39EC912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L30xW30xH53cm（座高27cm）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（1）整体为工字框架，拆装结构，使用木梢做榫孔定位加固安装，使用二合一、自攻丝进行连接，组搭安装便捷。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（2）背板拱桥造型、圆孔提手设计，兼具美观与实用。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（1）座板：采用厚度12mm的饰面环保实木多层板双贴橡胶木纹皮；座高:270mm；座深:270mm；座宽:290mm。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椅背：采用厚度18mm的饰面环保实木多层板双贴橡胶木纹皮，顶部为原木色木拱桥造型，靠背最大高度109mm,最小高度105mm，圆滑对称；圆滑对称；中间椭圆提手孔设计手提便携，孔位尺寸：80x30mm；背板加宽，弧形修饰，使坐姿靠背更舒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（3）椅脚：椅脚厚度22mm、其余框架厚度18mm的环保橡胶木拼板，底部安装塑料脚垫，高度为H6.5mm，直径19mm，软性防滑。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（4）产品整体采用环保的水性漆，全封闭涂装工艺，漆面光泽高透，颜色均匀，附着能力强，通透度高。座板及靠背采用环保的水性木蜡油封边，成分天然，分子机构细小，成膜牢固，密封性好。</w:t>
            </w:r>
          </w:p>
        </w:tc>
        <w:tc>
          <w:tcPr>
            <w:tcW w:w="1398" w:type="dxa"/>
            <w:shd w:val="clear" w:color="auto" w:fill="FFFFFF" w:themeFill="background1"/>
          </w:tcPr>
          <w:p w14:paraId="6F567CD0">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D8ACCC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C993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5B84A44">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91</w:t>
            </w:r>
          </w:p>
        </w:tc>
        <w:tc>
          <w:tcPr>
            <w:tcW w:w="1478" w:type="dxa"/>
            <w:shd w:val="clear" w:color="auto" w:fill="auto"/>
            <w:vAlign w:val="center"/>
          </w:tcPr>
          <w:p w14:paraId="2E63EE6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4层分类书柜</w:t>
            </w:r>
          </w:p>
        </w:tc>
        <w:tc>
          <w:tcPr>
            <w:tcW w:w="8969" w:type="dxa"/>
            <w:shd w:val="clear" w:color="auto" w:fill="auto"/>
            <w:vAlign w:val="center"/>
          </w:tcPr>
          <w:p w14:paraId="445C378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L90xW30xH121cm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（1）4层分类多方式收纳书架，能适用多种书籍的摆放。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（2）顶部白板可擦写，能方便标签分类。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16mm的桦木纹/乳白色的环保双饰面浸渍胶膜纸饰面刨花板，及厚度18mm的乳白色的环保双饰面浸渍胶膜纸饰面实木多层板。顶部(白色挡板位置)可收纳，内空尺寸：870x258x40mm；上层3个格子，每个格子内空尺寸：280x300x250mm，底层通透1格，内空尺寸：870x300x210mm，中间为2层斜靠书架，层高尺寸：270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（3）封边条：采用厚度1.5mmPVC封边条，表面光滑平整，环保无毒，封边细腻硬度高，线条均匀，转角过渡自然，无脱胶，表面光滑平整无胶渍。</w:t>
            </w:r>
          </w:p>
        </w:tc>
        <w:tc>
          <w:tcPr>
            <w:tcW w:w="1398" w:type="dxa"/>
            <w:shd w:val="clear" w:color="auto" w:fill="FFFFFF" w:themeFill="background1"/>
          </w:tcPr>
          <w:p w14:paraId="67E5A610">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5755977">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0202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1D089D37">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92</w:t>
            </w:r>
          </w:p>
        </w:tc>
        <w:tc>
          <w:tcPr>
            <w:tcW w:w="1478" w:type="dxa"/>
            <w:shd w:val="clear" w:color="auto" w:fill="auto"/>
            <w:vAlign w:val="center"/>
          </w:tcPr>
          <w:p w14:paraId="3395DA0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小方桌</w:t>
            </w:r>
          </w:p>
        </w:tc>
        <w:tc>
          <w:tcPr>
            <w:tcW w:w="8969" w:type="dxa"/>
            <w:shd w:val="clear" w:color="auto" w:fill="auto"/>
            <w:vAlign w:val="center"/>
          </w:tcPr>
          <w:p w14:paraId="4006978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规格：L60xW60xH30cm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基材：桌面采用厚度24mm的环保实木多层板，板材甲醛释放量≤0.05mg/m3，抗菌率≥99%，防霉性能测试结果为0%，外观质量、理化性能等符合国家标准；桌脚采用桦木原木，直径φ48mm，材质厚实坚固，纹理均匀细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（2）油漆：采用环保的水性漆，全封闭涂装工艺，漆面光泽高透，颜色均匀，抗菌率≥99%；经500h以上耐人工气候老化检测结果为粉化0级，涂膜无起泡、无剥落、无裂纹符合标准要求。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（3）五金件：采用环保五金，可迁移元素中锑、钡、镉、铅、硒、砷、铬、汞八大金属含量；防腐抗锈，经中性盐雾测试无生锈、无气泡、无粉化等腐蚀现象，符合标准要求。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（4）塑料连接件：采用环保无毒塑料，材质坚硬，邻苯二甲酸酯，可迁移元素中锑、钡、镉、铅、硒、砷、铬、汞八大金属含量符合标准要求。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（5）塑料：采用环保无毒材质，优质不易开裂，邻苯二甲酸酯，可迁移元素中锑、钡、镉、铅、硒、砷、铬、汞八大金属含量符合标准要求。</w:t>
            </w:r>
          </w:p>
        </w:tc>
        <w:tc>
          <w:tcPr>
            <w:tcW w:w="1398" w:type="dxa"/>
            <w:shd w:val="clear" w:color="auto" w:fill="FFFFFF" w:themeFill="background1"/>
          </w:tcPr>
          <w:p w14:paraId="6A87802A">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C5E23AC">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35C7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0D02215">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93</w:t>
            </w:r>
          </w:p>
        </w:tc>
        <w:tc>
          <w:tcPr>
            <w:tcW w:w="1478" w:type="dxa"/>
            <w:shd w:val="clear" w:color="auto" w:fill="auto"/>
            <w:vAlign w:val="center"/>
          </w:tcPr>
          <w:p w14:paraId="0CD171C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巴士造型图书修补桌</w:t>
            </w:r>
          </w:p>
        </w:tc>
        <w:tc>
          <w:tcPr>
            <w:tcW w:w="8969" w:type="dxa"/>
            <w:shd w:val="clear" w:color="auto" w:fill="auto"/>
            <w:vAlign w:val="center"/>
          </w:tcPr>
          <w:p w14:paraId="3FF33F7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规格：L100xW40xH90cm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（1）逼真巴士造型设计，配件丰富。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（3）铁艺表面采用静电粉末喷涂工艺，圆润光滑，防腐抗锈，坚固耐用。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（1）柜体采用厚度15mm的桦木纹饰面环保橡胶木拼板，桌面离地高度：520mm；侧板高度：630mm；顶部窗口镂空尺寸：680x160mm，顶部白板可使用水性笔进行擦写。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（2）门板内格子宽度：250mm，深度：360mm，上格高150mm，下格高：210mm，门板内装缓冲铰链，能实现门板开合。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（3）内侧板安装黑色方孔洞洞板，尺寸：L347xW347mm，产品搭配1个铁质收纳盒，尺寸：L230xW90xH50mm，1个铁质笔筒，尺寸：L75xW65xH110mm；以上配件均采用优质冷轧铁艺，表面采用静电粉末喷涂工艺。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（4）底部安装塑料脚垫，尺寸为Φ17xH10mm，共8个，软性防滑。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（6）油墨：采用环保水性油墨，颜色饱满，无毒无异味。</w:t>
            </w:r>
          </w:p>
        </w:tc>
        <w:tc>
          <w:tcPr>
            <w:tcW w:w="1398" w:type="dxa"/>
            <w:shd w:val="clear" w:color="auto" w:fill="FFFFFF" w:themeFill="background1"/>
          </w:tcPr>
          <w:p w14:paraId="4E2FA240">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79EE39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469A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FB6B5F8">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94</w:t>
            </w:r>
          </w:p>
        </w:tc>
        <w:tc>
          <w:tcPr>
            <w:tcW w:w="1478" w:type="dxa"/>
            <w:shd w:val="clear" w:color="auto" w:fill="auto"/>
            <w:vAlign w:val="center"/>
          </w:tcPr>
          <w:p w14:paraId="038E279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造型高书柜.圆形镂空</w:t>
            </w:r>
          </w:p>
        </w:tc>
        <w:tc>
          <w:tcPr>
            <w:tcW w:w="8969" w:type="dxa"/>
            <w:shd w:val="clear" w:color="auto" w:fill="auto"/>
            <w:vAlign w:val="center"/>
          </w:tcPr>
          <w:p w14:paraId="60C1115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L240xW35xH255cm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（1）圆形+软包阅读空间，营造舒适的阅读环境，增强幼儿的阅读兴趣。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（2）顶部绿色与白色半圆造型，集收纳、陈列、展示、休息于一体，既能独立摆放又易于搭配其他产品摆出空间造型。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（1）柜体采用厚度16mm的桦木纹/乳白色的环保双饰面浸渍胶膜纸饰面刨花板，造型板采用厚度18mm的桦木纹/乳白色双饰面实木多层板，背板采用厚度5mm的饰面环保实木纤维板。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高度：2200mm；造型圆内空直径：1020mm，内置软垫，尺寸：1170x270x50mm，面料柔软透气不闷热，坐垫内部填充环保高弹海绵，密度≥30kg/m³，回弹性强，不易变形，能拆卸清洗；中间设置宽80mm的书架挡板条，呈乳白色；坐垫下层为3格收纳，内控为377x142mm。右侧柜书架背板与垂直方向倾斜夹角为20°,每层间隔244mm；中间层为3格收纳，内控为304x377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（3）顶部为三个φ900mm半圆组成的圆弧造型，呈奶白，奶绿色。底部围脚高度60mm，底部安装塑料脚垫，高度为H10mm，直径17mm，总共16个，软性防滑。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（4）封边条：采用厚度1.5mmPVC封边条，表面光滑平整，环保无毒，封边细腻硬度高，线条均匀，转角过渡自然，无脱胶，表面光滑平整无胶渍。</w:t>
            </w:r>
          </w:p>
        </w:tc>
        <w:tc>
          <w:tcPr>
            <w:tcW w:w="1398" w:type="dxa"/>
            <w:shd w:val="clear" w:color="auto" w:fill="FFFFFF" w:themeFill="background1"/>
          </w:tcPr>
          <w:p w14:paraId="15FF9F99">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BD8C2FB">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3C52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A72238C">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95</w:t>
            </w:r>
          </w:p>
        </w:tc>
        <w:tc>
          <w:tcPr>
            <w:tcW w:w="1478" w:type="dxa"/>
            <w:shd w:val="clear" w:color="auto" w:fill="auto"/>
            <w:vAlign w:val="center"/>
          </w:tcPr>
          <w:p w14:paraId="49FEA6B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造型高书柜.方形镂空</w:t>
            </w:r>
          </w:p>
        </w:tc>
        <w:tc>
          <w:tcPr>
            <w:tcW w:w="8969" w:type="dxa"/>
            <w:shd w:val="clear" w:color="auto" w:fill="auto"/>
            <w:vAlign w:val="center"/>
          </w:tcPr>
          <w:p w14:paraId="4655908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L240xW35xH255cm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（1）方形+软包阅读空间，营造舒适的阅读环境，增强幼儿的阅读兴趣。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（2）顶部绿色与白色半圆造型，集收纳、陈列、展示、休息于一体，既能独立摆放又易于搭配其他产品摆出空间造型。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（1）柜体采用厚度16mm的桦木纹/乳白色的环保双饰面浸渍胶膜纸饰面刨花板，侧板、造型板采用厚度18mm的桦木纹/乳白色双饰面实木多层板，背板采用厚度5mm的饰面环保实木纤维板。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柜体高度：2200mm；造型方形内空：924x938mm，内置软垫，尺寸：1170x320x50mm，面料柔软透气不闷热，坐垫内部填充环保高弹海绵，密度≥30kg/m³，回弹性强，不易变形，能拆卸清洗；中间设置宽80mm的书架挡板条，呈乳白色；坐垫下层为3格收纳，内控为377x142mm；右侧柜书架背板与垂直方向倾斜夹角为20°,每层间隔244mm；中间层为3格收纳，内控为304x377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（3）顶部为三个φ900mm半圆组成的圆弧造型，呈奶白，奶绿色。底部围脚高度60mm，底部安装塑料脚垫，高度为H10mm，直径17mm，总共16个，软性防滑。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（4）封边条：采用厚度1.5mmPVC封边条，表面光滑平整，环保无毒，封边细腻硬度高，线条均匀，转角过渡自然，无脱胶，表面光滑平整无胶渍。</w:t>
            </w:r>
          </w:p>
        </w:tc>
        <w:tc>
          <w:tcPr>
            <w:tcW w:w="1398" w:type="dxa"/>
            <w:shd w:val="clear" w:color="auto" w:fill="FFFFFF" w:themeFill="background1"/>
          </w:tcPr>
          <w:p w14:paraId="0674715F">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1BDE1C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33D4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3B7730C3">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96</w:t>
            </w:r>
          </w:p>
        </w:tc>
        <w:tc>
          <w:tcPr>
            <w:tcW w:w="1478" w:type="dxa"/>
            <w:shd w:val="clear" w:color="auto" w:fill="auto"/>
            <w:vAlign w:val="center"/>
          </w:tcPr>
          <w:p w14:paraId="251D705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移动小书架</w:t>
            </w:r>
          </w:p>
        </w:tc>
        <w:tc>
          <w:tcPr>
            <w:tcW w:w="8969" w:type="dxa"/>
            <w:shd w:val="clear" w:color="auto" w:fill="auto"/>
            <w:vAlign w:val="center"/>
          </w:tcPr>
          <w:p w14:paraId="351E25F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L35xW25xH43.5cm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（1）带提手孔与万向轮设计，移动或提放切换便捷。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12mm的桦木纹饰面环保橡胶木拼板。小书架整体半月弧设计，背板整体高400mm,顶部设置提手孔，呈圆矩形，尺寸为：120x30mm，大小高度适合小孩自主拉动，增加孩子们的互动性。两侧板高度320mm形成高低错落感，储放物品一目了然。书架中间竖板隔开上下两个格子，竖板高度206mm前挡板高140mm，呈高低错落，便于竖放大小不同的图书，上下格内空分别尺寸：320x105x206mm/320x105x140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（2）底部安装4个1寸静音万向脚轮，脚轮运行平稳无声，可360°旋转，转动顺滑。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（3）木蜡油：采用环保的水性木蜡油封边，成分天然，分子机构细小，成膜牢固，密封性好。</w:t>
            </w:r>
          </w:p>
        </w:tc>
        <w:tc>
          <w:tcPr>
            <w:tcW w:w="1398" w:type="dxa"/>
            <w:shd w:val="clear" w:color="auto" w:fill="FFFFFF" w:themeFill="background1"/>
          </w:tcPr>
          <w:p w14:paraId="4D29F654">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6108908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1460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CD6A926">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97</w:t>
            </w:r>
          </w:p>
        </w:tc>
        <w:tc>
          <w:tcPr>
            <w:tcW w:w="1478" w:type="dxa"/>
            <w:shd w:val="clear" w:color="auto" w:fill="auto"/>
            <w:vAlign w:val="center"/>
          </w:tcPr>
          <w:p w14:paraId="13B9B74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秘密游戏树洞</w:t>
            </w:r>
          </w:p>
        </w:tc>
        <w:tc>
          <w:tcPr>
            <w:tcW w:w="8969" w:type="dxa"/>
            <w:shd w:val="clear" w:color="auto" w:fill="auto"/>
            <w:vAlign w:val="center"/>
          </w:tcPr>
          <w:p w14:paraId="6BF320C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L103xW42xH150cm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（1）特色高顶松造型设计，吊牌黑板可擦写。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（2）配件丰富，布艺装饰，软化环境，能适用多场景下使用，提高趣味性。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柜体采用厚度18mm的环保实木多层板，前后造型挡板采用厚度12mm的环保实木多层板。前后造型板呈两层高顶松造型，最顶部（即树顶）采用R30mm圆角处理，造型板前后可挂小黑板。)。支撑圆棒采用桦木原木，共6条，尺寸为：φ22x396mm，屋顶搭配长2.4米的1条浅绿色半透帐纱以及1条白色半透帐纱，顶部使用一条魔术贴（无魔术贴）可轻松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(2）坐垫面离地高度：280mm，坐垫呈灰白色，尺寸为L770xW390xH30mm，面料柔软透气不闷热，坐垫内部填充环保高弹海绵，回弹性强，能拆卸清洗；坐柜下是2个左右对称的收纳格，内空尺寸为L376xW396xH145mm。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(3)围脚长度770mm,高60mm,底部安装塑料脚垫，高度为H10mm，直径17mm,共8个软性防滑。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(4)搭配：产品包含1块尺寸为L200xW150mm的吊牌黑板，表面贴黑色防火板，可使用粉笔进行擦写；1个450x450mm大小流苏方形抱枕，颜色姜黄色；1条浅绿色半透帐纱；1条白色半透帐纱；收纳布袋尺寸L300xW220mm。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（5）油漆：采用环保的水性漆，全封闭涂装工艺，漆面光泽高透，颜色均匀。</w:t>
            </w:r>
          </w:p>
        </w:tc>
        <w:tc>
          <w:tcPr>
            <w:tcW w:w="1398" w:type="dxa"/>
            <w:shd w:val="clear" w:color="auto" w:fill="FFFFFF" w:themeFill="background1"/>
          </w:tcPr>
          <w:p w14:paraId="263146B1">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1303B4A">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CF49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25AC781C">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98</w:t>
            </w:r>
          </w:p>
        </w:tc>
        <w:tc>
          <w:tcPr>
            <w:tcW w:w="1478" w:type="dxa"/>
            <w:shd w:val="clear" w:color="auto" w:fill="auto"/>
            <w:vAlign w:val="center"/>
          </w:tcPr>
          <w:p w14:paraId="5C9ED66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怀抱单人布艺沙发.天蓝</w:t>
            </w:r>
          </w:p>
        </w:tc>
        <w:tc>
          <w:tcPr>
            <w:tcW w:w="8969" w:type="dxa"/>
            <w:shd w:val="clear" w:color="auto" w:fill="auto"/>
            <w:vAlign w:val="center"/>
          </w:tcPr>
          <w:p w14:paraId="1955A4A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L60xW50xH61cm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1.面料材质：采用优质环保的涤纶纤维织造布料，颜色天蓝色，仿棉麻材质，耐磨，免洗。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3.产品特点：单人座，脚柱采用原木，经抛光上透明清漆。</w:t>
            </w:r>
          </w:p>
        </w:tc>
        <w:tc>
          <w:tcPr>
            <w:tcW w:w="1398" w:type="dxa"/>
            <w:shd w:val="clear" w:color="auto" w:fill="FFFFFF" w:themeFill="background1"/>
          </w:tcPr>
          <w:p w14:paraId="2FF8A5C5">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7641D688">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64F56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710562F4">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99</w:t>
            </w:r>
          </w:p>
        </w:tc>
        <w:tc>
          <w:tcPr>
            <w:tcW w:w="1478" w:type="dxa"/>
            <w:shd w:val="clear" w:color="auto" w:fill="auto"/>
            <w:vAlign w:val="center"/>
          </w:tcPr>
          <w:p w14:paraId="060737B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月亮造型皮沙发组合</w:t>
            </w:r>
          </w:p>
        </w:tc>
        <w:tc>
          <w:tcPr>
            <w:tcW w:w="8969" w:type="dxa"/>
            <w:shd w:val="clear" w:color="auto" w:fill="auto"/>
            <w:vAlign w:val="center"/>
          </w:tcPr>
          <w:p w14:paraId="55CF387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规格：Ф35xH26cm（单个）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1.框架材质：采用环保实木内框架，坚实牢固。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2.面料材质：采用厚度1.5mm聚氨酯合成革超柔皮，触感轻柔，绿色环保，耐磨耐用。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3.填充材质：海绵，密度≥30kg/m³，回弹性强，不易变形。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4.产品特点：月亮造型，沙发底部安装环保塑料脚钉，软性防滑。</w:t>
            </w:r>
          </w:p>
        </w:tc>
        <w:tc>
          <w:tcPr>
            <w:tcW w:w="1398" w:type="dxa"/>
            <w:shd w:val="clear" w:color="auto" w:fill="FFFFFF" w:themeFill="background1"/>
          </w:tcPr>
          <w:p w14:paraId="680CF0D2">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3A32913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215B7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0962407A">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100</w:t>
            </w:r>
          </w:p>
        </w:tc>
        <w:tc>
          <w:tcPr>
            <w:tcW w:w="1478" w:type="dxa"/>
            <w:shd w:val="clear" w:color="auto" w:fill="auto"/>
            <w:vAlign w:val="center"/>
          </w:tcPr>
          <w:p w14:paraId="64DDA40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森林小草地毯</w:t>
            </w:r>
          </w:p>
        </w:tc>
        <w:tc>
          <w:tcPr>
            <w:tcW w:w="8969" w:type="dxa"/>
            <w:shd w:val="clear" w:color="auto" w:fill="auto"/>
            <w:vAlign w:val="center"/>
          </w:tcPr>
          <w:p w14:paraId="475D6A4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规格：L270xW200cm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1.采用优质尼龙环保材料，弹性好而且富有光泽，具有很好的耐磨性和脚感，底部带防滑垫。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2.小草元素地毯内容丰富多彩，可让小朋友在游戏中学会认知，在课室的区角摆放中增添色彩。</w:t>
            </w:r>
          </w:p>
        </w:tc>
        <w:tc>
          <w:tcPr>
            <w:tcW w:w="1398" w:type="dxa"/>
            <w:shd w:val="clear" w:color="auto" w:fill="FFFFFF" w:themeFill="background1"/>
          </w:tcPr>
          <w:p w14:paraId="5A325547">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AEDAA1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35CF0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4B244017">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101</w:t>
            </w:r>
          </w:p>
        </w:tc>
        <w:tc>
          <w:tcPr>
            <w:tcW w:w="1478" w:type="dxa"/>
            <w:shd w:val="clear" w:color="auto" w:fill="auto"/>
            <w:vAlign w:val="center"/>
          </w:tcPr>
          <w:p w14:paraId="0BAC7ED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列车造型书柜ABC</w:t>
            </w:r>
          </w:p>
        </w:tc>
        <w:tc>
          <w:tcPr>
            <w:tcW w:w="8969" w:type="dxa"/>
            <w:shd w:val="clear" w:color="auto" w:fill="auto"/>
            <w:vAlign w:val="center"/>
          </w:tcPr>
          <w:p w14:paraId="0CE119F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A:L96xW36xH42cm  B:L40xW42xH89cm C:L60xW28xH40cm（含软垫）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（1）童趣列车造型设计，增加幼儿的阅读兴趣；多空间收纳，易于搭配其他产品，兼具收纳、陈列与展示功能。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主体采用厚度15mm的桦木纹饰面环保橡胶木拼板。A车头：主功能为图书展示，车头为大图书展示架，宽度内空为200x270mm；侧边为四层单面展示书架，槽内空尺寸：长度690mm；每层配装2根φ3mm咖色弹力绳，有效防图书翻倒和图书褶皱卷边。底部安装塑料脚垫，高度为H10mm，直径17mm，软性防滑。B车身：主功能为图书收纳及涂画，柜体部分宽度：360mm；门板上贴由软体白板，可用水性笔画写，尺寸L400xW300mm；门板内装缓冲铰链，能实现门板开合。门板前设置小装饰书格，内控尺寸：L306xH100mm；两侧各一挂杆，挂杆长256mm，各配套一个收纳布袋，尺寸：L300xW220mm，按扣式挂装，可拆洗。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C车厢：主功能为图书储藏和座椅阅读，坐柜门板可打开，为镂空窗户设计，尺寸为：90x150mm；门板内装缓冲铰链，能实现门板开合，门板收纳格内空：282x266mm。坐柜上层铺设厚度为30mm的坐垫，尺寸为600x280mm，面料柔软透气不闷热，坐垫内部填充环保高弹海绵，密度≥30kg/m³，回弹性强，不易变形，能拆卸清洗。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（5）五金件：采用环保五金，可迁移元素中锑、钡、镉、铅、硒、砷、铬、汞八大金属含量符合标准要求。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（6）TPR塑料：采用环保无毒材质，优质不易开裂。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（7）铰链：采用优质门铰，在门即将关闭时会自动减速，不会发出碰撞的声音，关闭平稳。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（8）坐垫：可拆卸，内部填充海绵，回弹性强，不易变形。</w:t>
            </w:r>
          </w:p>
        </w:tc>
        <w:tc>
          <w:tcPr>
            <w:tcW w:w="1398" w:type="dxa"/>
            <w:shd w:val="clear" w:color="auto" w:fill="FFFFFF" w:themeFill="background1"/>
          </w:tcPr>
          <w:p w14:paraId="3DE2A08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1BDE6F77">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F949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67DCA76">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102</w:t>
            </w:r>
          </w:p>
        </w:tc>
        <w:tc>
          <w:tcPr>
            <w:tcW w:w="1478" w:type="dxa"/>
            <w:shd w:val="clear" w:color="auto" w:fill="auto"/>
            <w:vAlign w:val="center"/>
          </w:tcPr>
          <w:p w14:paraId="23D3D5C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列车造型书柜.车厢</w:t>
            </w:r>
          </w:p>
        </w:tc>
        <w:tc>
          <w:tcPr>
            <w:tcW w:w="8969" w:type="dxa"/>
            <w:shd w:val="clear" w:color="auto" w:fill="auto"/>
            <w:vAlign w:val="center"/>
          </w:tcPr>
          <w:p w14:paraId="25B9EA1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L60xW28xH40cm（含软垫）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（1）童趣列车厢造型设计，增加幼儿的阅读兴趣；可坐可收纳，易于搭配其他产品，兼具收纳、陈列与教玩功能。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（2）采用美工机喷绘工艺，搭配优质油墨，图案附着力好，生动立体不易褪色。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2、外观结构及材质：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15mm的桦木纹饰面环保橡胶木拼板，背板采用厚度5mm的饰面环保实木纤维板。主功能为图书储藏和座椅阅读，坐柜门板可打开，为镂空窗户设计，尺寸为：90x150mm；门板内装缓冲铰链，能实现门板开合，门板收纳格内空：282x266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（2）坐柜上层铺设厚度为30mm的坐垫，尺寸为600x280mm，面料柔软透气不闷热，坐垫内部填充环保高弹海绵，密度≥30kg/m³，回弹性强，不易变形，能拆卸清洗。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（3）围脚高度：60mm，底部安装塑料脚垫，高度为H10mm，直径17mm，软性防滑。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（5）油墨：采用环保水性油墨，颜色饱满，无毒无异味。</w:t>
            </w:r>
          </w:p>
        </w:tc>
        <w:tc>
          <w:tcPr>
            <w:tcW w:w="1398" w:type="dxa"/>
            <w:shd w:val="clear" w:color="auto" w:fill="FFFFFF" w:themeFill="background1"/>
          </w:tcPr>
          <w:p w14:paraId="7D1456D0">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5E46EC4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73058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6B630146">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103</w:t>
            </w:r>
          </w:p>
        </w:tc>
        <w:tc>
          <w:tcPr>
            <w:tcW w:w="1478" w:type="dxa"/>
            <w:shd w:val="clear" w:color="auto" w:fill="auto"/>
            <w:vAlign w:val="center"/>
          </w:tcPr>
          <w:p w14:paraId="0C0D953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扇形座椅柜A.有靠背</w:t>
            </w:r>
          </w:p>
        </w:tc>
        <w:tc>
          <w:tcPr>
            <w:tcW w:w="8969" w:type="dxa"/>
            <w:shd w:val="clear" w:color="auto" w:fill="auto"/>
            <w:vAlign w:val="center"/>
          </w:tcPr>
          <w:p w14:paraId="23D5CF5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L119xW68xH65cm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（1）45°弧形可组合座椅柜，整体内弧边弧度R600mm，外弧边弧度R1200mm，易于搭配其他产品做成组合柜，形式多变。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（1）采用厚度18mm的环保实木多层板，下层内空高度254mm，上层书架格内空高314mm；侧板、中竖板大圆角弧度均为R100mm。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（2）坐柜铺厚度为30mm宽300mm的坐垫，靠背垫厚度30mm，宽320mm，面料柔软透气不闷热，坐垫内部填充环保高弹海绵，密度≥30kg/m³，回弹性强，不易变形，能拆卸清洗。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（3）底部安装塑料脚垫，高度为H10mm，直径40mm,软性防滑。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p>
        </w:tc>
        <w:tc>
          <w:tcPr>
            <w:tcW w:w="1398" w:type="dxa"/>
            <w:shd w:val="clear" w:color="auto" w:fill="FFFFFF" w:themeFill="background1"/>
          </w:tcPr>
          <w:p w14:paraId="6975D4DE">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27DBBE71">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r w14:paraId="5E222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jc w:val="center"/>
        </w:trPr>
        <w:tc>
          <w:tcPr>
            <w:tcW w:w="1115" w:type="dxa"/>
            <w:shd w:val="clear" w:color="auto" w:fill="auto"/>
            <w:vAlign w:val="center"/>
          </w:tcPr>
          <w:p w14:paraId="5DB60A34">
            <w:pPr>
              <w:keepNext w:val="0"/>
              <w:keepLines w:val="0"/>
              <w:widowControl/>
              <w:suppressLineNumbers w:val="0"/>
              <w:jc w:val="center"/>
              <w:textAlignment w:val="center"/>
              <w:rPr>
                <w:rFonts w:hint="eastAsia" w:ascii="Arial" w:hAnsi="Arial" w:eastAsia="宋体" w:cs="Arial"/>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104</w:t>
            </w:r>
          </w:p>
        </w:tc>
        <w:tc>
          <w:tcPr>
            <w:tcW w:w="1478" w:type="dxa"/>
            <w:shd w:val="clear" w:color="auto" w:fill="auto"/>
            <w:vAlign w:val="center"/>
          </w:tcPr>
          <w:p w14:paraId="71FABF6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扇形座椅柜B.有靠背</w:t>
            </w:r>
          </w:p>
        </w:tc>
        <w:tc>
          <w:tcPr>
            <w:tcW w:w="8969" w:type="dxa"/>
            <w:shd w:val="clear" w:color="auto" w:fill="auto"/>
            <w:vAlign w:val="center"/>
          </w:tcPr>
          <w:p w14:paraId="19AFA04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L119xW68xH65cm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1、工艺设计：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（1）45°弧形可组合座椅柜，整体内弧边弧度R600mm，外弧边弧度R1200mm，易于搭配其他产品做成组合柜，形式多变。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（2）所有螺丝位无毛刺不刮手，边角采用圆边/圆角处理以及安全防撞设计。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2、外观结构：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（1）采用厚度18mm的环保实木多层板，下层内空高度254mm，上层书架格内空高314mm；侧板、中竖板大圆角弧度均为R100mm。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（2）坐柜铺厚度为30mm宽300mm的坐垫，靠背垫厚度30mm，宽320mm，面料柔软透气不闷热，坐垫内部填充环保高弹海绵，密度≥30kg/m³，回弹性强，不易变形，能拆卸清洗。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（3）底部安装塑料脚垫，高度为H10mm，直径40mm,软性防滑。</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（4）木蜡油：采用环保的水性木蜡油封边，成分天然，分子机构细小，成膜牢固，密封性好。</w:t>
            </w:r>
          </w:p>
        </w:tc>
        <w:tc>
          <w:tcPr>
            <w:tcW w:w="1398" w:type="dxa"/>
            <w:shd w:val="clear" w:color="auto" w:fill="FFFFFF" w:themeFill="background1"/>
          </w:tcPr>
          <w:p w14:paraId="7B5C663B">
            <w:pPr>
              <w:adjustRightInd w:val="0"/>
              <w:snapToGrid w:val="0"/>
              <w:spacing w:before="100" w:beforeAutospacing="1" w:after="100" w:afterAutospacing="1"/>
              <w:rPr>
                <w:rFonts w:hint="eastAsia" w:ascii="宋体" w:hAnsi="宋体" w:eastAsia="宋体" w:cs="宋体"/>
                <w:b/>
                <w:bCs/>
                <w:i w:val="0"/>
                <w:iCs w:val="0"/>
                <w:color w:val="000000"/>
                <w:kern w:val="0"/>
                <w:sz w:val="22"/>
                <w:szCs w:val="22"/>
                <w:highlight w:val="none"/>
                <w:u w:val="none"/>
                <w:lang w:val="en-US" w:eastAsia="zh-CN" w:bidi="ar"/>
              </w:rPr>
            </w:pPr>
          </w:p>
        </w:tc>
        <w:tc>
          <w:tcPr>
            <w:tcW w:w="1214" w:type="dxa"/>
            <w:shd w:val="clear" w:color="auto" w:fill="FFFFFF" w:themeFill="background1"/>
          </w:tcPr>
          <w:p w14:paraId="02BA7E16">
            <w:pPr>
              <w:adjustRightInd w:val="0"/>
              <w:snapToGrid w:val="0"/>
              <w:spacing w:before="100" w:beforeAutospacing="1" w:after="100" w:afterAutospacing="1"/>
              <w:jc w:val="center"/>
              <w:rPr>
                <w:rFonts w:hint="eastAsia" w:ascii="宋体" w:hAnsi="宋体" w:eastAsia="宋体" w:cs="宋体"/>
                <w:b/>
                <w:bCs/>
                <w:i w:val="0"/>
                <w:iCs w:val="0"/>
                <w:color w:val="000000"/>
                <w:kern w:val="0"/>
                <w:sz w:val="22"/>
                <w:szCs w:val="22"/>
                <w:highlight w:val="none"/>
                <w:u w:val="none"/>
                <w:lang w:val="en-US" w:eastAsia="zh-CN" w:bidi="ar"/>
              </w:rPr>
            </w:pPr>
          </w:p>
        </w:tc>
      </w:tr>
    </w:tbl>
    <w:p w14:paraId="6F45BEDE">
      <w:pPr>
        <w:adjustRightInd w:val="0"/>
        <w:snapToGrid w:val="0"/>
        <w:jc w:val="left"/>
        <w:rPr>
          <w:highlight w:val="none"/>
        </w:rPr>
      </w:pPr>
      <w:r>
        <w:rPr>
          <w:rFonts w:hAnsi="宋体"/>
          <w:b/>
          <w:szCs w:val="21"/>
          <w:highlight w:val="none"/>
        </w:rPr>
        <w:t>说明：</w:t>
      </w:r>
      <w:r>
        <w:rPr>
          <w:rFonts w:hint="eastAsia" w:ascii="宋体" w:hAnsi="宋体" w:eastAsia="宋体" w:cs="宋体"/>
          <w:b/>
          <w:bCs/>
          <w:kern w:val="0"/>
          <w:sz w:val="21"/>
          <w:szCs w:val="21"/>
          <w:highlight w:val="none"/>
          <w:lang w:val="en-US" w:eastAsia="zh-CN"/>
        </w:rPr>
        <w:t>任意一项标“</w:t>
      </w:r>
      <w:r>
        <w:rPr>
          <w:rFonts w:hint="eastAsia" w:ascii="宋体" w:hAnsi="宋体" w:eastAsia="宋体" w:cs="宋体"/>
          <w:b/>
          <w:bCs/>
          <w:kern w:val="0"/>
          <w:sz w:val="21"/>
          <w:szCs w:val="21"/>
          <w:highlight w:val="none"/>
        </w:rPr>
        <w:t>▲</w:t>
      </w:r>
      <w:r>
        <w:rPr>
          <w:rFonts w:hint="eastAsia" w:ascii="宋体" w:hAnsi="宋体" w:eastAsia="宋体" w:cs="宋体"/>
          <w:b/>
          <w:bCs/>
          <w:kern w:val="0"/>
          <w:sz w:val="21"/>
          <w:szCs w:val="21"/>
          <w:highlight w:val="none"/>
          <w:lang w:eastAsia="zh-CN"/>
        </w:rPr>
        <w:t>”</w:t>
      </w:r>
      <w:r>
        <w:rPr>
          <w:rFonts w:hint="eastAsia" w:ascii="宋体" w:hAnsi="宋体" w:eastAsia="宋体" w:cs="宋体"/>
          <w:b/>
          <w:bCs/>
          <w:kern w:val="0"/>
          <w:sz w:val="21"/>
          <w:szCs w:val="21"/>
          <w:highlight w:val="none"/>
          <w:lang w:val="en-US" w:eastAsia="zh-CN"/>
        </w:rPr>
        <w:t>条款不满足的，均按投标无效处理。</w:t>
      </w:r>
    </w:p>
    <w:bookmarkEnd w:id="66"/>
    <w:bookmarkEnd w:id="67"/>
    <w:p w14:paraId="48587DEC">
      <w:pPr>
        <w:spacing w:line="360" w:lineRule="auto"/>
        <w:rPr>
          <w:rFonts w:ascii="宋体" w:hAnsi="宋体"/>
          <w:sz w:val="24"/>
          <w:highlight w:val="none"/>
        </w:rPr>
      </w:pPr>
    </w:p>
    <w:p w14:paraId="034F5E85">
      <w:pPr>
        <w:pStyle w:val="26"/>
        <w:ind w:left="0" w:leftChars="0" w:firstLine="0" w:firstLineChars="0"/>
        <w:rPr>
          <w:highlight w:val="none"/>
        </w:rPr>
      </w:pPr>
    </w:p>
    <w:p w14:paraId="7F4FFD8D">
      <w:pPr>
        <w:adjustRightInd w:val="0"/>
        <w:snapToGrid w:val="0"/>
        <w:spacing w:line="360" w:lineRule="auto"/>
        <w:jc w:val="left"/>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投标人（公章）：</w:t>
      </w:r>
    </w:p>
    <w:p w14:paraId="7D222FE1">
      <w:pPr>
        <w:adjustRightInd w:val="0"/>
        <w:snapToGrid w:val="0"/>
        <w:spacing w:line="360" w:lineRule="auto"/>
        <w:jc w:val="left"/>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法定代表人或授权</w:t>
      </w:r>
      <w:r>
        <w:rPr>
          <w:rFonts w:hint="eastAsia" w:ascii="宋体" w:hAnsi="宋体" w:cs="仿宋_GB2312"/>
          <w:color w:val="FF0000"/>
          <w:kern w:val="0"/>
          <w:sz w:val="24"/>
          <w:highlight w:val="none"/>
          <w:lang w:val="en-US" w:eastAsia="zh-CN"/>
        </w:rPr>
        <w:t>代表</w:t>
      </w:r>
      <w:r>
        <w:rPr>
          <w:rFonts w:hint="eastAsia" w:ascii="宋体" w:hAnsi="宋体" w:cs="仿宋_GB2312"/>
          <w:color w:val="FF0000"/>
          <w:kern w:val="0"/>
          <w:sz w:val="24"/>
          <w:highlight w:val="none"/>
          <w:lang w:val="zh-CN"/>
        </w:rPr>
        <w:t>签字（</w:t>
      </w:r>
      <w:r>
        <w:rPr>
          <w:rFonts w:hint="eastAsia" w:ascii="宋体" w:hAnsi="宋体" w:cs="仿宋_GB2312"/>
          <w:color w:val="FF0000"/>
          <w:kern w:val="0"/>
          <w:sz w:val="24"/>
          <w:highlight w:val="none"/>
          <w:lang w:val="en-US" w:eastAsia="zh-CN"/>
        </w:rPr>
        <w:t>签章</w:t>
      </w:r>
      <w:r>
        <w:rPr>
          <w:rFonts w:hint="eastAsia" w:ascii="宋体" w:hAnsi="宋体" w:cs="仿宋_GB2312"/>
          <w:color w:val="FF0000"/>
          <w:kern w:val="0"/>
          <w:sz w:val="24"/>
          <w:highlight w:val="none"/>
          <w:lang w:val="zh-CN"/>
        </w:rPr>
        <w:t>）：</w:t>
      </w:r>
    </w:p>
    <w:p w14:paraId="37F98CBD">
      <w:pPr>
        <w:spacing w:line="360" w:lineRule="auto"/>
        <w:jc w:val="left"/>
        <w:rPr>
          <w:rFonts w:hint="eastAsia" w:ascii="宋体" w:hAnsi="宋体" w:cs="仿宋_GB2312"/>
          <w:color w:val="FF0000"/>
          <w:kern w:val="0"/>
          <w:sz w:val="24"/>
          <w:highlight w:val="none"/>
          <w:lang w:val="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cs="仿宋_GB2312"/>
          <w:color w:val="FF0000"/>
          <w:kern w:val="0"/>
          <w:sz w:val="24"/>
          <w:highlight w:val="none"/>
          <w:lang w:val="zh-CN"/>
        </w:rPr>
        <w:t>日期：    年   月   日</w:t>
      </w:r>
    </w:p>
    <w:p w14:paraId="2A44DC20">
      <w:pPr>
        <w:rPr>
          <w:rFonts w:hint="eastAsia"/>
          <w:sz w:val="44"/>
          <w:szCs w:val="44"/>
          <w:highlight w:val="none"/>
          <w:lang w:eastAsia="zh-CN"/>
        </w:rPr>
      </w:pPr>
    </w:p>
    <w:p w14:paraId="584F61C9">
      <w:pPr>
        <w:jc w:val="center"/>
        <w:rPr>
          <w:rFonts w:hint="eastAsia" w:eastAsia="宋体"/>
          <w:sz w:val="44"/>
          <w:szCs w:val="44"/>
          <w:highlight w:val="none"/>
          <w:lang w:eastAsia="zh-CN"/>
        </w:rPr>
      </w:pPr>
      <w:r>
        <w:rPr>
          <w:rFonts w:hint="eastAsia"/>
          <w:sz w:val="44"/>
          <w:szCs w:val="44"/>
          <w:highlight w:val="none"/>
          <w:lang w:eastAsia="zh-CN"/>
        </w:rPr>
        <w:t>海虹街道中心幼儿园（翡翠云邸）幼儿家具采购项目</w:t>
      </w:r>
    </w:p>
    <w:p w14:paraId="063973D6">
      <w:pPr>
        <w:pStyle w:val="26"/>
        <w:jc w:val="center"/>
        <w:rPr>
          <w:rFonts w:hint="eastAsia" w:ascii="宋体" w:hAnsi="宋体"/>
          <w:sz w:val="36"/>
          <w:szCs w:val="36"/>
          <w:highlight w:val="none"/>
        </w:rPr>
      </w:pPr>
    </w:p>
    <w:p w14:paraId="432419B4">
      <w:pPr>
        <w:pStyle w:val="26"/>
        <w:jc w:val="center"/>
        <w:rPr>
          <w:rFonts w:hint="eastAsia" w:eastAsia="宋体"/>
          <w:highlight w:val="none"/>
          <w:lang w:eastAsia="zh-CN"/>
        </w:rPr>
      </w:pPr>
      <w:r>
        <w:rPr>
          <w:rFonts w:hint="eastAsia" w:ascii="宋体" w:hAnsi="宋体"/>
          <w:sz w:val="36"/>
          <w:szCs w:val="36"/>
          <w:highlight w:val="none"/>
        </w:rPr>
        <w:t>项目编号：</w:t>
      </w:r>
      <w:r>
        <w:rPr>
          <w:rFonts w:hint="eastAsia" w:ascii="宋体" w:hAnsi="宋体"/>
          <w:sz w:val="36"/>
          <w:szCs w:val="36"/>
          <w:highlight w:val="none"/>
          <w:lang w:eastAsia="zh-CN"/>
        </w:rPr>
        <w:t>TZYY-2506-005号</w:t>
      </w:r>
    </w:p>
    <w:p w14:paraId="1867C923">
      <w:pPr>
        <w:jc w:val="center"/>
        <w:rPr>
          <w:sz w:val="84"/>
          <w:szCs w:val="84"/>
          <w:highlight w:val="none"/>
        </w:rPr>
      </w:pPr>
      <w:bookmarkStart w:id="68" w:name="_Toc14572_WPSOffice_Level1"/>
      <w:bookmarkStart w:id="69" w:name="_Toc3932_WPSOffice_Level1"/>
      <w:r>
        <w:rPr>
          <w:rFonts w:hint="eastAsia"/>
          <w:sz w:val="84"/>
          <w:szCs w:val="84"/>
          <w:highlight w:val="none"/>
        </w:rPr>
        <w:t>商</w:t>
      </w:r>
    </w:p>
    <w:p w14:paraId="1B72827E">
      <w:pPr>
        <w:jc w:val="center"/>
        <w:rPr>
          <w:sz w:val="84"/>
          <w:szCs w:val="84"/>
          <w:highlight w:val="none"/>
        </w:rPr>
      </w:pPr>
      <w:r>
        <w:rPr>
          <w:rFonts w:hint="eastAsia"/>
          <w:sz w:val="84"/>
          <w:szCs w:val="84"/>
          <w:highlight w:val="none"/>
        </w:rPr>
        <w:t>务</w:t>
      </w:r>
    </w:p>
    <w:p w14:paraId="7559516D">
      <w:pPr>
        <w:jc w:val="center"/>
        <w:rPr>
          <w:sz w:val="84"/>
          <w:szCs w:val="84"/>
          <w:highlight w:val="none"/>
        </w:rPr>
      </w:pPr>
      <w:r>
        <w:rPr>
          <w:rFonts w:hint="eastAsia"/>
          <w:sz w:val="84"/>
          <w:szCs w:val="84"/>
          <w:highlight w:val="none"/>
        </w:rPr>
        <w:t>文</w:t>
      </w:r>
      <w:bookmarkEnd w:id="68"/>
      <w:bookmarkEnd w:id="69"/>
    </w:p>
    <w:p w14:paraId="1C4A48B2">
      <w:pPr>
        <w:jc w:val="center"/>
        <w:rPr>
          <w:sz w:val="84"/>
          <w:szCs w:val="84"/>
          <w:highlight w:val="none"/>
        </w:rPr>
      </w:pPr>
      <w:bookmarkStart w:id="70" w:name="_Toc16973_WPSOffice_Level1"/>
      <w:bookmarkStart w:id="71" w:name="_Toc7562_WPSOffice_Level1"/>
      <w:r>
        <w:rPr>
          <w:rFonts w:hint="eastAsia"/>
          <w:sz w:val="84"/>
          <w:szCs w:val="84"/>
          <w:highlight w:val="none"/>
        </w:rPr>
        <w:t>件</w:t>
      </w:r>
      <w:bookmarkEnd w:id="70"/>
      <w:bookmarkEnd w:id="71"/>
    </w:p>
    <w:p w14:paraId="23E27EC1">
      <w:pPr>
        <w:spacing w:line="360" w:lineRule="auto"/>
        <w:ind w:right="532"/>
        <w:jc w:val="center"/>
        <w:rPr>
          <w:rFonts w:hint="eastAsia" w:ascii="宋体" w:hAnsi="宋体" w:eastAsia="宋体"/>
          <w:sz w:val="36"/>
          <w:szCs w:val="36"/>
          <w:highlight w:val="none"/>
          <w:lang w:eastAsia="zh-CN"/>
        </w:rPr>
      </w:pPr>
      <w:r>
        <w:rPr>
          <w:rFonts w:hint="eastAsia" w:ascii="宋体" w:hAnsi="宋体"/>
          <w:b/>
          <w:bCs/>
          <w:sz w:val="36"/>
          <w:szCs w:val="36"/>
          <w:highlight w:val="none"/>
          <w:lang w:eastAsia="zh-CN"/>
        </w:rPr>
        <w:t>（</w:t>
      </w:r>
      <w:r>
        <w:rPr>
          <w:rFonts w:hint="eastAsia" w:ascii="宋体" w:hAnsi="宋体"/>
          <w:b/>
          <w:bCs/>
          <w:sz w:val="36"/>
          <w:szCs w:val="36"/>
          <w:highlight w:val="none"/>
        </w:rPr>
        <w:t>商务标</w:t>
      </w:r>
      <w:r>
        <w:rPr>
          <w:rFonts w:hint="eastAsia" w:ascii="宋体" w:hAnsi="宋体"/>
          <w:b/>
          <w:bCs/>
          <w:sz w:val="36"/>
          <w:szCs w:val="36"/>
          <w:highlight w:val="none"/>
          <w:lang w:eastAsia="zh-CN"/>
        </w:rPr>
        <w:t>）</w:t>
      </w:r>
    </w:p>
    <w:p w14:paraId="18BC6D6A">
      <w:pPr>
        <w:spacing w:line="360" w:lineRule="auto"/>
        <w:ind w:right="532"/>
        <w:jc w:val="center"/>
        <w:rPr>
          <w:rFonts w:ascii="宋体" w:hAnsi="宋体"/>
          <w:sz w:val="36"/>
          <w:szCs w:val="36"/>
          <w:highlight w:val="none"/>
        </w:rPr>
      </w:pPr>
    </w:p>
    <w:p w14:paraId="77CDB592">
      <w:pPr>
        <w:spacing w:line="360" w:lineRule="auto"/>
        <w:ind w:right="532" w:firstLine="720" w:firstLineChars="200"/>
        <w:rPr>
          <w:rFonts w:ascii="宋体" w:hAnsi="宋体"/>
          <w:sz w:val="36"/>
          <w:szCs w:val="36"/>
          <w:highlight w:val="none"/>
        </w:rPr>
      </w:pPr>
      <w:bookmarkStart w:id="72" w:name="_Toc26700_WPSOffice_Level1"/>
      <w:bookmarkStart w:id="73" w:name="_Toc4603_WPSOffice_Level1"/>
      <w:r>
        <w:rPr>
          <w:rFonts w:hint="eastAsia" w:ascii="宋体" w:hAnsi="宋体"/>
          <w:sz w:val="36"/>
          <w:szCs w:val="36"/>
          <w:highlight w:val="none"/>
        </w:rPr>
        <w:t>投标人全称：</w:t>
      </w:r>
      <w:bookmarkEnd w:id="72"/>
      <w:bookmarkEnd w:id="73"/>
    </w:p>
    <w:p w14:paraId="34CEFE2C">
      <w:pPr>
        <w:spacing w:line="360" w:lineRule="auto"/>
        <w:ind w:right="-108"/>
        <w:jc w:val="center"/>
        <w:rPr>
          <w:rFonts w:ascii="仿宋_GB2312" w:hAnsi="宋体" w:eastAsia="仿宋_GB2312"/>
          <w:b/>
          <w:sz w:val="36"/>
          <w:szCs w:val="36"/>
          <w:highlight w:val="none"/>
        </w:rPr>
      </w:pPr>
    </w:p>
    <w:p w14:paraId="1495D9F2">
      <w:pPr>
        <w:pStyle w:val="26"/>
        <w:rPr>
          <w:highlight w:val="none"/>
        </w:rPr>
      </w:pPr>
    </w:p>
    <w:p w14:paraId="1791A229">
      <w:pPr>
        <w:pStyle w:val="26"/>
        <w:rPr>
          <w:highlight w:val="none"/>
        </w:rPr>
      </w:pPr>
    </w:p>
    <w:p w14:paraId="21C8B1DE">
      <w:pPr>
        <w:pStyle w:val="26"/>
        <w:rPr>
          <w:highlight w:val="none"/>
        </w:rPr>
      </w:pPr>
    </w:p>
    <w:p w14:paraId="4E04469E">
      <w:pPr>
        <w:pStyle w:val="26"/>
        <w:rPr>
          <w:highlight w:val="none"/>
        </w:rPr>
      </w:pPr>
    </w:p>
    <w:p w14:paraId="79645B97">
      <w:pPr>
        <w:pStyle w:val="26"/>
        <w:rPr>
          <w:highlight w:val="none"/>
        </w:rPr>
      </w:pPr>
    </w:p>
    <w:p w14:paraId="3FE0E64B">
      <w:pPr>
        <w:pStyle w:val="26"/>
        <w:rPr>
          <w:highlight w:val="none"/>
        </w:rPr>
      </w:pPr>
    </w:p>
    <w:p w14:paraId="191DF76C">
      <w:pPr>
        <w:pStyle w:val="26"/>
        <w:rPr>
          <w:highlight w:val="none"/>
        </w:rPr>
      </w:pPr>
    </w:p>
    <w:p w14:paraId="1421392E">
      <w:pPr>
        <w:pStyle w:val="6"/>
        <w:rPr>
          <w:rFonts w:ascii="仿宋_GB2312" w:hAnsi="宋体" w:eastAsia="仿宋_GB2312"/>
          <w:b/>
          <w:sz w:val="36"/>
          <w:szCs w:val="36"/>
          <w:highlight w:val="none"/>
        </w:rPr>
      </w:pPr>
    </w:p>
    <w:p w14:paraId="7C8D9250">
      <w:pPr>
        <w:spacing w:line="480" w:lineRule="auto"/>
        <w:jc w:val="center"/>
        <w:rPr>
          <w:highlight w:val="none"/>
        </w:rPr>
      </w:pPr>
      <w:bookmarkStart w:id="74" w:name="_Toc19972_WPSOffice_Level1"/>
      <w:bookmarkStart w:id="75" w:name="_Toc29537_WPSOffice_Level1"/>
      <w:r>
        <w:rPr>
          <w:rFonts w:hint="eastAsia" w:ascii="宋体" w:hAnsi="宋体"/>
          <w:b/>
          <w:bCs/>
          <w:sz w:val="36"/>
          <w:szCs w:val="36"/>
          <w:highlight w:val="none"/>
        </w:rPr>
        <w:t>商务标目录</w:t>
      </w:r>
      <w:bookmarkEnd w:id="74"/>
      <w:bookmarkEnd w:id="75"/>
    </w:p>
    <w:p w14:paraId="0A0E0D22">
      <w:pPr>
        <w:rPr>
          <w:rFonts w:asciiTheme="minorEastAsia" w:hAnsiTheme="minorEastAsia" w:eastAsiaTheme="minorEastAsia" w:cstheme="minorEastAsia"/>
          <w:sz w:val="28"/>
          <w:szCs w:val="28"/>
          <w:highlight w:val="none"/>
        </w:rPr>
      </w:pPr>
    </w:p>
    <w:p w14:paraId="7732E561">
      <w:pPr>
        <w:numPr>
          <w:ilvl w:val="0"/>
          <w:numId w:val="73"/>
        </w:numPr>
        <w:autoSpaceDE w:val="0"/>
        <w:autoSpaceDN w:val="0"/>
        <w:adjustRightInd w:val="0"/>
        <w:spacing w:line="360" w:lineRule="auto"/>
        <w:ind w:left="0" w:leftChars="0" w:firstLine="480" w:firstLineChars="200"/>
        <w:rPr>
          <w:rFonts w:asciiTheme="minorEastAsia" w:hAnsiTheme="minorEastAsia" w:eastAsiaTheme="minorEastAsia"/>
          <w:kern w:val="0"/>
          <w:sz w:val="24"/>
          <w:highlight w:val="none"/>
        </w:rPr>
      </w:pPr>
      <w:bookmarkStart w:id="76" w:name="_Toc29988_WPSOffice_Level1"/>
      <w:bookmarkStart w:id="77" w:name="_Toc6778_WPSOffice_Level1"/>
      <w:r>
        <w:rPr>
          <w:rFonts w:hint="eastAsia" w:asciiTheme="minorEastAsia" w:hAnsiTheme="minorEastAsia" w:eastAsiaTheme="minorEastAsia"/>
          <w:kern w:val="0"/>
          <w:sz w:val="24"/>
          <w:highlight w:val="none"/>
        </w:rPr>
        <w:t>开标一览表（附件</w:t>
      </w:r>
      <w:r>
        <w:rPr>
          <w:rFonts w:hint="eastAsia" w:asciiTheme="minorEastAsia" w:hAnsiTheme="minorEastAsia" w:eastAsiaTheme="minorEastAsia"/>
          <w:kern w:val="0"/>
          <w:sz w:val="24"/>
          <w:highlight w:val="none"/>
          <w:lang w:val="en-US" w:eastAsia="zh-CN"/>
        </w:rPr>
        <w:t>7</w:t>
      </w:r>
      <w:r>
        <w:rPr>
          <w:rFonts w:hint="eastAsia" w:asciiTheme="minorEastAsia" w:hAnsiTheme="minorEastAsia" w:eastAsiaTheme="minorEastAsia"/>
          <w:kern w:val="0"/>
          <w:sz w:val="24"/>
          <w:highlight w:val="none"/>
        </w:rPr>
        <w:t>）；</w:t>
      </w:r>
    </w:p>
    <w:p w14:paraId="17EF6540">
      <w:pPr>
        <w:numPr>
          <w:ilvl w:val="0"/>
          <w:numId w:val="73"/>
        </w:numPr>
        <w:autoSpaceDE w:val="0"/>
        <w:autoSpaceDN w:val="0"/>
        <w:adjustRightInd w:val="0"/>
        <w:spacing w:line="360" w:lineRule="auto"/>
        <w:ind w:left="0" w:leftChars="0" w:firstLine="480" w:firstLineChars="200"/>
        <w:rPr>
          <w:rFonts w:hint="eastAsia" w:asciiTheme="minorEastAsia" w:hAnsiTheme="minorEastAsia" w:eastAsiaTheme="minorEastAsia"/>
          <w:color w:val="auto"/>
          <w:kern w:val="0"/>
          <w:sz w:val="24"/>
          <w:highlight w:val="none"/>
          <w:lang w:val="en-US" w:eastAsia="zh-CN"/>
        </w:rPr>
      </w:pPr>
      <w:r>
        <w:rPr>
          <w:rFonts w:hint="eastAsia" w:asciiTheme="minorEastAsia" w:hAnsiTheme="minorEastAsia" w:eastAsiaTheme="minorEastAsia"/>
          <w:color w:val="auto"/>
          <w:kern w:val="0"/>
          <w:sz w:val="24"/>
          <w:highlight w:val="none"/>
        </w:rPr>
        <w:t>报价明细表（附件</w:t>
      </w:r>
      <w:r>
        <w:rPr>
          <w:rFonts w:hint="eastAsia" w:asciiTheme="minorEastAsia" w:hAnsiTheme="minorEastAsia" w:eastAsiaTheme="minorEastAsia"/>
          <w:color w:val="auto"/>
          <w:kern w:val="0"/>
          <w:sz w:val="24"/>
          <w:highlight w:val="none"/>
          <w:lang w:val="en-US" w:eastAsia="zh-CN"/>
        </w:rPr>
        <w:t>8</w:t>
      </w: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val="en-US" w:eastAsia="zh-CN"/>
        </w:rPr>
        <w:t>；</w:t>
      </w:r>
    </w:p>
    <w:p w14:paraId="295D7C6E">
      <w:pPr>
        <w:numPr>
          <w:ilvl w:val="0"/>
          <w:numId w:val="73"/>
        </w:numPr>
        <w:autoSpaceDE w:val="0"/>
        <w:autoSpaceDN w:val="0"/>
        <w:adjustRightInd w:val="0"/>
        <w:spacing w:line="360" w:lineRule="auto"/>
        <w:ind w:left="0" w:leftChars="0" w:firstLine="480" w:firstLineChars="200"/>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针对报价投标人认为其他需要说明的。</w:t>
      </w:r>
    </w:p>
    <w:bookmarkEnd w:id="76"/>
    <w:bookmarkEnd w:id="77"/>
    <w:p w14:paraId="6A72663E">
      <w:pPr>
        <w:spacing w:line="360" w:lineRule="auto"/>
        <w:ind w:firstLine="480" w:firstLineChars="200"/>
        <w:rPr>
          <w:sz w:val="24"/>
          <w:highlight w:val="none"/>
        </w:rPr>
      </w:pPr>
    </w:p>
    <w:p w14:paraId="7FF7F726">
      <w:pPr>
        <w:spacing w:line="360" w:lineRule="auto"/>
        <w:ind w:firstLine="482" w:firstLineChars="200"/>
        <w:rPr>
          <w:rFonts w:ascii="宋体" w:hAnsi="宋体"/>
          <w:b/>
          <w:sz w:val="24"/>
          <w:highlight w:val="none"/>
        </w:rPr>
      </w:pPr>
    </w:p>
    <w:p w14:paraId="6B510992">
      <w:pPr>
        <w:spacing w:line="360" w:lineRule="auto"/>
        <w:ind w:left="480"/>
        <w:rPr>
          <w:rFonts w:ascii="宋体" w:hAnsi="宋体"/>
          <w:b/>
          <w:sz w:val="28"/>
          <w:highlight w:val="none"/>
        </w:rPr>
      </w:pPr>
    </w:p>
    <w:p w14:paraId="6C312BED">
      <w:pPr>
        <w:spacing w:line="360" w:lineRule="auto"/>
        <w:ind w:left="480"/>
        <w:rPr>
          <w:rFonts w:ascii="宋体" w:hAnsi="宋体"/>
          <w:b/>
          <w:sz w:val="28"/>
          <w:highlight w:val="none"/>
        </w:rPr>
      </w:pPr>
    </w:p>
    <w:p w14:paraId="7BAC0F01">
      <w:pPr>
        <w:spacing w:line="360" w:lineRule="auto"/>
        <w:ind w:left="480"/>
        <w:rPr>
          <w:rFonts w:ascii="宋体" w:hAnsi="宋体"/>
          <w:b/>
          <w:sz w:val="28"/>
          <w:highlight w:val="none"/>
        </w:rPr>
      </w:pPr>
    </w:p>
    <w:p w14:paraId="1426C34B">
      <w:pPr>
        <w:spacing w:line="360" w:lineRule="auto"/>
        <w:ind w:left="480"/>
        <w:rPr>
          <w:rFonts w:ascii="宋体" w:hAnsi="宋体"/>
          <w:b/>
          <w:sz w:val="28"/>
          <w:highlight w:val="none"/>
        </w:rPr>
      </w:pPr>
    </w:p>
    <w:p w14:paraId="17E00DA4">
      <w:pPr>
        <w:spacing w:line="360" w:lineRule="auto"/>
        <w:ind w:left="480"/>
        <w:rPr>
          <w:rFonts w:ascii="宋体" w:hAnsi="宋体"/>
          <w:b/>
          <w:sz w:val="28"/>
          <w:highlight w:val="none"/>
        </w:rPr>
      </w:pPr>
    </w:p>
    <w:p w14:paraId="0001082C">
      <w:pPr>
        <w:spacing w:line="360" w:lineRule="auto"/>
        <w:ind w:left="480"/>
        <w:rPr>
          <w:rFonts w:ascii="宋体" w:hAnsi="宋体"/>
          <w:b/>
          <w:sz w:val="28"/>
          <w:highlight w:val="none"/>
        </w:rPr>
      </w:pPr>
    </w:p>
    <w:p w14:paraId="0E7F9017">
      <w:pPr>
        <w:spacing w:line="360" w:lineRule="auto"/>
        <w:ind w:left="480"/>
        <w:rPr>
          <w:rFonts w:ascii="宋体" w:hAnsi="宋体"/>
          <w:b/>
          <w:sz w:val="28"/>
          <w:highlight w:val="none"/>
        </w:rPr>
      </w:pPr>
    </w:p>
    <w:p w14:paraId="0369131F">
      <w:pPr>
        <w:spacing w:line="360" w:lineRule="auto"/>
        <w:ind w:left="480"/>
        <w:rPr>
          <w:rFonts w:ascii="宋体" w:hAnsi="宋体"/>
          <w:b/>
          <w:sz w:val="28"/>
          <w:highlight w:val="none"/>
        </w:rPr>
      </w:pPr>
    </w:p>
    <w:p w14:paraId="0793283B">
      <w:pPr>
        <w:spacing w:line="360" w:lineRule="auto"/>
        <w:ind w:left="480"/>
        <w:rPr>
          <w:rFonts w:ascii="宋体" w:hAnsi="宋体"/>
          <w:b/>
          <w:sz w:val="28"/>
          <w:highlight w:val="none"/>
        </w:rPr>
      </w:pPr>
    </w:p>
    <w:p w14:paraId="4D9E0C36">
      <w:pPr>
        <w:spacing w:line="360" w:lineRule="auto"/>
        <w:ind w:left="480"/>
        <w:rPr>
          <w:rFonts w:ascii="宋体" w:hAnsi="宋体"/>
          <w:b/>
          <w:sz w:val="28"/>
          <w:highlight w:val="none"/>
        </w:rPr>
      </w:pPr>
    </w:p>
    <w:p w14:paraId="351C2DC2">
      <w:pPr>
        <w:spacing w:line="360" w:lineRule="auto"/>
        <w:ind w:left="480"/>
        <w:rPr>
          <w:rFonts w:ascii="宋体" w:hAnsi="宋体"/>
          <w:b/>
          <w:sz w:val="28"/>
          <w:highlight w:val="none"/>
        </w:rPr>
      </w:pPr>
    </w:p>
    <w:p w14:paraId="39B12FB2">
      <w:pPr>
        <w:spacing w:line="360" w:lineRule="auto"/>
        <w:ind w:left="480"/>
        <w:rPr>
          <w:rFonts w:ascii="宋体" w:hAnsi="宋体"/>
          <w:b/>
          <w:sz w:val="28"/>
          <w:highlight w:val="none"/>
        </w:rPr>
      </w:pPr>
    </w:p>
    <w:p w14:paraId="79E6C71A">
      <w:pPr>
        <w:rPr>
          <w:rFonts w:ascii="宋体" w:hAnsi="宋体"/>
          <w:b/>
          <w:sz w:val="28"/>
          <w:highlight w:val="none"/>
        </w:rPr>
      </w:pPr>
      <w:r>
        <w:rPr>
          <w:rFonts w:hint="eastAsia" w:ascii="宋体" w:hAnsi="宋体"/>
          <w:b/>
          <w:sz w:val="28"/>
          <w:highlight w:val="none"/>
        </w:rPr>
        <w:br w:type="page"/>
      </w:r>
    </w:p>
    <w:p w14:paraId="4A587560">
      <w:pPr>
        <w:spacing w:line="360" w:lineRule="auto"/>
        <w:rPr>
          <w:rFonts w:hint="eastAsia" w:ascii="宋体" w:hAnsi="宋体" w:eastAsia="宋体"/>
          <w:b/>
          <w:sz w:val="28"/>
          <w:highlight w:val="none"/>
          <w:lang w:eastAsia="zh-CN"/>
        </w:rPr>
      </w:pPr>
      <w:r>
        <w:rPr>
          <w:rFonts w:hint="eastAsia" w:ascii="宋体" w:hAnsi="宋体"/>
          <w:b/>
          <w:sz w:val="28"/>
          <w:highlight w:val="none"/>
        </w:rPr>
        <w:t>附件</w:t>
      </w:r>
      <w:r>
        <w:rPr>
          <w:rFonts w:hint="eastAsia" w:ascii="宋体" w:hAnsi="宋体"/>
          <w:b/>
          <w:sz w:val="28"/>
          <w:highlight w:val="none"/>
          <w:lang w:val="en-US" w:eastAsia="zh-CN"/>
        </w:rPr>
        <w:t>7</w:t>
      </w:r>
    </w:p>
    <w:p w14:paraId="1BF91D9A">
      <w:pPr>
        <w:spacing w:line="360" w:lineRule="auto"/>
        <w:ind w:left="-2" w:hanging="2"/>
        <w:jc w:val="center"/>
        <w:rPr>
          <w:rFonts w:ascii="宋体" w:hAnsi="宋体"/>
          <w:b/>
          <w:sz w:val="32"/>
          <w:szCs w:val="32"/>
          <w:highlight w:val="none"/>
        </w:rPr>
      </w:pPr>
      <w:bookmarkStart w:id="78" w:name="_Toc30363_WPSOffice_Level1"/>
      <w:bookmarkStart w:id="79" w:name="_Toc16144_WPSOffice_Level1"/>
      <w:r>
        <w:rPr>
          <w:rFonts w:hint="eastAsia" w:ascii="宋体" w:hAnsi="宋体"/>
          <w:b/>
          <w:sz w:val="32"/>
          <w:szCs w:val="32"/>
          <w:highlight w:val="none"/>
        </w:rPr>
        <w:t xml:space="preserve">开标一览表 </w:t>
      </w:r>
      <w:bookmarkEnd w:id="78"/>
      <w:bookmarkEnd w:id="79"/>
    </w:p>
    <w:p w14:paraId="0F85E952">
      <w:pPr>
        <w:pStyle w:val="15"/>
        <w:spacing w:line="360" w:lineRule="auto"/>
        <w:ind w:firstLine="482" w:firstLineChars="200"/>
        <w:rPr>
          <w:rFonts w:hint="eastAsia" w:hAnsi="宋体" w:eastAsia="宋体"/>
          <w:b/>
          <w:sz w:val="24"/>
          <w:highlight w:val="none"/>
          <w:lang w:eastAsia="zh-CN"/>
        </w:rPr>
      </w:pPr>
      <w:r>
        <w:rPr>
          <w:rFonts w:hAnsi="宋体"/>
          <w:b/>
          <w:sz w:val="24"/>
          <w:highlight w:val="none"/>
        </w:rPr>
        <w:t>项目编号：</w:t>
      </w:r>
      <w:r>
        <w:rPr>
          <w:rFonts w:hint="eastAsia" w:hAnsi="宋体"/>
          <w:b w:val="0"/>
          <w:bCs/>
          <w:sz w:val="24"/>
          <w:highlight w:val="none"/>
          <w:lang w:eastAsia="zh-CN"/>
        </w:rPr>
        <w:t>TZYY-2506-005号</w:t>
      </w:r>
    </w:p>
    <w:p w14:paraId="11EC2483">
      <w:pPr>
        <w:pStyle w:val="49"/>
        <w:spacing w:line="360" w:lineRule="auto"/>
        <w:ind w:right="480" w:firstLine="482" w:firstLineChars="200"/>
        <w:jc w:val="left"/>
        <w:rPr>
          <w:rFonts w:hint="eastAsia" w:ascii="宋体" w:hAnsi="宋体"/>
          <w:sz w:val="24"/>
          <w:highlight w:val="none"/>
        </w:rPr>
      </w:pPr>
      <w:r>
        <w:rPr>
          <w:rFonts w:hAnsi="宋体"/>
          <w:b/>
          <w:sz w:val="24"/>
          <w:highlight w:val="none"/>
        </w:rPr>
        <w:t>项目名称：</w:t>
      </w:r>
      <w:r>
        <w:rPr>
          <w:rFonts w:hint="eastAsia" w:ascii="宋体" w:hAnsi="宋体"/>
          <w:sz w:val="24"/>
          <w:highlight w:val="none"/>
          <w:lang w:eastAsia="zh-CN"/>
        </w:rPr>
        <w:t>海虹街道中心幼儿园（翡翠云邸）幼儿家具采购项目</w:t>
      </w:r>
      <w:r>
        <w:rPr>
          <w:rFonts w:hint="eastAsia" w:ascii="宋体" w:hAnsi="宋体"/>
          <w:sz w:val="24"/>
          <w:highlight w:val="none"/>
        </w:rPr>
        <w:t xml:space="preserve"> </w:t>
      </w:r>
    </w:p>
    <w:p w14:paraId="4FFF3DD8">
      <w:pPr>
        <w:pStyle w:val="49"/>
        <w:spacing w:line="360" w:lineRule="auto"/>
        <w:ind w:right="480" w:firstLine="480" w:firstLineChars="200"/>
        <w:jc w:val="right"/>
        <w:rPr>
          <w:rFonts w:hAnsi="宋体"/>
          <w:sz w:val="24"/>
          <w:highlight w:val="none"/>
        </w:rPr>
      </w:pPr>
      <w:r>
        <w:rPr>
          <w:rFonts w:hint="eastAsia" w:ascii="宋体" w:hAnsi="宋体"/>
          <w:sz w:val="24"/>
          <w:highlight w:val="none"/>
        </w:rPr>
        <w:t xml:space="preserve">                             [货币单位：人民币元]</w:t>
      </w:r>
    </w:p>
    <w:p w14:paraId="557B0084">
      <w:pPr>
        <w:snapToGrid w:val="0"/>
        <w:spacing w:before="50" w:after="50"/>
        <w:jc w:val="left"/>
        <w:rPr>
          <w:rFonts w:hint="eastAsia" w:ascii="Arial" w:hAnsi="Arial" w:eastAsia="宋体" w:cs="Arial"/>
          <w:sz w:val="22"/>
          <w:szCs w:val="22"/>
          <w:highlight w:val="none"/>
          <w:lang w:eastAsia="zh-CN"/>
        </w:rPr>
      </w:pPr>
      <w:r>
        <w:rPr>
          <w:rFonts w:hint="eastAsia" w:ascii="Arial" w:hAnsi="Arial" w:cs="宋体"/>
          <w:sz w:val="22"/>
          <w:szCs w:val="22"/>
          <w:highlight w:val="none"/>
        </w:rPr>
        <w:t>致：</w:t>
      </w:r>
      <w:r>
        <w:rPr>
          <w:rFonts w:hint="eastAsia" w:ascii="Arial" w:hAnsi="Arial" w:cs="宋体"/>
          <w:sz w:val="22"/>
          <w:szCs w:val="22"/>
          <w:highlight w:val="none"/>
          <w:lang w:eastAsia="zh-CN"/>
        </w:rPr>
        <w:t>海虹街道中心幼儿园</w:t>
      </w:r>
    </w:p>
    <w:p w14:paraId="087E862A">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ascii="新宋体" w:hAnsi="新宋体" w:eastAsia="新宋体"/>
          <w:szCs w:val="21"/>
          <w:highlight w:val="none"/>
        </w:rPr>
      </w:pPr>
      <w:r>
        <w:rPr>
          <w:rFonts w:ascii="Arial" w:hAnsi="Arial" w:cs="Arial"/>
          <w:sz w:val="22"/>
          <w:szCs w:val="22"/>
          <w:highlight w:val="none"/>
        </w:rPr>
        <w:t>经研究，我们决定参加</w:t>
      </w:r>
      <w:r>
        <w:rPr>
          <w:rFonts w:hint="eastAsia" w:ascii="Arial" w:hAnsi="Arial" w:cs="Arial"/>
          <w:sz w:val="22"/>
          <w:szCs w:val="22"/>
          <w:highlight w:val="none"/>
        </w:rPr>
        <w:t>你单位的</w:t>
      </w:r>
      <w:r>
        <w:rPr>
          <w:rFonts w:hint="eastAsia" w:ascii="宋体" w:hAnsi="宋体"/>
          <w:sz w:val="22"/>
          <w:szCs w:val="22"/>
          <w:highlight w:val="none"/>
          <w:u w:val="single"/>
          <w:lang w:eastAsia="zh-CN"/>
        </w:rPr>
        <w:t>海虹街道中心幼儿园（翡翠云邸）幼儿家具采购项目</w:t>
      </w:r>
      <w:r>
        <w:rPr>
          <w:rFonts w:ascii="Arial" w:hAnsi="Arial" w:cs="Arial"/>
          <w:sz w:val="22"/>
          <w:szCs w:val="22"/>
          <w:highlight w:val="none"/>
        </w:rPr>
        <w:t>的</w:t>
      </w:r>
      <w:r>
        <w:rPr>
          <w:rFonts w:hint="eastAsia" w:ascii="Arial" w:hAnsi="Arial" w:cs="Arial"/>
          <w:sz w:val="22"/>
          <w:highlight w:val="none"/>
        </w:rPr>
        <w:t>招标</w:t>
      </w:r>
      <w:r>
        <w:rPr>
          <w:rFonts w:ascii="Arial" w:hAnsi="Arial" w:cs="Arial"/>
          <w:sz w:val="22"/>
          <w:highlight w:val="none"/>
        </w:rPr>
        <w:t>采购活动并提交</w:t>
      </w:r>
      <w:r>
        <w:rPr>
          <w:rFonts w:hint="eastAsia" w:ascii="Arial" w:hAnsi="Arial" w:cs="Arial"/>
          <w:sz w:val="22"/>
          <w:highlight w:val="none"/>
        </w:rPr>
        <w:t>投标</w:t>
      </w:r>
      <w:r>
        <w:rPr>
          <w:rFonts w:ascii="Arial" w:hAnsi="Arial" w:cs="Arial"/>
          <w:sz w:val="22"/>
          <w:highlight w:val="none"/>
        </w:rPr>
        <w:t>文件。为此，我方郑重声明以下诸点，并负法律责任。</w:t>
      </w:r>
    </w:p>
    <w:p w14:paraId="1B6CBCC3">
      <w:pPr>
        <w:pStyle w:val="13"/>
        <w:keepNext w:val="0"/>
        <w:keepLines w:val="0"/>
        <w:pageBreakBefore w:val="0"/>
        <w:widowControl w:val="0"/>
        <w:numPr>
          <w:ilvl w:val="0"/>
          <w:numId w:val="74"/>
        </w:numPr>
        <w:kinsoku/>
        <w:wordWrap/>
        <w:overflowPunct/>
        <w:topLinePunct w:val="0"/>
        <w:autoSpaceDE/>
        <w:autoSpaceDN/>
        <w:bidi w:val="0"/>
        <w:adjustRightInd/>
        <w:snapToGrid/>
        <w:spacing w:after="0" w:line="360" w:lineRule="auto"/>
        <w:ind w:left="0" w:leftChars="0" w:firstLine="440" w:firstLineChars="200"/>
        <w:textAlignment w:val="auto"/>
        <w:rPr>
          <w:rFonts w:ascii="Arial" w:hAnsi="Arial" w:cs="Arial"/>
          <w:sz w:val="22"/>
          <w:szCs w:val="22"/>
          <w:highlight w:val="none"/>
        </w:rPr>
      </w:pPr>
      <w:r>
        <w:rPr>
          <w:rFonts w:ascii="Arial" w:hAnsi="Arial" w:cs="Arial"/>
          <w:sz w:val="22"/>
          <w:szCs w:val="22"/>
          <w:highlight w:val="none"/>
        </w:rPr>
        <w:t>如果我们的招标文件被接受，我们将履行招标文件中规定的每一项要求，并按我们投标文件中的承诺按期、按质、按量提供服务。</w:t>
      </w:r>
    </w:p>
    <w:p w14:paraId="6186C41E">
      <w:pPr>
        <w:pStyle w:val="13"/>
        <w:keepNext w:val="0"/>
        <w:keepLines w:val="0"/>
        <w:pageBreakBefore w:val="0"/>
        <w:widowControl w:val="0"/>
        <w:numPr>
          <w:ilvl w:val="0"/>
          <w:numId w:val="74"/>
        </w:numPr>
        <w:kinsoku/>
        <w:wordWrap/>
        <w:overflowPunct/>
        <w:topLinePunct w:val="0"/>
        <w:autoSpaceDE/>
        <w:autoSpaceDN/>
        <w:bidi w:val="0"/>
        <w:adjustRightInd/>
        <w:snapToGrid/>
        <w:spacing w:after="0" w:line="360" w:lineRule="auto"/>
        <w:ind w:left="0" w:leftChars="0" w:firstLine="440" w:firstLineChars="200"/>
        <w:textAlignment w:val="auto"/>
        <w:rPr>
          <w:rFonts w:ascii="Arial" w:hAnsi="Arial" w:cs="Arial"/>
          <w:sz w:val="22"/>
          <w:szCs w:val="22"/>
          <w:highlight w:val="none"/>
        </w:rPr>
      </w:pPr>
      <w:r>
        <w:rPr>
          <w:rFonts w:ascii="Arial" w:hAnsi="Arial" w:cs="Arial"/>
          <w:sz w:val="22"/>
          <w:szCs w:val="22"/>
          <w:highlight w:val="none"/>
        </w:rPr>
        <w:t>我们同意按</w:t>
      </w:r>
      <w:r>
        <w:rPr>
          <w:rFonts w:hint="eastAsia" w:ascii="Arial" w:hAnsi="Arial" w:cs="Arial"/>
          <w:sz w:val="22"/>
          <w:szCs w:val="22"/>
          <w:highlight w:val="none"/>
          <w:lang w:eastAsia="zh-CN"/>
        </w:rPr>
        <w:t>招标文件</w:t>
      </w:r>
      <w:r>
        <w:rPr>
          <w:rFonts w:ascii="Arial" w:hAnsi="Arial" w:cs="Arial"/>
          <w:sz w:val="22"/>
          <w:szCs w:val="22"/>
          <w:highlight w:val="none"/>
        </w:rPr>
        <w:t>规定遵守采购人有关采购的各项规定。</w:t>
      </w:r>
    </w:p>
    <w:p w14:paraId="5B3F7411">
      <w:pPr>
        <w:pStyle w:val="13"/>
        <w:keepNext w:val="0"/>
        <w:keepLines w:val="0"/>
        <w:pageBreakBefore w:val="0"/>
        <w:widowControl w:val="0"/>
        <w:numPr>
          <w:ilvl w:val="0"/>
          <w:numId w:val="74"/>
        </w:numPr>
        <w:kinsoku/>
        <w:wordWrap/>
        <w:overflowPunct/>
        <w:topLinePunct w:val="0"/>
        <w:autoSpaceDE/>
        <w:autoSpaceDN/>
        <w:bidi w:val="0"/>
        <w:adjustRightInd/>
        <w:snapToGrid/>
        <w:spacing w:after="0" w:line="360" w:lineRule="auto"/>
        <w:ind w:left="0" w:leftChars="0" w:firstLine="440" w:firstLineChars="200"/>
        <w:textAlignment w:val="auto"/>
        <w:rPr>
          <w:rFonts w:ascii="Arial" w:hAnsi="Arial" w:cs="Arial"/>
          <w:sz w:val="22"/>
          <w:szCs w:val="22"/>
          <w:highlight w:val="none"/>
        </w:rPr>
      </w:pPr>
      <w:r>
        <w:rPr>
          <w:rFonts w:ascii="Arial" w:hAnsi="Arial" w:cs="Arial"/>
          <w:sz w:val="22"/>
          <w:szCs w:val="22"/>
          <w:highlight w:val="none"/>
        </w:rPr>
        <w:t>我方同意提供按照贵方可能要求的与投标有关的一切数据或资料，我方若未成为成交投标人，采购人有权</w:t>
      </w:r>
      <w:r>
        <w:rPr>
          <w:rFonts w:hint="eastAsia" w:ascii="Arial" w:hAnsi="Arial" w:cs="Arial"/>
          <w:sz w:val="22"/>
          <w:szCs w:val="22"/>
          <w:highlight w:val="none"/>
          <w:lang w:eastAsia="zh-CN"/>
        </w:rPr>
        <w:t>不作</w:t>
      </w:r>
      <w:r>
        <w:rPr>
          <w:rFonts w:ascii="Arial" w:hAnsi="Arial" w:cs="Arial"/>
          <w:sz w:val="22"/>
          <w:szCs w:val="22"/>
          <w:highlight w:val="none"/>
        </w:rPr>
        <w:t>任何解释。</w:t>
      </w:r>
    </w:p>
    <w:p w14:paraId="1C0DCBF4">
      <w:pPr>
        <w:keepNext w:val="0"/>
        <w:keepLines w:val="0"/>
        <w:pageBreakBefore w:val="0"/>
        <w:widowControl w:val="0"/>
        <w:numPr>
          <w:ilvl w:val="0"/>
          <w:numId w:val="74"/>
        </w:numPr>
        <w:kinsoku/>
        <w:wordWrap/>
        <w:overflowPunct/>
        <w:topLinePunct w:val="0"/>
        <w:autoSpaceDE/>
        <w:autoSpaceDN/>
        <w:bidi w:val="0"/>
        <w:adjustRightInd/>
        <w:snapToGrid/>
        <w:spacing w:line="360" w:lineRule="auto"/>
        <w:ind w:left="0" w:leftChars="0" w:firstLine="440" w:firstLineChars="200"/>
        <w:textAlignment w:val="auto"/>
        <w:rPr>
          <w:rFonts w:ascii="宋体" w:hAnsi="宋体"/>
          <w:sz w:val="22"/>
          <w:szCs w:val="22"/>
          <w:highlight w:val="none"/>
        </w:rPr>
      </w:pPr>
      <w:r>
        <w:rPr>
          <w:rFonts w:hint="eastAsia" w:ascii="Arial" w:hAnsi="Arial" w:cs="Arial"/>
          <w:sz w:val="22"/>
          <w:szCs w:val="22"/>
          <w:highlight w:val="none"/>
        </w:rPr>
        <w:t>我方如果中标，将保证履行招标文件以及招标文件修改书（如有）中的全部责任和义务，按质、按量、按期完成全部任务。</w:t>
      </w:r>
    </w:p>
    <w:tbl>
      <w:tblPr>
        <w:tblStyle w:val="27"/>
        <w:tblpPr w:leftFromText="181" w:rightFromText="181" w:bottomFromText="170" w:vertAnchor="text" w:tblpXSpec="center" w:tblpY="1"/>
        <w:tblOverlap w:val="never"/>
        <w:tblW w:w="8778"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727"/>
        <w:gridCol w:w="1365"/>
        <w:gridCol w:w="4686"/>
      </w:tblGrid>
      <w:tr w14:paraId="716EDFD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898" w:hRule="atLeast"/>
          <w:jc w:val="center"/>
        </w:trPr>
        <w:tc>
          <w:tcPr>
            <w:tcW w:w="2727" w:type="dxa"/>
            <w:vMerge w:val="restart"/>
            <w:tcBorders>
              <w:top w:val="single" w:color="auto" w:sz="12" w:space="0"/>
              <w:left w:val="single" w:color="auto" w:sz="12" w:space="0"/>
              <w:bottom w:val="single" w:color="auto" w:sz="4" w:space="0"/>
              <w:right w:val="single" w:color="auto" w:sz="4" w:space="0"/>
            </w:tcBorders>
            <w:vAlign w:val="center"/>
          </w:tcPr>
          <w:p w14:paraId="541C8983">
            <w:pPr>
              <w:autoSpaceDE w:val="0"/>
              <w:autoSpaceDN w:val="0"/>
              <w:spacing w:line="450" w:lineRule="exact"/>
              <w:jc w:val="center"/>
              <w:textAlignment w:val="bottom"/>
              <w:rPr>
                <w:rFonts w:ascii="宋体" w:hAnsi="宋体"/>
                <w:sz w:val="24"/>
                <w:highlight w:val="none"/>
              </w:rPr>
            </w:pPr>
            <w:r>
              <w:rPr>
                <w:rFonts w:hint="eastAsia" w:ascii="宋体" w:hAnsi="宋体"/>
                <w:sz w:val="24"/>
                <w:highlight w:val="none"/>
              </w:rPr>
              <w:t>投标总报价</w:t>
            </w:r>
          </w:p>
        </w:tc>
        <w:tc>
          <w:tcPr>
            <w:tcW w:w="1365" w:type="dxa"/>
            <w:tcBorders>
              <w:top w:val="single" w:color="auto" w:sz="12" w:space="0"/>
              <w:left w:val="single" w:color="auto" w:sz="4" w:space="0"/>
              <w:bottom w:val="single" w:color="auto" w:sz="4" w:space="0"/>
              <w:right w:val="single" w:color="auto" w:sz="4" w:space="0"/>
            </w:tcBorders>
            <w:vAlign w:val="center"/>
          </w:tcPr>
          <w:p w14:paraId="72B82FDE">
            <w:pPr>
              <w:autoSpaceDE w:val="0"/>
              <w:autoSpaceDN w:val="0"/>
              <w:spacing w:line="450" w:lineRule="exact"/>
              <w:jc w:val="center"/>
              <w:textAlignment w:val="bottom"/>
              <w:rPr>
                <w:rFonts w:ascii="宋体" w:hAnsi="宋体"/>
                <w:sz w:val="24"/>
                <w:highlight w:val="none"/>
              </w:rPr>
            </w:pPr>
            <w:r>
              <w:rPr>
                <w:rFonts w:hint="eastAsia" w:ascii="宋体" w:hAnsi="宋体"/>
                <w:sz w:val="24"/>
                <w:highlight w:val="none"/>
              </w:rPr>
              <w:t>大写</w:t>
            </w:r>
          </w:p>
        </w:tc>
        <w:tc>
          <w:tcPr>
            <w:tcW w:w="4686" w:type="dxa"/>
            <w:tcBorders>
              <w:top w:val="single" w:color="auto" w:sz="12" w:space="0"/>
              <w:left w:val="single" w:color="auto" w:sz="4" w:space="0"/>
              <w:bottom w:val="single" w:color="auto" w:sz="4" w:space="0"/>
              <w:right w:val="single" w:color="auto" w:sz="12" w:space="0"/>
            </w:tcBorders>
            <w:vAlign w:val="center"/>
          </w:tcPr>
          <w:p w14:paraId="4487E069">
            <w:pPr>
              <w:autoSpaceDE w:val="0"/>
              <w:autoSpaceDN w:val="0"/>
              <w:spacing w:line="450" w:lineRule="exact"/>
              <w:jc w:val="center"/>
              <w:textAlignment w:val="bottom"/>
              <w:rPr>
                <w:rFonts w:hint="eastAsia" w:ascii="宋体" w:hAnsi="宋体" w:eastAsia="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保留整数</w:t>
            </w:r>
            <w:r>
              <w:rPr>
                <w:rFonts w:hint="eastAsia" w:ascii="宋体" w:hAnsi="宋体"/>
                <w:szCs w:val="21"/>
                <w:highlight w:val="none"/>
                <w:lang w:eastAsia="zh-CN"/>
              </w:rPr>
              <w:t>）</w:t>
            </w:r>
          </w:p>
        </w:tc>
      </w:tr>
      <w:tr w14:paraId="20FD23A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910" w:hRule="atLeast"/>
          <w:jc w:val="center"/>
        </w:trPr>
        <w:tc>
          <w:tcPr>
            <w:tcW w:w="2727" w:type="dxa"/>
            <w:vMerge w:val="continue"/>
            <w:tcBorders>
              <w:top w:val="single" w:color="auto" w:sz="12" w:space="0"/>
              <w:left w:val="single" w:color="auto" w:sz="12" w:space="0"/>
              <w:bottom w:val="single" w:color="auto" w:sz="4" w:space="0"/>
              <w:right w:val="single" w:color="auto" w:sz="4" w:space="0"/>
            </w:tcBorders>
            <w:vAlign w:val="center"/>
          </w:tcPr>
          <w:p w14:paraId="400A3602">
            <w:pPr>
              <w:rPr>
                <w:rFonts w:ascii="宋体" w:hAnsi="宋体"/>
                <w:sz w:val="24"/>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77DCB12E">
            <w:pPr>
              <w:autoSpaceDE w:val="0"/>
              <w:autoSpaceDN w:val="0"/>
              <w:spacing w:line="450" w:lineRule="exact"/>
              <w:jc w:val="center"/>
              <w:textAlignment w:val="bottom"/>
              <w:rPr>
                <w:rFonts w:ascii="宋体" w:hAnsi="宋体"/>
                <w:sz w:val="24"/>
                <w:highlight w:val="none"/>
              </w:rPr>
            </w:pPr>
            <w:r>
              <w:rPr>
                <w:rFonts w:hint="eastAsia" w:ascii="宋体" w:hAnsi="宋体"/>
                <w:sz w:val="24"/>
                <w:highlight w:val="none"/>
              </w:rPr>
              <w:t>小写</w:t>
            </w:r>
          </w:p>
        </w:tc>
        <w:tc>
          <w:tcPr>
            <w:tcW w:w="4686" w:type="dxa"/>
            <w:tcBorders>
              <w:top w:val="single" w:color="auto" w:sz="4" w:space="0"/>
              <w:left w:val="single" w:color="auto" w:sz="4" w:space="0"/>
              <w:bottom w:val="single" w:color="auto" w:sz="4" w:space="0"/>
              <w:right w:val="single" w:color="auto" w:sz="12" w:space="0"/>
            </w:tcBorders>
            <w:vAlign w:val="center"/>
          </w:tcPr>
          <w:p w14:paraId="431A9937">
            <w:pPr>
              <w:autoSpaceDE w:val="0"/>
              <w:autoSpaceDN w:val="0"/>
              <w:spacing w:line="450" w:lineRule="exact"/>
              <w:jc w:val="center"/>
              <w:textAlignment w:val="bottom"/>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lang w:val="en-US" w:eastAsia="zh-CN"/>
              </w:rPr>
              <w:t>保留整数</w:t>
            </w:r>
            <w:r>
              <w:rPr>
                <w:rFonts w:hint="eastAsia" w:ascii="宋体" w:hAnsi="宋体"/>
                <w:szCs w:val="21"/>
                <w:highlight w:val="none"/>
                <w:lang w:eastAsia="zh-CN"/>
              </w:rPr>
              <w:t>）</w:t>
            </w:r>
          </w:p>
        </w:tc>
      </w:tr>
    </w:tbl>
    <w:p w14:paraId="76473AC9">
      <w:pPr>
        <w:spacing w:line="360" w:lineRule="auto"/>
        <w:rPr>
          <w:rFonts w:hint="eastAsia" w:ascii="宋体" w:hAnsi="宋体"/>
          <w:b/>
          <w:sz w:val="22"/>
          <w:szCs w:val="22"/>
          <w:highlight w:val="none"/>
        </w:rPr>
      </w:pPr>
      <w:r>
        <w:rPr>
          <w:rFonts w:hint="eastAsia" w:ascii="宋体" w:hAnsi="宋体"/>
          <w:b/>
          <w:sz w:val="22"/>
          <w:szCs w:val="22"/>
          <w:highlight w:val="none"/>
        </w:rPr>
        <w:t>填报要求：</w:t>
      </w:r>
    </w:p>
    <w:p w14:paraId="18EDC7E9">
      <w:pPr>
        <w:numPr>
          <w:ilvl w:val="0"/>
          <w:numId w:val="75"/>
        </w:numPr>
        <w:spacing w:line="360" w:lineRule="auto"/>
        <w:ind w:left="0" w:leftChars="0" w:firstLine="440" w:firstLineChars="200"/>
        <w:rPr>
          <w:rFonts w:hint="eastAsia" w:ascii="宋体" w:hAnsi="宋体"/>
          <w:sz w:val="22"/>
          <w:szCs w:val="22"/>
          <w:highlight w:val="none"/>
        </w:rPr>
      </w:pPr>
      <w:r>
        <w:rPr>
          <w:rFonts w:hint="eastAsia" w:ascii="宋体" w:hAnsi="宋体"/>
          <w:sz w:val="22"/>
          <w:szCs w:val="22"/>
          <w:highlight w:val="none"/>
        </w:rPr>
        <w:t>报价：有关本项目实施所需的所有费用（含税费）均计入报价。</w:t>
      </w:r>
    </w:p>
    <w:p w14:paraId="494754F7">
      <w:pPr>
        <w:numPr>
          <w:ilvl w:val="0"/>
          <w:numId w:val="75"/>
        </w:numPr>
        <w:spacing w:line="360" w:lineRule="auto"/>
        <w:ind w:left="0" w:leftChars="0" w:firstLine="440" w:firstLineChars="200"/>
        <w:rPr>
          <w:rFonts w:hint="eastAsia" w:ascii="宋体" w:hAnsi="宋体"/>
          <w:sz w:val="22"/>
          <w:szCs w:val="22"/>
          <w:highlight w:val="none"/>
        </w:rPr>
      </w:pPr>
      <w:r>
        <w:rPr>
          <w:rFonts w:hint="eastAsia" w:ascii="宋体" w:hAnsi="宋体"/>
          <w:sz w:val="22"/>
          <w:szCs w:val="22"/>
          <w:highlight w:val="none"/>
        </w:rPr>
        <w:t>报价一经涂改，应在涂改处加盖单位公章，</w:t>
      </w:r>
      <w:r>
        <w:rPr>
          <w:rFonts w:hint="eastAsia" w:ascii="宋体" w:hAnsi="宋体"/>
          <w:sz w:val="22"/>
          <w:szCs w:val="22"/>
          <w:highlight w:val="none"/>
          <w:lang w:eastAsia="zh-CN"/>
        </w:rPr>
        <w:t>或</w:t>
      </w:r>
      <w:r>
        <w:rPr>
          <w:rFonts w:hint="eastAsia" w:ascii="宋体" w:hAnsi="宋体"/>
          <w:sz w:val="22"/>
          <w:szCs w:val="22"/>
          <w:highlight w:val="none"/>
        </w:rPr>
        <w:t>由法定代表人或全权代表签字或盖章，否则其投标作无效标处理。</w:t>
      </w:r>
    </w:p>
    <w:p w14:paraId="6DCAA722">
      <w:pPr>
        <w:numPr>
          <w:ilvl w:val="0"/>
          <w:numId w:val="75"/>
        </w:numPr>
        <w:spacing w:line="360" w:lineRule="auto"/>
        <w:ind w:left="0" w:leftChars="0" w:firstLine="442" w:firstLineChars="200"/>
        <w:rPr>
          <w:rFonts w:ascii="宋体" w:hAnsi="宋体"/>
          <w:b/>
          <w:bCs/>
          <w:sz w:val="22"/>
          <w:szCs w:val="22"/>
          <w:highlight w:val="none"/>
        </w:rPr>
      </w:pPr>
      <w:r>
        <w:rPr>
          <w:rFonts w:hint="eastAsia" w:ascii="宋体" w:hAnsi="宋体"/>
          <w:b/>
          <w:bCs/>
          <w:sz w:val="22"/>
          <w:szCs w:val="22"/>
          <w:highlight w:val="none"/>
        </w:rPr>
        <w:t>▲报价未保留整数的，采用四舍五入计取并由投标人书面澄清。未按要求进行书面澄清的，作无效响应处理。供应商不得随意删除和改动上述内容。</w:t>
      </w:r>
    </w:p>
    <w:p w14:paraId="058B655B">
      <w:pPr>
        <w:adjustRightInd w:val="0"/>
        <w:snapToGrid w:val="0"/>
        <w:spacing w:line="360" w:lineRule="auto"/>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投标人（公章）：</w:t>
      </w:r>
    </w:p>
    <w:p w14:paraId="49DD69D9">
      <w:pPr>
        <w:adjustRightInd w:val="0"/>
        <w:snapToGrid w:val="0"/>
        <w:spacing w:line="360" w:lineRule="auto"/>
        <w:rPr>
          <w:rFonts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法定代表人或授权</w:t>
      </w:r>
      <w:r>
        <w:rPr>
          <w:rFonts w:hint="eastAsia" w:ascii="宋体" w:hAnsi="宋体" w:cs="仿宋_GB2312"/>
          <w:color w:val="FF0000"/>
          <w:kern w:val="0"/>
          <w:sz w:val="24"/>
          <w:highlight w:val="none"/>
          <w:lang w:val="en-US" w:eastAsia="zh-CN"/>
        </w:rPr>
        <w:t>代表</w:t>
      </w:r>
      <w:r>
        <w:rPr>
          <w:rFonts w:hint="eastAsia" w:ascii="宋体" w:hAnsi="宋体" w:cs="仿宋_GB2312"/>
          <w:color w:val="FF0000"/>
          <w:kern w:val="0"/>
          <w:sz w:val="24"/>
          <w:highlight w:val="none"/>
          <w:lang w:val="zh-CN"/>
        </w:rPr>
        <w:t>签字（</w:t>
      </w:r>
      <w:r>
        <w:rPr>
          <w:rFonts w:hint="eastAsia" w:ascii="宋体" w:hAnsi="宋体" w:cs="仿宋_GB2312"/>
          <w:color w:val="FF0000"/>
          <w:kern w:val="0"/>
          <w:sz w:val="24"/>
          <w:highlight w:val="none"/>
          <w:lang w:val="en-US" w:eastAsia="zh-CN"/>
        </w:rPr>
        <w:t>签章</w:t>
      </w:r>
      <w:r>
        <w:rPr>
          <w:rFonts w:hint="eastAsia" w:ascii="宋体" w:hAnsi="宋体" w:cs="仿宋_GB2312"/>
          <w:color w:val="FF0000"/>
          <w:kern w:val="0"/>
          <w:sz w:val="24"/>
          <w:highlight w:val="none"/>
          <w:lang w:val="zh-CN"/>
        </w:rPr>
        <w:t>）：</w:t>
      </w:r>
    </w:p>
    <w:p w14:paraId="26640CD9">
      <w:pPr>
        <w:spacing w:line="360" w:lineRule="auto"/>
        <w:rPr>
          <w:rFonts w:hint="eastAsia"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t>日期：    年   月   日</w:t>
      </w:r>
    </w:p>
    <w:p w14:paraId="20016369">
      <w:pPr>
        <w:rPr>
          <w:rFonts w:hint="eastAsia" w:ascii="宋体" w:hAnsi="宋体" w:cs="仿宋_GB2312"/>
          <w:color w:val="FF0000"/>
          <w:kern w:val="0"/>
          <w:sz w:val="24"/>
          <w:highlight w:val="none"/>
          <w:lang w:val="zh-CN"/>
        </w:rPr>
      </w:pPr>
      <w:r>
        <w:rPr>
          <w:rFonts w:hint="eastAsia" w:ascii="宋体" w:hAnsi="宋体" w:cs="仿宋_GB2312"/>
          <w:color w:val="FF0000"/>
          <w:kern w:val="0"/>
          <w:sz w:val="24"/>
          <w:highlight w:val="none"/>
          <w:lang w:val="zh-CN"/>
        </w:rPr>
        <w:br w:type="page"/>
      </w:r>
    </w:p>
    <w:p w14:paraId="47DE2135">
      <w:pPr>
        <w:spacing w:line="360" w:lineRule="auto"/>
        <w:outlineLvl w:val="0"/>
        <w:rPr>
          <w:rFonts w:hint="eastAsia"/>
          <w:lang w:val="en-US" w:eastAsia="zh-CN"/>
        </w:rPr>
      </w:pPr>
      <w:bookmarkStart w:id="80" w:name="_Toc6928"/>
      <w:r>
        <w:rPr>
          <w:rFonts w:hint="eastAsia" w:ascii="宋体" w:hAnsi="宋体" w:eastAsia="宋体" w:cs="Times New Roman"/>
          <w:b/>
          <w:sz w:val="28"/>
          <w:highlight w:val="none"/>
          <w:lang w:val="en-US" w:eastAsia="zh-CN"/>
        </w:rPr>
        <w:t>附件8</w:t>
      </w:r>
      <w:bookmarkEnd w:id="80"/>
    </w:p>
    <w:p w14:paraId="106595C2">
      <w:pPr>
        <w:spacing w:line="360" w:lineRule="auto"/>
        <w:ind w:left="480"/>
        <w:jc w:val="center"/>
        <w:outlineLvl w:val="0"/>
        <w:rPr>
          <w:rFonts w:hint="eastAsia" w:ascii="宋体" w:hAnsi="宋体" w:eastAsia="宋体" w:cs="宋体"/>
          <w:highlight w:val="none"/>
        </w:rPr>
      </w:pPr>
      <w:bookmarkStart w:id="81" w:name="_Toc30968"/>
      <w:bookmarkStart w:id="82" w:name="_Toc18809"/>
      <w:bookmarkStart w:id="83" w:name="_Toc32057"/>
      <w:r>
        <w:rPr>
          <w:rFonts w:hint="eastAsia" w:ascii="宋体" w:hAnsi="宋体" w:eastAsia="宋体" w:cs="宋体"/>
          <w:b/>
          <w:sz w:val="32"/>
          <w:szCs w:val="32"/>
          <w:highlight w:val="none"/>
        </w:rPr>
        <w:t>报价明细表</w:t>
      </w:r>
      <w:bookmarkEnd w:id="81"/>
      <w:bookmarkEnd w:id="82"/>
      <w:bookmarkEnd w:id="83"/>
    </w:p>
    <w:p w14:paraId="2CB8FE02">
      <w:pPr>
        <w:spacing w:line="360" w:lineRule="auto"/>
        <w:jc w:val="right"/>
        <w:outlineLvl w:val="9"/>
        <w:rPr>
          <w:rFonts w:hint="eastAsia" w:ascii="宋体" w:hAnsi="宋体" w:eastAsia="宋体" w:cs="宋体"/>
          <w:sz w:val="24"/>
          <w:highlight w:val="none"/>
        </w:rPr>
      </w:pPr>
      <w:r>
        <w:rPr>
          <w:rFonts w:hint="eastAsia" w:ascii="宋体" w:hAnsi="宋体" w:eastAsia="宋体" w:cs="宋体"/>
          <w:sz w:val="24"/>
          <w:highlight w:val="none"/>
        </w:rPr>
        <w:t xml:space="preserve">  [货币单位：人民币元]</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165"/>
        <w:gridCol w:w="2180"/>
        <w:gridCol w:w="834"/>
        <w:gridCol w:w="834"/>
        <w:gridCol w:w="835"/>
        <w:gridCol w:w="835"/>
      </w:tblGrid>
      <w:tr w14:paraId="43E5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833" w:type="dxa"/>
            <w:shd w:val="clear" w:color="auto" w:fill="auto"/>
            <w:vAlign w:val="center"/>
          </w:tcPr>
          <w:p w14:paraId="552A8F9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0"/>
                <w:szCs w:val="20"/>
                <w:u w:val="none"/>
                <w:lang w:val="en-US" w:eastAsia="zh-CN" w:bidi="ar-SA"/>
              </w:rPr>
            </w:pPr>
            <w:r>
              <w:rPr>
                <w:rFonts w:hint="eastAsia" w:asciiTheme="minorEastAsia" w:hAnsiTheme="minorEastAsia" w:eastAsiaTheme="minorEastAsia" w:cstheme="minorEastAsia"/>
                <w:b/>
                <w:bCs/>
                <w:i w:val="0"/>
                <w:iCs w:val="0"/>
                <w:color w:val="000000"/>
                <w:kern w:val="0"/>
                <w:sz w:val="20"/>
                <w:szCs w:val="20"/>
                <w:u w:val="none"/>
                <w:lang w:val="en-US" w:eastAsia="zh-CN" w:bidi="ar"/>
              </w:rPr>
              <w:t>序号</w:t>
            </w:r>
          </w:p>
        </w:tc>
        <w:tc>
          <w:tcPr>
            <w:tcW w:w="2165" w:type="dxa"/>
            <w:shd w:val="clear" w:color="auto" w:fill="auto"/>
            <w:vAlign w:val="center"/>
          </w:tcPr>
          <w:p w14:paraId="6F6D4D4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0"/>
                <w:szCs w:val="20"/>
                <w:u w:val="none"/>
                <w:lang w:val="en-US" w:eastAsia="zh-CN" w:bidi="ar-SA"/>
              </w:rPr>
            </w:pPr>
            <w:r>
              <w:rPr>
                <w:rFonts w:hint="eastAsia" w:asciiTheme="minorEastAsia" w:hAnsiTheme="minorEastAsia" w:eastAsiaTheme="minorEastAsia" w:cstheme="minorEastAsia"/>
                <w:b/>
                <w:bCs/>
                <w:i w:val="0"/>
                <w:iCs w:val="0"/>
                <w:color w:val="000000"/>
                <w:kern w:val="0"/>
                <w:sz w:val="20"/>
                <w:szCs w:val="20"/>
                <w:u w:val="none"/>
                <w:lang w:val="en-US" w:eastAsia="zh-CN" w:bidi="ar"/>
              </w:rPr>
              <w:t>名称</w:t>
            </w:r>
          </w:p>
        </w:tc>
        <w:tc>
          <w:tcPr>
            <w:tcW w:w="2180" w:type="dxa"/>
            <w:shd w:val="clear" w:color="auto" w:fill="auto"/>
            <w:vAlign w:val="center"/>
          </w:tcPr>
          <w:p w14:paraId="4ED2EE8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0"/>
                <w:szCs w:val="20"/>
                <w:u w:val="none"/>
                <w:lang w:val="en-US" w:eastAsia="zh-CN" w:bidi="ar-SA"/>
              </w:rPr>
            </w:pPr>
            <w:r>
              <w:rPr>
                <w:rFonts w:hint="eastAsia" w:asciiTheme="minorEastAsia" w:hAnsiTheme="minorEastAsia" w:eastAsiaTheme="minorEastAsia" w:cstheme="minorEastAsia"/>
                <w:b/>
                <w:bCs/>
                <w:i w:val="0"/>
                <w:iCs w:val="0"/>
                <w:color w:val="000000"/>
                <w:sz w:val="20"/>
                <w:szCs w:val="20"/>
                <w:u w:val="none"/>
                <w:lang w:val="en-US" w:eastAsia="zh-CN"/>
              </w:rPr>
              <w:t>规格</w:t>
            </w:r>
          </w:p>
        </w:tc>
        <w:tc>
          <w:tcPr>
            <w:tcW w:w="834" w:type="dxa"/>
            <w:shd w:val="clear" w:color="auto" w:fill="auto"/>
            <w:vAlign w:val="center"/>
          </w:tcPr>
          <w:p w14:paraId="02E42C6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0"/>
                <w:szCs w:val="20"/>
                <w:u w:val="none"/>
                <w:lang w:val="en-US" w:eastAsia="zh-CN" w:bidi="ar-SA"/>
              </w:rPr>
            </w:pPr>
            <w:r>
              <w:rPr>
                <w:rFonts w:hint="eastAsia" w:asciiTheme="minorEastAsia" w:hAnsiTheme="minorEastAsia" w:eastAsiaTheme="minorEastAsia" w:cstheme="minorEastAsia"/>
                <w:b/>
                <w:bCs/>
                <w:i w:val="0"/>
                <w:iCs w:val="0"/>
                <w:color w:val="000000"/>
                <w:sz w:val="20"/>
                <w:szCs w:val="20"/>
                <w:u w:val="none"/>
                <w:lang w:val="en-US" w:eastAsia="zh-CN"/>
              </w:rPr>
              <w:t>数量</w:t>
            </w:r>
          </w:p>
        </w:tc>
        <w:tc>
          <w:tcPr>
            <w:tcW w:w="834" w:type="dxa"/>
            <w:shd w:val="clear" w:color="auto" w:fill="auto"/>
            <w:vAlign w:val="center"/>
          </w:tcPr>
          <w:p w14:paraId="2629C4B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2"/>
                <w:sz w:val="20"/>
                <w:szCs w:val="20"/>
                <w:u w:val="none"/>
                <w:lang w:val="en-US" w:eastAsia="zh-CN" w:bidi="ar-SA"/>
              </w:rPr>
            </w:pPr>
            <w:r>
              <w:rPr>
                <w:rFonts w:hint="eastAsia" w:asciiTheme="minorEastAsia" w:hAnsiTheme="minorEastAsia" w:eastAsiaTheme="minorEastAsia" w:cstheme="minorEastAsia"/>
                <w:b/>
                <w:bCs/>
                <w:i w:val="0"/>
                <w:iCs w:val="0"/>
                <w:color w:val="000000"/>
                <w:sz w:val="20"/>
                <w:szCs w:val="20"/>
                <w:u w:val="none"/>
                <w:lang w:val="en-US" w:eastAsia="zh-CN"/>
              </w:rPr>
              <w:t>单位</w:t>
            </w:r>
          </w:p>
        </w:tc>
        <w:tc>
          <w:tcPr>
            <w:tcW w:w="835" w:type="dxa"/>
            <w:vAlign w:val="center"/>
          </w:tcPr>
          <w:p w14:paraId="358EE05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eastAsiaTheme="minorEastAsia" w:cstheme="minorEastAsia"/>
                <w:b/>
                <w:bCs/>
                <w:i w:val="0"/>
                <w:iCs w:val="0"/>
                <w:color w:val="000000"/>
                <w:kern w:val="0"/>
                <w:sz w:val="20"/>
                <w:szCs w:val="20"/>
                <w:u w:val="none"/>
                <w:lang w:val="en-US" w:eastAsia="zh-CN" w:bidi="ar"/>
              </w:rPr>
              <w:t>单价</w:t>
            </w:r>
          </w:p>
        </w:tc>
        <w:tc>
          <w:tcPr>
            <w:tcW w:w="835" w:type="dxa"/>
            <w:vAlign w:val="center"/>
          </w:tcPr>
          <w:p w14:paraId="04A266C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0"/>
                <w:szCs w:val="20"/>
                <w:u w:val="none"/>
                <w:lang w:val="en-US" w:eastAsia="zh-CN" w:bidi="ar"/>
              </w:rPr>
            </w:pPr>
            <w:r>
              <w:rPr>
                <w:rFonts w:hint="eastAsia" w:asciiTheme="minorEastAsia" w:hAnsiTheme="minorEastAsia" w:eastAsiaTheme="minorEastAsia" w:cstheme="minorEastAsia"/>
                <w:b/>
                <w:bCs/>
                <w:i w:val="0"/>
                <w:iCs w:val="0"/>
                <w:color w:val="000000"/>
                <w:kern w:val="0"/>
                <w:sz w:val="20"/>
                <w:szCs w:val="20"/>
                <w:u w:val="none"/>
                <w:lang w:val="en-US" w:eastAsia="zh-CN" w:bidi="ar"/>
              </w:rPr>
              <w:t>小计</w:t>
            </w:r>
          </w:p>
        </w:tc>
      </w:tr>
      <w:tr w14:paraId="0BBF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516" w:type="dxa"/>
            <w:gridSpan w:val="7"/>
            <w:shd w:val="clear" w:color="auto" w:fill="auto"/>
            <w:vAlign w:val="center"/>
          </w:tcPr>
          <w:p w14:paraId="0400C12A">
            <w:pPr>
              <w:spacing w:line="360" w:lineRule="auto"/>
              <w:outlineLvl w:val="9"/>
              <w:rPr>
                <w:rFonts w:hint="eastAsia" w:ascii="宋体" w:hAnsi="宋体" w:eastAsia="宋体" w:cs="宋体"/>
                <w:sz w:val="24"/>
                <w:highlight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托班</w:t>
            </w:r>
          </w:p>
        </w:tc>
      </w:tr>
      <w:tr w14:paraId="1DDF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A9A16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 </w:t>
            </w:r>
          </w:p>
        </w:tc>
        <w:tc>
          <w:tcPr>
            <w:tcW w:w="2165" w:type="dxa"/>
            <w:shd w:val="clear" w:color="auto" w:fill="auto"/>
            <w:vAlign w:val="center"/>
          </w:tcPr>
          <w:p w14:paraId="1604C1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6人桌.可调节</w:t>
            </w:r>
          </w:p>
        </w:tc>
        <w:tc>
          <w:tcPr>
            <w:tcW w:w="2180" w:type="dxa"/>
            <w:shd w:val="clear" w:color="auto" w:fill="auto"/>
            <w:vAlign w:val="center"/>
          </w:tcPr>
          <w:p w14:paraId="370563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L120xW60xH34-46cm可调节高度</w:t>
            </w:r>
          </w:p>
        </w:tc>
        <w:tc>
          <w:tcPr>
            <w:tcW w:w="834" w:type="dxa"/>
            <w:shd w:val="clear" w:color="auto" w:fill="auto"/>
            <w:vAlign w:val="center"/>
          </w:tcPr>
          <w:p w14:paraId="2D6D89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834" w:type="dxa"/>
            <w:shd w:val="clear" w:color="auto" w:fill="auto"/>
            <w:vAlign w:val="center"/>
          </w:tcPr>
          <w:p w14:paraId="53767A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0F0E01B5">
            <w:pPr>
              <w:spacing w:line="360" w:lineRule="auto"/>
              <w:outlineLvl w:val="9"/>
              <w:rPr>
                <w:rFonts w:hint="eastAsia" w:ascii="宋体" w:hAnsi="宋体" w:eastAsia="宋体" w:cs="宋体"/>
                <w:sz w:val="20"/>
                <w:szCs w:val="20"/>
                <w:highlight w:val="none"/>
              </w:rPr>
            </w:pPr>
          </w:p>
        </w:tc>
        <w:tc>
          <w:tcPr>
            <w:tcW w:w="835" w:type="dxa"/>
            <w:vAlign w:val="center"/>
          </w:tcPr>
          <w:p w14:paraId="7AF40A56">
            <w:pPr>
              <w:spacing w:line="360" w:lineRule="auto"/>
              <w:outlineLvl w:val="9"/>
              <w:rPr>
                <w:rFonts w:hint="eastAsia" w:ascii="宋体" w:hAnsi="宋体" w:eastAsia="宋体" w:cs="宋体"/>
                <w:sz w:val="20"/>
                <w:szCs w:val="20"/>
                <w:highlight w:val="none"/>
              </w:rPr>
            </w:pPr>
          </w:p>
        </w:tc>
      </w:tr>
      <w:tr w14:paraId="1432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583D3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 </w:t>
            </w:r>
          </w:p>
        </w:tc>
        <w:tc>
          <w:tcPr>
            <w:tcW w:w="2165" w:type="dxa"/>
            <w:shd w:val="clear" w:color="auto" w:fill="auto"/>
            <w:vAlign w:val="center"/>
          </w:tcPr>
          <w:p w14:paraId="751476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月亮桌.可调节</w:t>
            </w:r>
          </w:p>
        </w:tc>
        <w:tc>
          <w:tcPr>
            <w:tcW w:w="2180" w:type="dxa"/>
            <w:shd w:val="clear" w:color="auto" w:fill="auto"/>
            <w:vAlign w:val="center"/>
          </w:tcPr>
          <w:p w14:paraId="214F65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L120xW60xH34-46cm可调节高度</w:t>
            </w:r>
          </w:p>
        </w:tc>
        <w:tc>
          <w:tcPr>
            <w:tcW w:w="834" w:type="dxa"/>
            <w:shd w:val="clear" w:color="auto" w:fill="auto"/>
            <w:vAlign w:val="center"/>
          </w:tcPr>
          <w:p w14:paraId="79697D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94BEC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2C4AC72C">
            <w:pPr>
              <w:spacing w:line="360" w:lineRule="auto"/>
              <w:outlineLvl w:val="9"/>
              <w:rPr>
                <w:rFonts w:hint="eastAsia" w:ascii="宋体" w:hAnsi="宋体" w:eastAsia="宋体" w:cs="宋体"/>
                <w:sz w:val="20"/>
                <w:szCs w:val="20"/>
                <w:highlight w:val="none"/>
              </w:rPr>
            </w:pPr>
          </w:p>
        </w:tc>
        <w:tc>
          <w:tcPr>
            <w:tcW w:w="835" w:type="dxa"/>
            <w:vAlign w:val="center"/>
          </w:tcPr>
          <w:p w14:paraId="3BB47F89">
            <w:pPr>
              <w:spacing w:line="360" w:lineRule="auto"/>
              <w:outlineLvl w:val="9"/>
              <w:rPr>
                <w:rFonts w:hint="eastAsia" w:ascii="宋体" w:hAnsi="宋体" w:eastAsia="宋体" w:cs="宋体"/>
                <w:sz w:val="20"/>
                <w:szCs w:val="20"/>
                <w:highlight w:val="none"/>
              </w:rPr>
            </w:pPr>
          </w:p>
        </w:tc>
      </w:tr>
      <w:tr w14:paraId="52B6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0A04F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 </w:t>
            </w:r>
          </w:p>
        </w:tc>
        <w:tc>
          <w:tcPr>
            <w:tcW w:w="2165" w:type="dxa"/>
            <w:shd w:val="clear" w:color="auto" w:fill="auto"/>
            <w:vAlign w:val="center"/>
          </w:tcPr>
          <w:p w14:paraId="49F234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圆桌.可调节</w:t>
            </w:r>
          </w:p>
        </w:tc>
        <w:tc>
          <w:tcPr>
            <w:tcW w:w="2180" w:type="dxa"/>
            <w:shd w:val="clear" w:color="auto" w:fill="auto"/>
            <w:vAlign w:val="center"/>
          </w:tcPr>
          <w:p w14:paraId="5BCE3D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Φ80xH34-46cm可调节高度</w:t>
            </w:r>
          </w:p>
        </w:tc>
        <w:tc>
          <w:tcPr>
            <w:tcW w:w="834" w:type="dxa"/>
            <w:shd w:val="clear" w:color="auto" w:fill="auto"/>
            <w:vAlign w:val="center"/>
          </w:tcPr>
          <w:p w14:paraId="5B05B8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28828E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73B58176">
            <w:pPr>
              <w:spacing w:line="360" w:lineRule="auto"/>
              <w:outlineLvl w:val="9"/>
              <w:rPr>
                <w:rFonts w:hint="eastAsia" w:ascii="宋体" w:hAnsi="宋体" w:eastAsia="宋体" w:cs="宋体"/>
                <w:sz w:val="20"/>
                <w:szCs w:val="20"/>
                <w:highlight w:val="none"/>
              </w:rPr>
            </w:pPr>
          </w:p>
        </w:tc>
        <w:tc>
          <w:tcPr>
            <w:tcW w:w="835" w:type="dxa"/>
            <w:vAlign w:val="center"/>
          </w:tcPr>
          <w:p w14:paraId="39FE88D6">
            <w:pPr>
              <w:spacing w:line="360" w:lineRule="auto"/>
              <w:outlineLvl w:val="9"/>
              <w:rPr>
                <w:rFonts w:hint="eastAsia" w:ascii="宋体" w:hAnsi="宋体" w:eastAsia="宋体" w:cs="宋体"/>
                <w:sz w:val="20"/>
                <w:szCs w:val="20"/>
                <w:highlight w:val="none"/>
              </w:rPr>
            </w:pPr>
          </w:p>
        </w:tc>
      </w:tr>
      <w:tr w14:paraId="641E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9373C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4 </w:t>
            </w:r>
          </w:p>
        </w:tc>
        <w:tc>
          <w:tcPr>
            <w:tcW w:w="2165" w:type="dxa"/>
            <w:shd w:val="clear" w:color="auto" w:fill="auto"/>
            <w:vAlign w:val="center"/>
          </w:tcPr>
          <w:p w14:paraId="72AD0E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4人桌.可调节</w:t>
            </w:r>
          </w:p>
        </w:tc>
        <w:tc>
          <w:tcPr>
            <w:tcW w:w="2180" w:type="dxa"/>
            <w:shd w:val="clear" w:color="auto" w:fill="auto"/>
            <w:vAlign w:val="center"/>
          </w:tcPr>
          <w:p w14:paraId="5C4BB4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L60xW60xH34-46cm可调节高度</w:t>
            </w:r>
          </w:p>
        </w:tc>
        <w:tc>
          <w:tcPr>
            <w:tcW w:w="834" w:type="dxa"/>
            <w:shd w:val="clear" w:color="auto" w:fill="auto"/>
            <w:vAlign w:val="center"/>
          </w:tcPr>
          <w:p w14:paraId="151F9A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4" w:type="dxa"/>
            <w:shd w:val="clear" w:color="auto" w:fill="auto"/>
            <w:vAlign w:val="center"/>
          </w:tcPr>
          <w:p w14:paraId="017300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5" w:type="dxa"/>
            <w:vAlign w:val="center"/>
          </w:tcPr>
          <w:p w14:paraId="68B4A50B">
            <w:pPr>
              <w:spacing w:line="360" w:lineRule="auto"/>
              <w:outlineLvl w:val="9"/>
              <w:rPr>
                <w:rFonts w:hint="eastAsia" w:ascii="宋体" w:hAnsi="宋体" w:eastAsia="宋体" w:cs="宋体"/>
                <w:sz w:val="20"/>
                <w:szCs w:val="20"/>
                <w:highlight w:val="none"/>
              </w:rPr>
            </w:pPr>
          </w:p>
        </w:tc>
        <w:tc>
          <w:tcPr>
            <w:tcW w:w="835" w:type="dxa"/>
            <w:vAlign w:val="center"/>
          </w:tcPr>
          <w:p w14:paraId="32015639">
            <w:pPr>
              <w:spacing w:line="360" w:lineRule="auto"/>
              <w:outlineLvl w:val="9"/>
              <w:rPr>
                <w:rFonts w:hint="eastAsia" w:ascii="宋体" w:hAnsi="宋体" w:eastAsia="宋体" w:cs="宋体"/>
                <w:sz w:val="20"/>
                <w:szCs w:val="20"/>
                <w:highlight w:val="none"/>
              </w:rPr>
            </w:pPr>
          </w:p>
        </w:tc>
      </w:tr>
      <w:tr w14:paraId="281E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04DC73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5 </w:t>
            </w:r>
          </w:p>
        </w:tc>
        <w:tc>
          <w:tcPr>
            <w:tcW w:w="2165" w:type="dxa"/>
            <w:shd w:val="clear" w:color="auto" w:fill="auto"/>
            <w:vAlign w:val="center"/>
          </w:tcPr>
          <w:p w14:paraId="7C3A49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椅.23cm.可叠</w:t>
            </w:r>
          </w:p>
        </w:tc>
        <w:tc>
          <w:tcPr>
            <w:tcW w:w="2180" w:type="dxa"/>
            <w:shd w:val="clear" w:color="auto" w:fill="auto"/>
            <w:vAlign w:val="center"/>
          </w:tcPr>
          <w:p w14:paraId="702D6F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L36xW30xH42cm（座高23cm）</w:t>
            </w:r>
          </w:p>
        </w:tc>
        <w:tc>
          <w:tcPr>
            <w:tcW w:w="834" w:type="dxa"/>
            <w:shd w:val="clear" w:color="auto" w:fill="auto"/>
            <w:vAlign w:val="center"/>
          </w:tcPr>
          <w:p w14:paraId="08E4CE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w:t>
            </w:r>
          </w:p>
        </w:tc>
        <w:tc>
          <w:tcPr>
            <w:tcW w:w="834" w:type="dxa"/>
            <w:shd w:val="clear" w:color="auto" w:fill="auto"/>
            <w:vAlign w:val="center"/>
          </w:tcPr>
          <w:p w14:paraId="20AFF3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2E276C40">
            <w:pPr>
              <w:spacing w:line="360" w:lineRule="auto"/>
              <w:outlineLvl w:val="9"/>
              <w:rPr>
                <w:rFonts w:hint="eastAsia" w:ascii="宋体" w:hAnsi="宋体" w:eastAsia="宋体" w:cs="宋体"/>
                <w:sz w:val="20"/>
                <w:szCs w:val="20"/>
                <w:highlight w:val="none"/>
              </w:rPr>
            </w:pPr>
          </w:p>
        </w:tc>
        <w:tc>
          <w:tcPr>
            <w:tcW w:w="835" w:type="dxa"/>
            <w:vAlign w:val="center"/>
          </w:tcPr>
          <w:p w14:paraId="044E1855">
            <w:pPr>
              <w:spacing w:line="360" w:lineRule="auto"/>
              <w:outlineLvl w:val="9"/>
              <w:rPr>
                <w:rFonts w:hint="eastAsia" w:ascii="宋体" w:hAnsi="宋体" w:eastAsia="宋体" w:cs="宋体"/>
                <w:sz w:val="20"/>
                <w:szCs w:val="20"/>
                <w:highlight w:val="none"/>
              </w:rPr>
            </w:pPr>
          </w:p>
        </w:tc>
      </w:tr>
      <w:tr w14:paraId="65C1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92267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6 </w:t>
            </w:r>
          </w:p>
        </w:tc>
        <w:tc>
          <w:tcPr>
            <w:tcW w:w="2165" w:type="dxa"/>
            <w:shd w:val="clear" w:color="auto" w:fill="auto"/>
            <w:vAlign w:val="center"/>
          </w:tcPr>
          <w:p w14:paraId="21415E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蒙泰基一体成型椅.41cm.可叠</w:t>
            </w:r>
          </w:p>
        </w:tc>
        <w:tc>
          <w:tcPr>
            <w:tcW w:w="2180" w:type="dxa"/>
            <w:shd w:val="clear" w:color="auto" w:fill="auto"/>
            <w:vAlign w:val="center"/>
          </w:tcPr>
          <w:p w14:paraId="1B535E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L47xW46.5xH73cm（座高41cm）</w:t>
            </w:r>
          </w:p>
        </w:tc>
        <w:tc>
          <w:tcPr>
            <w:tcW w:w="834" w:type="dxa"/>
            <w:shd w:val="clear" w:color="auto" w:fill="auto"/>
            <w:vAlign w:val="center"/>
          </w:tcPr>
          <w:p w14:paraId="3B943F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3F98D6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104A14F3">
            <w:pPr>
              <w:spacing w:line="360" w:lineRule="auto"/>
              <w:outlineLvl w:val="9"/>
              <w:rPr>
                <w:rFonts w:hint="eastAsia" w:ascii="宋体" w:hAnsi="宋体" w:eastAsia="宋体" w:cs="宋体"/>
                <w:sz w:val="20"/>
                <w:szCs w:val="20"/>
                <w:highlight w:val="none"/>
              </w:rPr>
            </w:pPr>
          </w:p>
        </w:tc>
        <w:tc>
          <w:tcPr>
            <w:tcW w:w="835" w:type="dxa"/>
            <w:vAlign w:val="center"/>
          </w:tcPr>
          <w:p w14:paraId="2C469C2B">
            <w:pPr>
              <w:spacing w:line="360" w:lineRule="auto"/>
              <w:outlineLvl w:val="9"/>
              <w:rPr>
                <w:rFonts w:hint="eastAsia" w:ascii="宋体" w:hAnsi="宋体" w:eastAsia="宋体" w:cs="宋体"/>
                <w:sz w:val="20"/>
                <w:szCs w:val="20"/>
                <w:highlight w:val="none"/>
              </w:rPr>
            </w:pPr>
          </w:p>
        </w:tc>
      </w:tr>
      <w:tr w14:paraId="66FB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5AA49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7 </w:t>
            </w:r>
          </w:p>
        </w:tc>
        <w:tc>
          <w:tcPr>
            <w:tcW w:w="2165" w:type="dxa"/>
            <w:shd w:val="clear" w:color="auto" w:fill="auto"/>
            <w:vAlign w:val="center"/>
          </w:tcPr>
          <w:p w14:paraId="01CE60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数字圆形皮质软垫（1-40）</w:t>
            </w:r>
          </w:p>
        </w:tc>
        <w:tc>
          <w:tcPr>
            <w:tcW w:w="2180" w:type="dxa"/>
            <w:shd w:val="clear" w:color="auto" w:fill="auto"/>
            <w:vAlign w:val="center"/>
          </w:tcPr>
          <w:p w14:paraId="6436E5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Ф30xH2cm（单个圆垫）</w:t>
            </w:r>
          </w:p>
        </w:tc>
        <w:tc>
          <w:tcPr>
            <w:tcW w:w="834" w:type="dxa"/>
            <w:shd w:val="clear" w:color="auto" w:fill="auto"/>
            <w:vAlign w:val="center"/>
          </w:tcPr>
          <w:p w14:paraId="5571F0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5A8554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1B5E326C">
            <w:pPr>
              <w:spacing w:line="360" w:lineRule="auto"/>
              <w:outlineLvl w:val="9"/>
              <w:rPr>
                <w:rFonts w:hint="eastAsia" w:ascii="宋体" w:hAnsi="宋体" w:eastAsia="宋体" w:cs="宋体"/>
                <w:sz w:val="20"/>
                <w:szCs w:val="20"/>
                <w:highlight w:val="none"/>
              </w:rPr>
            </w:pPr>
          </w:p>
        </w:tc>
        <w:tc>
          <w:tcPr>
            <w:tcW w:w="835" w:type="dxa"/>
            <w:vAlign w:val="center"/>
          </w:tcPr>
          <w:p w14:paraId="6A4071D2">
            <w:pPr>
              <w:spacing w:line="360" w:lineRule="auto"/>
              <w:outlineLvl w:val="9"/>
              <w:rPr>
                <w:rFonts w:hint="eastAsia" w:ascii="宋体" w:hAnsi="宋体" w:eastAsia="宋体" w:cs="宋体"/>
                <w:sz w:val="20"/>
                <w:szCs w:val="20"/>
                <w:highlight w:val="none"/>
              </w:rPr>
            </w:pPr>
          </w:p>
        </w:tc>
      </w:tr>
      <w:tr w14:paraId="5EB0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3D691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8 </w:t>
            </w:r>
          </w:p>
        </w:tc>
        <w:tc>
          <w:tcPr>
            <w:tcW w:w="2165" w:type="dxa"/>
            <w:shd w:val="clear" w:color="auto" w:fill="auto"/>
            <w:vAlign w:val="center"/>
          </w:tcPr>
          <w:p w14:paraId="62753C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树枝圆形地毯</w:t>
            </w:r>
          </w:p>
        </w:tc>
        <w:tc>
          <w:tcPr>
            <w:tcW w:w="2180" w:type="dxa"/>
            <w:shd w:val="clear" w:color="auto" w:fill="auto"/>
            <w:vAlign w:val="center"/>
          </w:tcPr>
          <w:p w14:paraId="3516E4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φ200cm</w:t>
            </w:r>
          </w:p>
        </w:tc>
        <w:tc>
          <w:tcPr>
            <w:tcW w:w="834" w:type="dxa"/>
            <w:shd w:val="clear" w:color="auto" w:fill="auto"/>
            <w:vAlign w:val="center"/>
          </w:tcPr>
          <w:p w14:paraId="6FED50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3D54F1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3BE1C6A8">
            <w:pPr>
              <w:spacing w:line="360" w:lineRule="auto"/>
              <w:outlineLvl w:val="9"/>
              <w:rPr>
                <w:rFonts w:hint="eastAsia" w:ascii="宋体" w:hAnsi="宋体" w:eastAsia="宋体" w:cs="宋体"/>
                <w:sz w:val="20"/>
                <w:szCs w:val="20"/>
                <w:highlight w:val="none"/>
              </w:rPr>
            </w:pPr>
          </w:p>
        </w:tc>
        <w:tc>
          <w:tcPr>
            <w:tcW w:w="835" w:type="dxa"/>
            <w:vAlign w:val="center"/>
          </w:tcPr>
          <w:p w14:paraId="324EF6AB">
            <w:pPr>
              <w:spacing w:line="360" w:lineRule="auto"/>
              <w:outlineLvl w:val="9"/>
              <w:rPr>
                <w:rFonts w:hint="eastAsia" w:ascii="宋体" w:hAnsi="宋体" w:eastAsia="宋体" w:cs="宋体"/>
                <w:sz w:val="20"/>
                <w:szCs w:val="20"/>
                <w:highlight w:val="none"/>
              </w:rPr>
            </w:pPr>
          </w:p>
        </w:tc>
      </w:tr>
      <w:tr w14:paraId="2561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06FD8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9 </w:t>
            </w:r>
          </w:p>
        </w:tc>
        <w:tc>
          <w:tcPr>
            <w:tcW w:w="2165" w:type="dxa"/>
            <w:shd w:val="clear" w:color="auto" w:fill="auto"/>
            <w:vAlign w:val="center"/>
          </w:tcPr>
          <w:p w14:paraId="3C7BD1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19#丽莎教具篮.卡其色</w:t>
            </w:r>
          </w:p>
        </w:tc>
        <w:tc>
          <w:tcPr>
            <w:tcW w:w="2180" w:type="dxa"/>
            <w:shd w:val="clear" w:color="auto" w:fill="auto"/>
            <w:vAlign w:val="center"/>
          </w:tcPr>
          <w:p w14:paraId="538A83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L26xW28xH19cm</w:t>
            </w:r>
          </w:p>
        </w:tc>
        <w:tc>
          <w:tcPr>
            <w:tcW w:w="834" w:type="dxa"/>
            <w:shd w:val="clear" w:color="auto" w:fill="auto"/>
            <w:vAlign w:val="center"/>
          </w:tcPr>
          <w:p w14:paraId="5B3C8E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w:t>
            </w:r>
          </w:p>
        </w:tc>
        <w:tc>
          <w:tcPr>
            <w:tcW w:w="834" w:type="dxa"/>
            <w:shd w:val="clear" w:color="auto" w:fill="auto"/>
            <w:vAlign w:val="center"/>
          </w:tcPr>
          <w:p w14:paraId="1FAAFF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0F41168">
            <w:pPr>
              <w:spacing w:line="360" w:lineRule="auto"/>
              <w:outlineLvl w:val="9"/>
              <w:rPr>
                <w:rFonts w:hint="eastAsia" w:ascii="宋体" w:hAnsi="宋体" w:eastAsia="宋体" w:cs="宋体"/>
                <w:sz w:val="20"/>
                <w:szCs w:val="20"/>
                <w:highlight w:val="none"/>
              </w:rPr>
            </w:pPr>
          </w:p>
        </w:tc>
        <w:tc>
          <w:tcPr>
            <w:tcW w:w="835" w:type="dxa"/>
            <w:vAlign w:val="center"/>
          </w:tcPr>
          <w:p w14:paraId="37573C98">
            <w:pPr>
              <w:spacing w:line="360" w:lineRule="auto"/>
              <w:outlineLvl w:val="9"/>
              <w:rPr>
                <w:rFonts w:hint="eastAsia" w:ascii="宋体" w:hAnsi="宋体" w:eastAsia="宋体" w:cs="宋体"/>
                <w:sz w:val="20"/>
                <w:szCs w:val="20"/>
                <w:highlight w:val="none"/>
              </w:rPr>
            </w:pPr>
          </w:p>
        </w:tc>
      </w:tr>
      <w:tr w14:paraId="2830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5D2A6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10 </w:t>
            </w:r>
          </w:p>
        </w:tc>
        <w:tc>
          <w:tcPr>
            <w:tcW w:w="2165" w:type="dxa"/>
            <w:shd w:val="clear" w:color="auto" w:fill="auto"/>
            <w:vAlign w:val="center"/>
          </w:tcPr>
          <w:p w14:paraId="086ADB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10#丽莎教具篮.卡其色</w:t>
            </w:r>
          </w:p>
        </w:tc>
        <w:tc>
          <w:tcPr>
            <w:tcW w:w="2180" w:type="dxa"/>
            <w:shd w:val="clear" w:color="auto" w:fill="auto"/>
            <w:vAlign w:val="center"/>
          </w:tcPr>
          <w:p w14:paraId="634590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L26xW28xH10cm</w:t>
            </w:r>
          </w:p>
        </w:tc>
        <w:tc>
          <w:tcPr>
            <w:tcW w:w="834" w:type="dxa"/>
            <w:shd w:val="clear" w:color="auto" w:fill="auto"/>
            <w:vAlign w:val="center"/>
          </w:tcPr>
          <w:p w14:paraId="0D3B58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834" w:type="dxa"/>
            <w:shd w:val="clear" w:color="auto" w:fill="auto"/>
            <w:vAlign w:val="center"/>
          </w:tcPr>
          <w:p w14:paraId="1095EA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9FB1F56">
            <w:pPr>
              <w:spacing w:line="360" w:lineRule="auto"/>
              <w:outlineLvl w:val="9"/>
              <w:rPr>
                <w:rFonts w:hint="eastAsia" w:ascii="宋体" w:hAnsi="宋体" w:eastAsia="宋体" w:cs="宋体"/>
                <w:sz w:val="20"/>
                <w:szCs w:val="20"/>
                <w:highlight w:val="none"/>
              </w:rPr>
            </w:pPr>
          </w:p>
        </w:tc>
        <w:tc>
          <w:tcPr>
            <w:tcW w:w="835" w:type="dxa"/>
            <w:vAlign w:val="center"/>
          </w:tcPr>
          <w:p w14:paraId="75B127B2">
            <w:pPr>
              <w:spacing w:line="360" w:lineRule="auto"/>
              <w:outlineLvl w:val="9"/>
              <w:rPr>
                <w:rFonts w:hint="eastAsia" w:ascii="宋体" w:hAnsi="宋体" w:eastAsia="宋体" w:cs="宋体"/>
                <w:sz w:val="20"/>
                <w:szCs w:val="20"/>
                <w:highlight w:val="none"/>
              </w:rPr>
            </w:pPr>
          </w:p>
        </w:tc>
      </w:tr>
      <w:tr w14:paraId="512B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F743C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11 </w:t>
            </w:r>
          </w:p>
        </w:tc>
        <w:tc>
          <w:tcPr>
            <w:tcW w:w="2165" w:type="dxa"/>
            <w:shd w:val="clear" w:color="auto" w:fill="auto"/>
            <w:vAlign w:val="center"/>
          </w:tcPr>
          <w:p w14:paraId="079131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林中屋综合互动小厨房</w:t>
            </w:r>
          </w:p>
        </w:tc>
        <w:tc>
          <w:tcPr>
            <w:tcW w:w="2180" w:type="dxa"/>
            <w:shd w:val="clear" w:color="auto" w:fill="auto"/>
            <w:vAlign w:val="center"/>
          </w:tcPr>
          <w:p w14:paraId="07A8D9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L90xW32xH102cm</w:t>
            </w:r>
          </w:p>
        </w:tc>
        <w:tc>
          <w:tcPr>
            <w:tcW w:w="834" w:type="dxa"/>
            <w:shd w:val="clear" w:color="auto" w:fill="auto"/>
            <w:vAlign w:val="center"/>
          </w:tcPr>
          <w:p w14:paraId="02BF0B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7C9A9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F364E8B">
            <w:pPr>
              <w:spacing w:line="360" w:lineRule="auto"/>
              <w:outlineLvl w:val="9"/>
              <w:rPr>
                <w:rFonts w:hint="eastAsia" w:ascii="宋体" w:hAnsi="宋体" w:eastAsia="宋体" w:cs="宋体"/>
                <w:sz w:val="20"/>
                <w:szCs w:val="20"/>
                <w:highlight w:val="none"/>
              </w:rPr>
            </w:pPr>
          </w:p>
        </w:tc>
        <w:tc>
          <w:tcPr>
            <w:tcW w:w="835" w:type="dxa"/>
            <w:vAlign w:val="center"/>
          </w:tcPr>
          <w:p w14:paraId="53175C69">
            <w:pPr>
              <w:spacing w:line="360" w:lineRule="auto"/>
              <w:outlineLvl w:val="9"/>
              <w:rPr>
                <w:rFonts w:hint="eastAsia" w:ascii="宋体" w:hAnsi="宋体" w:eastAsia="宋体" w:cs="宋体"/>
                <w:sz w:val="20"/>
                <w:szCs w:val="20"/>
                <w:highlight w:val="none"/>
              </w:rPr>
            </w:pPr>
          </w:p>
        </w:tc>
      </w:tr>
      <w:tr w14:paraId="37A9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0A576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12 </w:t>
            </w:r>
          </w:p>
        </w:tc>
        <w:tc>
          <w:tcPr>
            <w:tcW w:w="2165" w:type="dxa"/>
            <w:shd w:val="clear" w:color="auto" w:fill="auto"/>
            <w:vAlign w:val="center"/>
          </w:tcPr>
          <w:p w14:paraId="2AFC6F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2层45°弧形柜</w:t>
            </w:r>
          </w:p>
        </w:tc>
        <w:tc>
          <w:tcPr>
            <w:tcW w:w="2180" w:type="dxa"/>
            <w:shd w:val="clear" w:color="auto" w:fill="auto"/>
            <w:vAlign w:val="center"/>
          </w:tcPr>
          <w:p w14:paraId="433189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L60xW33xH51cm</w:t>
            </w:r>
          </w:p>
        </w:tc>
        <w:tc>
          <w:tcPr>
            <w:tcW w:w="834" w:type="dxa"/>
            <w:shd w:val="clear" w:color="auto" w:fill="auto"/>
            <w:vAlign w:val="center"/>
          </w:tcPr>
          <w:p w14:paraId="4094A3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DAB52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7343B18">
            <w:pPr>
              <w:spacing w:line="360" w:lineRule="auto"/>
              <w:outlineLvl w:val="9"/>
              <w:rPr>
                <w:rFonts w:hint="eastAsia" w:ascii="宋体" w:hAnsi="宋体" w:eastAsia="宋体" w:cs="宋体"/>
                <w:sz w:val="20"/>
                <w:szCs w:val="20"/>
                <w:highlight w:val="none"/>
              </w:rPr>
            </w:pPr>
          </w:p>
        </w:tc>
        <w:tc>
          <w:tcPr>
            <w:tcW w:w="835" w:type="dxa"/>
            <w:vAlign w:val="center"/>
          </w:tcPr>
          <w:p w14:paraId="7DCB9F5B">
            <w:pPr>
              <w:spacing w:line="360" w:lineRule="auto"/>
              <w:outlineLvl w:val="9"/>
              <w:rPr>
                <w:rFonts w:hint="eastAsia" w:ascii="宋体" w:hAnsi="宋体" w:eastAsia="宋体" w:cs="宋体"/>
                <w:sz w:val="20"/>
                <w:szCs w:val="20"/>
                <w:highlight w:val="none"/>
              </w:rPr>
            </w:pPr>
          </w:p>
        </w:tc>
      </w:tr>
      <w:tr w14:paraId="4D16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08C977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13 </w:t>
            </w:r>
          </w:p>
        </w:tc>
        <w:tc>
          <w:tcPr>
            <w:tcW w:w="2165" w:type="dxa"/>
            <w:shd w:val="clear" w:color="auto" w:fill="auto"/>
            <w:vAlign w:val="center"/>
          </w:tcPr>
          <w:p w14:paraId="7CEBB4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2层90°转角柜</w:t>
            </w:r>
          </w:p>
        </w:tc>
        <w:tc>
          <w:tcPr>
            <w:tcW w:w="2180" w:type="dxa"/>
            <w:shd w:val="clear" w:color="auto" w:fill="auto"/>
            <w:vAlign w:val="center"/>
          </w:tcPr>
          <w:p w14:paraId="531328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L30xW30xH51cm</w:t>
            </w:r>
          </w:p>
        </w:tc>
        <w:tc>
          <w:tcPr>
            <w:tcW w:w="834" w:type="dxa"/>
            <w:shd w:val="clear" w:color="auto" w:fill="auto"/>
            <w:vAlign w:val="center"/>
          </w:tcPr>
          <w:p w14:paraId="145403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01E193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805DA54">
            <w:pPr>
              <w:spacing w:line="360" w:lineRule="auto"/>
              <w:outlineLvl w:val="9"/>
              <w:rPr>
                <w:rFonts w:hint="eastAsia" w:ascii="宋体" w:hAnsi="宋体" w:eastAsia="宋体" w:cs="宋体"/>
                <w:sz w:val="20"/>
                <w:szCs w:val="20"/>
                <w:highlight w:val="none"/>
              </w:rPr>
            </w:pPr>
          </w:p>
        </w:tc>
        <w:tc>
          <w:tcPr>
            <w:tcW w:w="835" w:type="dxa"/>
            <w:vAlign w:val="center"/>
          </w:tcPr>
          <w:p w14:paraId="313E7DB0">
            <w:pPr>
              <w:spacing w:line="360" w:lineRule="auto"/>
              <w:outlineLvl w:val="9"/>
              <w:rPr>
                <w:rFonts w:hint="eastAsia" w:ascii="宋体" w:hAnsi="宋体" w:eastAsia="宋体" w:cs="宋体"/>
                <w:sz w:val="20"/>
                <w:szCs w:val="20"/>
                <w:highlight w:val="none"/>
              </w:rPr>
            </w:pPr>
          </w:p>
        </w:tc>
      </w:tr>
      <w:tr w14:paraId="314A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853AE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14 </w:t>
            </w:r>
          </w:p>
        </w:tc>
        <w:tc>
          <w:tcPr>
            <w:tcW w:w="2165" w:type="dxa"/>
            <w:shd w:val="clear" w:color="auto" w:fill="auto"/>
            <w:vAlign w:val="center"/>
          </w:tcPr>
          <w:p w14:paraId="10BEDC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托育巴士售卖台</w:t>
            </w:r>
          </w:p>
        </w:tc>
        <w:tc>
          <w:tcPr>
            <w:tcW w:w="2180" w:type="dxa"/>
            <w:shd w:val="clear" w:color="auto" w:fill="auto"/>
            <w:vAlign w:val="center"/>
          </w:tcPr>
          <w:p w14:paraId="5B448C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L92xW30xH120cm（含盒）</w:t>
            </w:r>
          </w:p>
        </w:tc>
        <w:tc>
          <w:tcPr>
            <w:tcW w:w="834" w:type="dxa"/>
            <w:shd w:val="clear" w:color="auto" w:fill="auto"/>
            <w:vAlign w:val="center"/>
          </w:tcPr>
          <w:p w14:paraId="201888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95EDA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0805DFE">
            <w:pPr>
              <w:spacing w:line="360" w:lineRule="auto"/>
              <w:outlineLvl w:val="9"/>
              <w:rPr>
                <w:rFonts w:hint="eastAsia" w:ascii="宋体" w:hAnsi="宋体" w:eastAsia="宋体" w:cs="宋体"/>
                <w:sz w:val="20"/>
                <w:szCs w:val="20"/>
                <w:highlight w:val="none"/>
              </w:rPr>
            </w:pPr>
          </w:p>
        </w:tc>
        <w:tc>
          <w:tcPr>
            <w:tcW w:w="835" w:type="dxa"/>
            <w:vAlign w:val="center"/>
          </w:tcPr>
          <w:p w14:paraId="536BAA2F">
            <w:pPr>
              <w:spacing w:line="360" w:lineRule="auto"/>
              <w:outlineLvl w:val="9"/>
              <w:rPr>
                <w:rFonts w:hint="eastAsia" w:ascii="宋体" w:hAnsi="宋体" w:eastAsia="宋体" w:cs="宋体"/>
                <w:sz w:val="20"/>
                <w:szCs w:val="20"/>
                <w:highlight w:val="none"/>
              </w:rPr>
            </w:pPr>
          </w:p>
        </w:tc>
      </w:tr>
      <w:tr w14:paraId="7504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AA1B6B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15 </w:t>
            </w:r>
          </w:p>
        </w:tc>
        <w:tc>
          <w:tcPr>
            <w:tcW w:w="2165" w:type="dxa"/>
            <w:shd w:val="clear" w:color="auto" w:fill="auto"/>
            <w:vAlign w:val="center"/>
          </w:tcPr>
          <w:p w14:paraId="03A800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托育弧形波纹挡板</w:t>
            </w:r>
          </w:p>
        </w:tc>
        <w:tc>
          <w:tcPr>
            <w:tcW w:w="2180" w:type="dxa"/>
            <w:shd w:val="clear" w:color="auto" w:fill="auto"/>
            <w:vAlign w:val="center"/>
          </w:tcPr>
          <w:p w14:paraId="5977EB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L87xW22.5xH51cm</w:t>
            </w:r>
          </w:p>
        </w:tc>
        <w:tc>
          <w:tcPr>
            <w:tcW w:w="834" w:type="dxa"/>
            <w:shd w:val="clear" w:color="auto" w:fill="auto"/>
            <w:vAlign w:val="center"/>
          </w:tcPr>
          <w:p w14:paraId="063984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FB7A4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1494121">
            <w:pPr>
              <w:spacing w:line="360" w:lineRule="auto"/>
              <w:outlineLvl w:val="9"/>
              <w:rPr>
                <w:rFonts w:hint="eastAsia" w:ascii="宋体" w:hAnsi="宋体" w:eastAsia="宋体" w:cs="宋体"/>
                <w:sz w:val="20"/>
                <w:szCs w:val="20"/>
                <w:highlight w:val="none"/>
              </w:rPr>
            </w:pPr>
          </w:p>
        </w:tc>
        <w:tc>
          <w:tcPr>
            <w:tcW w:w="835" w:type="dxa"/>
            <w:vAlign w:val="center"/>
          </w:tcPr>
          <w:p w14:paraId="689E25BA">
            <w:pPr>
              <w:spacing w:line="360" w:lineRule="auto"/>
              <w:outlineLvl w:val="9"/>
              <w:rPr>
                <w:rFonts w:hint="eastAsia" w:ascii="宋体" w:hAnsi="宋体" w:eastAsia="宋体" w:cs="宋体"/>
                <w:sz w:val="20"/>
                <w:szCs w:val="20"/>
                <w:highlight w:val="none"/>
              </w:rPr>
            </w:pPr>
          </w:p>
        </w:tc>
      </w:tr>
      <w:tr w14:paraId="75BF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C4A20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16 </w:t>
            </w:r>
          </w:p>
        </w:tc>
        <w:tc>
          <w:tcPr>
            <w:tcW w:w="2165" w:type="dxa"/>
            <w:shd w:val="clear" w:color="auto" w:fill="auto"/>
            <w:vAlign w:val="center"/>
          </w:tcPr>
          <w:p w14:paraId="615F40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H51cm挡板连接件</w:t>
            </w:r>
          </w:p>
        </w:tc>
        <w:tc>
          <w:tcPr>
            <w:tcW w:w="2180" w:type="dxa"/>
            <w:shd w:val="clear" w:color="auto" w:fill="auto"/>
            <w:vAlign w:val="center"/>
          </w:tcPr>
          <w:p w14:paraId="49C136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φ5.5xH51cm</w:t>
            </w:r>
          </w:p>
        </w:tc>
        <w:tc>
          <w:tcPr>
            <w:tcW w:w="834" w:type="dxa"/>
            <w:shd w:val="clear" w:color="auto" w:fill="auto"/>
            <w:vAlign w:val="center"/>
          </w:tcPr>
          <w:p w14:paraId="4CEE83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21B546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CF9A002">
            <w:pPr>
              <w:spacing w:line="360" w:lineRule="auto"/>
              <w:outlineLvl w:val="9"/>
              <w:rPr>
                <w:rFonts w:hint="eastAsia" w:ascii="宋体" w:hAnsi="宋体" w:eastAsia="宋体" w:cs="宋体"/>
                <w:sz w:val="20"/>
                <w:szCs w:val="20"/>
                <w:highlight w:val="none"/>
              </w:rPr>
            </w:pPr>
          </w:p>
        </w:tc>
        <w:tc>
          <w:tcPr>
            <w:tcW w:w="835" w:type="dxa"/>
            <w:vAlign w:val="center"/>
          </w:tcPr>
          <w:p w14:paraId="4C77A8FD">
            <w:pPr>
              <w:spacing w:line="360" w:lineRule="auto"/>
              <w:outlineLvl w:val="9"/>
              <w:rPr>
                <w:rFonts w:hint="eastAsia" w:ascii="宋体" w:hAnsi="宋体" w:eastAsia="宋体" w:cs="宋体"/>
                <w:sz w:val="20"/>
                <w:szCs w:val="20"/>
                <w:highlight w:val="none"/>
              </w:rPr>
            </w:pPr>
          </w:p>
        </w:tc>
      </w:tr>
      <w:tr w14:paraId="09B0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0A19A1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17 </w:t>
            </w:r>
          </w:p>
        </w:tc>
        <w:tc>
          <w:tcPr>
            <w:tcW w:w="2165" w:type="dxa"/>
            <w:shd w:val="clear" w:color="auto" w:fill="auto"/>
            <w:vAlign w:val="center"/>
          </w:tcPr>
          <w:p w14:paraId="48F732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5格柜.无背板</w:t>
            </w:r>
          </w:p>
        </w:tc>
        <w:tc>
          <w:tcPr>
            <w:tcW w:w="2180" w:type="dxa"/>
            <w:shd w:val="clear" w:color="auto" w:fill="auto"/>
            <w:vAlign w:val="center"/>
          </w:tcPr>
          <w:p w14:paraId="2AC44C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L92xW30xH51cm</w:t>
            </w:r>
          </w:p>
        </w:tc>
        <w:tc>
          <w:tcPr>
            <w:tcW w:w="834" w:type="dxa"/>
            <w:shd w:val="clear" w:color="auto" w:fill="auto"/>
            <w:vAlign w:val="center"/>
          </w:tcPr>
          <w:p w14:paraId="00B375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65CC06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D373550">
            <w:pPr>
              <w:spacing w:line="360" w:lineRule="auto"/>
              <w:outlineLvl w:val="9"/>
              <w:rPr>
                <w:rFonts w:hint="eastAsia" w:ascii="宋体" w:hAnsi="宋体" w:eastAsia="宋体" w:cs="宋体"/>
                <w:sz w:val="20"/>
                <w:szCs w:val="20"/>
                <w:highlight w:val="none"/>
              </w:rPr>
            </w:pPr>
          </w:p>
        </w:tc>
        <w:tc>
          <w:tcPr>
            <w:tcW w:w="835" w:type="dxa"/>
            <w:vAlign w:val="center"/>
          </w:tcPr>
          <w:p w14:paraId="7D904231">
            <w:pPr>
              <w:spacing w:line="360" w:lineRule="auto"/>
              <w:outlineLvl w:val="9"/>
              <w:rPr>
                <w:rFonts w:hint="eastAsia" w:ascii="宋体" w:hAnsi="宋体" w:eastAsia="宋体" w:cs="宋体"/>
                <w:sz w:val="20"/>
                <w:szCs w:val="20"/>
                <w:highlight w:val="none"/>
              </w:rPr>
            </w:pPr>
          </w:p>
        </w:tc>
      </w:tr>
      <w:tr w14:paraId="4BDC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A4FF8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18 </w:t>
            </w:r>
          </w:p>
        </w:tc>
        <w:tc>
          <w:tcPr>
            <w:tcW w:w="2165" w:type="dxa"/>
            <w:shd w:val="clear" w:color="auto" w:fill="auto"/>
            <w:vAlign w:val="center"/>
          </w:tcPr>
          <w:p w14:paraId="348407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2层柜.无背板</w:t>
            </w:r>
          </w:p>
        </w:tc>
        <w:tc>
          <w:tcPr>
            <w:tcW w:w="2180" w:type="dxa"/>
            <w:shd w:val="clear" w:color="auto" w:fill="auto"/>
            <w:vAlign w:val="center"/>
          </w:tcPr>
          <w:p w14:paraId="27D550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L92xW30xH51cm</w:t>
            </w:r>
          </w:p>
        </w:tc>
        <w:tc>
          <w:tcPr>
            <w:tcW w:w="834" w:type="dxa"/>
            <w:shd w:val="clear" w:color="auto" w:fill="auto"/>
            <w:vAlign w:val="center"/>
          </w:tcPr>
          <w:p w14:paraId="636EB4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834" w:type="dxa"/>
            <w:shd w:val="clear" w:color="auto" w:fill="auto"/>
            <w:vAlign w:val="center"/>
          </w:tcPr>
          <w:p w14:paraId="25B8BC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6DE5F25">
            <w:pPr>
              <w:spacing w:line="360" w:lineRule="auto"/>
              <w:outlineLvl w:val="9"/>
              <w:rPr>
                <w:rFonts w:hint="eastAsia" w:ascii="宋体" w:hAnsi="宋体" w:eastAsia="宋体" w:cs="宋体"/>
                <w:sz w:val="20"/>
                <w:szCs w:val="20"/>
                <w:highlight w:val="none"/>
              </w:rPr>
            </w:pPr>
          </w:p>
        </w:tc>
        <w:tc>
          <w:tcPr>
            <w:tcW w:w="835" w:type="dxa"/>
            <w:vAlign w:val="center"/>
          </w:tcPr>
          <w:p w14:paraId="694EA148">
            <w:pPr>
              <w:spacing w:line="360" w:lineRule="auto"/>
              <w:outlineLvl w:val="9"/>
              <w:rPr>
                <w:rFonts w:hint="eastAsia" w:ascii="宋体" w:hAnsi="宋体" w:eastAsia="宋体" w:cs="宋体"/>
                <w:sz w:val="20"/>
                <w:szCs w:val="20"/>
                <w:highlight w:val="none"/>
              </w:rPr>
            </w:pPr>
          </w:p>
        </w:tc>
      </w:tr>
      <w:tr w14:paraId="2375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07753C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19 </w:t>
            </w:r>
          </w:p>
        </w:tc>
        <w:tc>
          <w:tcPr>
            <w:tcW w:w="2165" w:type="dxa"/>
            <w:shd w:val="clear" w:color="auto" w:fill="auto"/>
            <w:vAlign w:val="center"/>
          </w:tcPr>
          <w:p w14:paraId="55C965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感官桌</w:t>
            </w:r>
          </w:p>
        </w:tc>
        <w:tc>
          <w:tcPr>
            <w:tcW w:w="2180" w:type="dxa"/>
            <w:shd w:val="clear" w:color="auto" w:fill="auto"/>
            <w:vAlign w:val="center"/>
          </w:tcPr>
          <w:p w14:paraId="054222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60x60x40、43、46、49、52cm</w:t>
            </w:r>
          </w:p>
        </w:tc>
        <w:tc>
          <w:tcPr>
            <w:tcW w:w="834" w:type="dxa"/>
            <w:shd w:val="clear" w:color="auto" w:fill="auto"/>
            <w:vAlign w:val="center"/>
          </w:tcPr>
          <w:p w14:paraId="657E2E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1A711B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581B6269">
            <w:pPr>
              <w:spacing w:line="360" w:lineRule="auto"/>
              <w:outlineLvl w:val="9"/>
              <w:rPr>
                <w:rFonts w:hint="eastAsia" w:ascii="宋体" w:hAnsi="宋体" w:eastAsia="宋体" w:cs="宋体"/>
                <w:sz w:val="20"/>
                <w:szCs w:val="20"/>
                <w:highlight w:val="none"/>
              </w:rPr>
            </w:pPr>
          </w:p>
        </w:tc>
        <w:tc>
          <w:tcPr>
            <w:tcW w:w="835" w:type="dxa"/>
            <w:vAlign w:val="center"/>
          </w:tcPr>
          <w:p w14:paraId="22006E9F">
            <w:pPr>
              <w:spacing w:line="360" w:lineRule="auto"/>
              <w:outlineLvl w:val="9"/>
              <w:rPr>
                <w:rFonts w:hint="eastAsia" w:ascii="宋体" w:hAnsi="宋体" w:eastAsia="宋体" w:cs="宋体"/>
                <w:sz w:val="20"/>
                <w:szCs w:val="20"/>
                <w:highlight w:val="none"/>
              </w:rPr>
            </w:pPr>
          </w:p>
        </w:tc>
      </w:tr>
      <w:tr w14:paraId="31C2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CC624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20 </w:t>
            </w:r>
          </w:p>
        </w:tc>
        <w:tc>
          <w:tcPr>
            <w:tcW w:w="2165" w:type="dxa"/>
            <w:shd w:val="clear" w:color="auto" w:fill="auto"/>
            <w:vAlign w:val="center"/>
          </w:tcPr>
          <w:p w14:paraId="75C079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2层90°弧形柜</w:t>
            </w:r>
          </w:p>
        </w:tc>
        <w:tc>
          <w:tcPr>
            <w:tcW w:w="2180" w:type="dxa"/>
            <w:shd w:val="clear" w:color="auto" w:fill="auto"/>
            <w:vAlign w:val="center"/>
          </w:tcPr>
          <w:p w14:paraId="6F65BB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L84xW39.5xH51cm</w:t>
            </w:r>
          </w:p>
        </w:tc>
        <w:tc>
          <w:tcPr>
            <w:tcW w:w="834" w:type="dxa"/>
            <w:shd w:val="clear" w:color="auto" w:fill="auto"/>
            <w:vAlign w:val="center"/>
          </w:tcPr>
          <w:p w14:paraId="1A84C9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2C0425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121EEAEB">
            <w:pPr>
              <w:spacing w:line="360" w:lineRule="auto"/>
              <w:outlineLvl w:val="9"/>
              <w:rPr>
                <w:rFonts w:hint="eastAsia" w:ascii="宋体" w:hAnsi="宋体" w:eastAsia="宋体" w:cs="宋体"/>
                <w:sz w:val="20"/>
                <w:szCs w:val="20"/>
                <w:highlight w:val="none"/>
              </w:rPr>
            </w:pPr>
          </w:p>
        </w:tc>
        <w:tc>
          <w:tcPr>
            <w:tcW w:w="835" w:type="dxa"/>
            <w:vAlign w:val="center"/>
          </w:tcPr>
          <w:p w14:paraId="61701388">
            <w:pPr>
              <w:spacing w:line="360" w:lineRule="auto"/>
              <w:outlineLvl w:val="9"/>
              <w:rPr>
                <w:rFonts w:hint="eastAsia" w:ascii="宋体" w:hAnsi="宋体" w:eastAsia="宋体" w:cs="宋体"/>
                <w:sz w:val="20"/>
                <w:szCs w:val="20"/>
                <w:highlight w:val="none"/>
              </w:rPr>
            </w:pPr>
          </w:p>
        </w:tc>
      </w:tr>
      <w:tr w14:paraId="50C2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86ACF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21 </w:t>
            </w:r>
          </w:p>
        </w:tc>
        <w:tc>
          <w:tcPr>
            <w:tcW w:w="2165" w:type="dxa"/>
            <w:shd w:val="clear" w:color="auto" w:fill="auto"/>
            <w:vAlign w:val="center"/>
          </w:tcPr>
          <w:p w14:paraId="503BDC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托育仙人掌美术画板柜</w:t>
            </w:r>
          </w:p>
        </w:tc>
        <w:tc>
          <w:tcPr>
            <w:tcW w:w="2180" w:type="dxa"/>
            <w:shd w:val="clear" w:color="auto" w:fill="auto"/>
            <w:vAlign w:val="center"/>
          </w:tcPr>
          <w:p w14:paraId="6775EF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L91.5xW30xH108cm</w:t>
            </w:r>
          </w:p>
        </w:tc>
        <w:tc>
          <w:tcPr>
            <w:tcW w:w="834" w:type="dxa"/>
            <w:shd w:val="clear" w:color="auto" w:fill="auto"/>
            <w:vAlign w:val="center"/>
          </w:tcPr>
          <w:p w14:paraId="2ED22C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4F5AC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E35541A">
            <w:pPr>
              <w:spacing w:line="360" w:lineRule="auto"/>
              <w:outlineLvl w:val="9"/>
              <w:rPr>
                <w:rFonts w:hint="eastAsia" w:ascii="宋体" w:hAnsi="宋体" w:eastAsia="宋体" w:cs="宋体"/>
                <w:sz w:val="20"/>
                <w:szCs w:val="20"/>
                <w:highlight w:val="none"/>
              </w:rPr>
            </w:pPr>
          </w:p>
        </w:tc>
        <w:tc>
          <w:tcPr>
            <w:tcW w:w="835" w:type="dxa"/>
            <w:vAlign w:val="center"/>
          </w:tcPr>
          <w:p w14:paraId="79643F7E">
            <w:pPr>
              <w:spacing w:line="360" w:lineRule="auto"/>
              <w:outlineLvl w:val="9"/>
              <w:rPr>
                <w:rFonts w:hint="eastAsia" w:ascii="宋体" w:hAnsi="宋体" w:eastAsia="宋体" w:cs="宋体"/>
                <w:sz w:val="20"/>
                <w:szCs w:val="20"/>
                <w:highlight w:val="none"/>
              </w:rPr>
            </w:pPr>
          </w:p>
        </w:tc>
      </w:tr>
      <w:tr w14:paraId="5AF4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2B01F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22 </w:t>
            </w:r>
          </w:p>
        </w:tc>
        <w:tc>
          <w:tcPr>
            <w:tcW w:w="2165" w:type="dxa"/>
            <w:shd w:val="clear" w:color="auto" w:fill="auto"/>
            <w:vAlign w:val="center"/>
          </w:tcPr>
          <w:p w14:paraId="00A360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3格柜.无背板</w:t>
            </w:r>
          </w:p>
        </w:tc>
        <w:tc>
          <w:tcPr>
            <w:tcW w:w="2180" w:type="dxa"/>
            <w:shd w:val="clear" w:color="auto" w:fill="auto"/>
            <w:vAlign w:val="center"/>
          </w:tcPr>
          <w:p w14:paraId="5B5D09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L92xW30xH36cm</w:t>
            </w:r>
          </w:p>
        </w:tc>
        <w:tc>
          <w:tcPr>
            <w:tcW w:w="834" w:type="dxa"/>
            <w:shd w:val="clear" w:color="auto" w:fill="auto"/>
            <w:vAlign w:val="center"/>
          </w:tcPr>
          <w:p w14:paraId="0C4849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691AA6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44CD3821">
            <w:pPr>
              <w:spacing w:line="360" w:lineRule="auto"/>
              <w:outlineLvl w:val="9"/>
              <w:rPr>
                <w:rFonts w:hint="eastAsia" w:ascii="宋体" w:hAnsi="宋体" w:eastAsia="宋体" w:cs="宋体"/>
                <w:sz w:val="20"/>
                <w:szCs w:val="20"/>
                <w:highlight w:val="none"/>
              </w:rPr>
            </w:pPr>
          </w:p>
        </w:tc>
        <w:tc>
          <w:tcPr>
            <w:tcW w:w="835" w:type="dxa"/>
            <w:vAlign w:val="center"/>
          </w:tcPr>
          <w:p w14:paraId="0B2972F7">
            <w:pPr>
              <w:spacing w:line="360" w:lineRule="auto"/>
              <w:outlineLvl w:val="9"/>
              <w:rPr>
                <w:rFonts w:hint="eastAsia" w:ascii="宋体" w:hAnsi="宋体" w:eastAsia="宋体" w:cs="宋体"/>
                <w:sz w:val="20"/>
                <w:szCs w:val="20"/>
                <w:highlight w:val="none"/>
              </w:rPr>
            </w:pPr>
          </w:p>
        </w:tc>
      </w:tr>
      <w:tr w14:paraId="1833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3F3DB1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23 </w:t>
            </w:r>
          </w:p>
        </w:tc>
        <w:tc>
          <w:tcPr>
            <w:tcW w:w="2165" w:type="dxa"/>
            <w:shd w:val="clear" w:color="auto" w:fill="auto"/>
            <w:vAlign w:val="center"/>
          </w:tcPr>
          <w:p w14:paraId="178031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托育童趣双人沙发</w:t>
            </w:r>
          </w:p>
        </w:tc>
        <w:tc>
          <w:tcPr>
            <w:tcW w:w="2180" w:type="dxa"/>
            <w:shd w:val="clear" w:color="auto" w:fill="auto"/>
            <w:vAlign w:val="center"/>
          </w:tcPr>
          <w:p w14:paraId="03D137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L103xW43xH44cm</w:t>
            </w:r>
          </w:p>
        </w:tc>
        <w:tc>
          <w:tcPr>
            <w:tcW w:w="834" w:type="dxa"/>
            <w:shd w:val="clear" w:color="auto" w:fill="auto"/>
            <w:vAlign w:val="center"/>
          </w:tcPr>
          <w:p w14:paraId="0F1AEA3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1F93A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0ADB2A2F">
            <w:pPr>
              <w:spacing w:line="360" w:lineRule="auto"/>
              <w:outlineLvl w:val="9"/>
              <w:rPr>
                <w:rFonts w:hint="eastAsia" w:ascii="宋体" w:hAnsi="宋体" w:eastAsia="宋体" w:cs="宋体"/>
                <w:sz w:val="20"/>
                <w:szCs w:val="20"/>
                <w:highlight w:val="none"/>
              </w:rPr>
            </w:pPr>
          </w:p>
        </w:tc>
        <w:tc>
          <w:tcPr>
            <w:tcW w:w="835" w:type="dxa"/>
            <w:vAlign w:val="center"/>
          </w:tcPr>
          <w:p w14:paraId="7B94A025">
            <w:pPr>
              <w:spacing w:line="360" w:lineRule="auto"/>
              <w:outlineLvl w:val="9"/>
              <w:rPr>
                <w:rFonts w:hint="eastAsia" w:ascii="宋体" w:hAnsi="宋体" w:eastAsia="宋体" w:cs="宋体"/>
                <w:sz w:val="20"/>
                <w:szCs w:val="20"/>
                <w:highlight w:val="none"/>
              </w:rPr>
            </w:pPr>
          </w:p>
        </w:tc>
      </w:tr>
      <w:tr w14:paraId="00FB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9B681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24 </w:t>
            </w:r>
          </w:p>
        </w:tc>
        <w:tc>
          <w:tcPr>
            <w:tcW w:w="2165" w:type="dxa"/>
            <w:shd w:val="clear" w:color="auto" w:fill="auto"/>
            <w:vAlign w:val="center"/>
          </w:tcPr>
          <w:p w14:paraId="1F0ADE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托育童趣单人沙发</w:t>
            </w:r>
          </w:p>
        </w:tc>
        <w:tc>
          <w:tcPr>
            <w:tcW w:w="2180" w:type="dxa"/>
            <w:shd w:val="clear" w:color="auto" w:fill="auto"/>
            <w:vAlign w:val="center"/>
          </w:tcPr>
          <w:p w14:paraId="5B0DD7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L71xW43xH44cm</w:t>
            </w:r>
          </w:p>
        </w:tc>
        <w:tc>
          <w:tcPr>
            <w:tcW w:w="834" w:type="dxa"/>
            <w:shd w:val="clear" w:color="auto" w:fill="auto"/>
            <w:vAlign w:val="center"/>
          </w:tcPr>
          <w:p w14:paraId="726331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29B787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25D9F3B0">
            <w:pPr>
              <w:spacing w:line="360" w:lineRule="auto"/>
              <w:outlineLvl w:val="9"/>
              <w:rPr>
                <w:rFonts w:hint="eastAsia" w:ascii="宋体" w:hAnsi="宋体" w:eastAsia="宋体" w:cs="宋体"/>
                <w:sz w:val="20"/>
                <w:szCs w:val="20"/>
                <w:highlight w:val="none"/>
              </w:rPr>
            </w:pPr>
          </w:p>
        </w:tc>
        <w:tc>
          <w:tcPr>
            <w:tcW w:w="835" w:type="dxa"/>
            <w:vAlign w:val="center"/>
          </w:tcPr>
          <w:p w14:paraId="62097678">
            <w:pPr>
              <w:spacing w:line="360" w:lineRule="auto"/>
              <w:outlineLvl w:val="9"/>
              <w:rPr>
                <w:rFonts w:hint="eastAsia" w:ascii="宋体" w:hAnsi="宋体" w:eastAsia="宋体" w:cs="宋体"/>
                <w:sz w:val="20"/>
                <w:szCs w:val="20"/>
                <w:highlight w:val="none"/>
              </w:rPr>
            </w:pPr>
          </w:p>
        </w:tc>
      </w:tr>
      <w:tr w14:paraId="65B1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1ADE7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25 </w:t>
            </w:r>
          </w:p>
        </w:tc>
        <w:tc>
          <w:tcPr>
            <w:tcW w:w="2165" w:type="dxa"/>
            <w:shd w:val="clear" w:color="auto" w:fill="auto"/>
            <w:vAlign w:val="center"/>
          </w:tcPr>
          <w:p w14:paraId="1562D67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托育袋鼠造型书架</w:t>
            </w:r>
          </w:p>
        </w:tc>
        <w:tc>
          <w:tcPr>
            <w:tcW w:w="2180" w:type="dxa"/>
            <w:shd w:val="clear" w:color="auto" w:fill="auto"/>
            <w:vAlign w:val="center"/>
          </w:tcPr>
          <w:p w14:paraId="1CF700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L70xW46xH67cm</w:t>
            </w:r>
          </w:p>
        </w:tc>
        <w:tc>
          <w:tcPr>
            <w:tcW w:w="834" w:type="dxa"/>
            <w:shd w:val="clear" w:color="auto" w:fill="auto"/>
            <w:vAlign w:val="center"/>
          </w:tcPr>
          <w:p w14:paraId="1E77DD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32AFFF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6E5EE2A5">
            <w:pPr>
              <w:spacing w:line="360" w:lineRule="auto"/>
              <w:outlineLvl w:val="9"/>
              <w:rPr>
                <w:rFonts w:hint="eastAsia" w:ascii="宋体" w:hAnsi="宋体" w:eastAsia="宋体" w:cs="宋体"/>
                <w:sz w:val="20"/>
                <w:szCs w:val="20"/>
                <w:highlight w:val="none"/>
              </w:rPr>
            </w:pPr>
          </w:p>
        </w:tc>
        <w:tc>
          <w:tcPr>
            <w:tcW w:w="835" w:type="dxa"/>
            <w:vAlign w:val="center"/>
          </w:tcPr>
          <w:p w14:paraId="641E6985">
            <w:pPr>
              <w:spacing w:line="360" w:lineRule="auto"/>
              <w:outlineLvl w:val="9"/>
              <w:rPr>
                <w:rFonts w:hint="eastAsia" w:ascii="宋体" w:hAnsi="宋体" w:eastAsia="宋体" w:cs="宋体"/>
                <w:sz w:val="20"/>
                <w:szCs w:val="20"/>
                <w:highlight w:val="none"/>
              </w:rPr>
            </w:pPr>
          </w:p>
        </w:tc>
      </w:tr>
      <w:tr w14:paraId="1390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BE0EF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26 </w:t>
            </w:r>
          </w:p>
        </w:tc>
        <w:tc>
          <w:tcPr>
            <w:tcW w:w="2165" w:type="dxa"/>
            <w:shd w:val="clear" w:color="auto" w:fill="auto"/>
            <w:vAlign w:val="center"/>
          </w:tcPr>
          <w:p w14:paraId="6372E1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托育亲亲自然造型柜</w:t>
            </w:r>
          </w:p>
        </w:tc>
        <w:tc>
          <w:tcPr>
            <w:tcW w:w="2180" w:type="dxa"/>
            <w:shd w:val="clear" w:color="auto" w:fill="auto"/>
            <w:vAlign w:val="center"/>
          </w:tcPr>
          <w:p w14:paraId="40FB0C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L60xW31xH99cm</w:t>
            </w:r>
          </w:p>
        </w:tc>
        <w:tc>
          <w:tcPr>
            <w:tcW w:w="834" w:type="dxa"/>
            <w:shd w:val="clear" w:color="auto" w:fill="auto"/>
            <w:vAlign w:val="center"/>
          </w:tcPr>
          <w:p w14:paraId="21F8C3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1E22DF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4BF6949">
            <w:pPr>
              <w:spacing w:line="360" w:lineRule="auto"/>
              <w:outlineLvl w:val="9"/>
              <w:rPr>
                <w:rFonts w:hint="eastAsia" w:ascii="宋体" w:hAnsi="宋体" w:eastAsia="宋体" w:cs="宋体"/>
                <w:sz w:val="20"/>
                <w:szCs w:val="20"/>
                <w:highlight w:val="none"/>
              </w:rPr>
            </w:pPr>
          </w:p>
        </w:tc>
        <w:tc>
          <w:tcPr>
            <w:tcW w:w="835" w:type="dxa"/>
            <w:vAlign w:val="center"/>
          </w:tcPr>
          <w:p w14:paraId="6D369ECF">
            <w:pPr>
              <w:spacing w:line="360" w:lineRule="auto"/>
              <w:outlineLvl w:val="9"/>
              <w:rPr>
                <w:rFonts w:hint="eastAsia" w:ascii="宋体" w:hAnsi="宋体" w:eastAsia="宋体" w:cs="宋体"/>
                <w:sz w:val="20"/>
                <w:szCs w:val="20"/>
                <w:highlight w:val="none"/>
              </w:rPr>
            </w:pPr>
          </w:p>
        </w:tc>
      </w:tr>
      <w:tr w14:paraId="19BC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8B274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27 </w:t>
            </w:r>
          </w:p>
        </w:tc>
        <w:tc>
          <w:tcPr>
            <w:tcW w:w="2165" w:type="dxa"/>
            <w:shd w:val="clear" w:color="auto" w:fill="auto"/>
            <w:vAlign w:val="center"/>
          </w:tcPr>
          <w:p w14:paraId="4D7C2B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私密小窝</w:t>
            </w:r>
          </w:p>
        </w:tc>
        <w:tc>
          <w:tcPr>
            <w:tcW w:w="2180" w:type="dxa"/>
            <w:shd w:val="clear" w:color="auto" w:fill="auto"/>
            <w:vAlign w:val="center"/>
          </w:tcPr>
          <w:p w14:paraId="7ADC67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L115xW70xH88cm</w:t>
            </w:r>
          </w:p>
        </w:tc>
        <w:tc>
          <w:tcPr>
            <w:tcW w:w="834" w:type="dxa"/>
            <w:shd w:val="clear" w:color="auto" w:fill="auto"/>
            <w:vAlign w:val="center"/>
          </w:tcPr>
          <w:p w14:paraId="3406ED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3763B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FCEB7EA">
            <w:pPr>
              <w:spacing w:line="360" w:lineRule="auto"/>
              <w:outlineLvl w:val="9"/>
              <w:rPr>
                <w:rFonts w:hint="eastAsia" w:ascii="宋体" w:hAnsi="宋体" w:eastAsia="宋体" w:cs="宋体"/>
                <w:sz w:val="20"/>
                <w:szCs w:val="20"/>
                <w:highlight w:val="none"/>
              </w:rPr>
            </w:pPr>
          </w:p>
        </w:tc>
        <w:tc>
          <w:tcPr>
            <w:tcW w:w="835" w:type="dxa"/>
            <w:vAlign w:val="center"/>
          </w:tcPr>
          <w:p w14:paraId="796FC9AF">
            <w:pPr>
              <w:spacing w:line="360" w:lineRule="auto"/>
              <w:outlineLvl w:val="9"/>
              <w:rPr>
                <w:rFonts w:hint="eastAsia" w:ascii="宋体" w:hAnsi="宋体" w:eastAsia="宋体" w:cs="宋体"/>
                <w:sz w:val="20"/>
                <w:szCs w:val="20"/>
                <w:highlight w:val="none"/>
              </w:rPr>
            </w:pPr>
          </w:p>
        </w:tc>
      </w:tr>
      <w:tr w14:paraId="7492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49A78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28 </w:t>
            </w:r>
          </w:p>
        </w:tc>
        <w:tc>
          <w:tcPr>
            <w:tcW w:w="2165" w:type="dxa"/>
            <w:shd w:val="clear" w:color="auto" w:fill="auto"/>
            <w:vAlign w:val="center"/>
          </w:tcPr>
          <w:p w14:paraId="71C64A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点线面蓝色地毯</w:t>
            </w:r>
          </w:p>
        </w:tc>
        <w:tc>
          <w:tcPr>
            <w:tcW w:w="2180" w:type="dxa"/>
            <w:shd w:val="clear" w:color="auto" w:fill="auto"/>
            <w:vAlign w:val="center"/>
          </w:tcPr>
          <w:p w14:paraId="5FE785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L240xW180cm</w:t>
            </w:r>
          </w:p>
        </w:tc>
        <w:tc>
          <w:tcPr>
            <w:tcW w:w="834" w:type="dxa"/>
            <w:shd w:val="clear" w:color="auto" w:fill="auto"/>
            <w:vAlign w:val="center"/>
          </w:tcPr>
          <w:p w14:paraId="2584C0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7D6201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147BD38D">
            <w:pPr>
              <w:spacing w:line="360" w:lineRule="auto"/>
              <w:outlineLvl w:val="9"/>
              <w:rPr>
                <w:rFonts w:hint="eastAsia" w:ascii="宋体" w:hAnsi="宋体" w:eastAsia="宋体" w:cs="宋体"/>
                <w:sz w:val="20"/>
                <w:szCs w:val="20"/>
                <w:highlight w:val="none"/>
              </w:rPr>
            </w:pPr>
          </w:p>
        </w:tc>
        <w:tc>
          <w:tcPr>
            <w:tcW w:w="835" w:type="dxa"/>
            <w:vAlign w:val="center"/>
          </w:tcPr>
          <w:p w14:paraId="1F62E7F5">
            <w:pPr>
              <w:spacing w:line="360" w:lineRule="auto"/>
              <w:outlineLvl w:val="9"/>
              <w:rPr>
                <w:rFonts w:hint="eastAsia" w:ascii="宋体" w:hAnsi="宋体" w:eastAsia="宋体" w:cs="宋体"/>
                <w:sz w:val="20"/>
                <w:szCs w:val="20"/>
                <w:highlight w:val="none"/>
              </w:rPr>
            </w:pPr>
          </w:p>
        </w:tc>
      </w:tr>
      <w:tr w14:paraId="5DBC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40959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29 </w:t>
            </w:r>
          </w:p>
        </w:tc>
        <w:tc>
          <w:tcPr>
            <w:tcW w:w="2165" w:type="dxa"/>
            <w:shd w:val="clear" w:color="auto" w:fill="auto"/>
            <w:vAlign w:val="center"/>
          </w:tcPr>
          <w:p w14:paraId="1ABCDB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感统钻洞</w:t>
            </w:r>
          </w:p>
        </w:tc>
        <w:tc>
          <w:tcPr>
            <w:tcW w:w="2180" w:type="dxa"/>
            <w:shd w:val="clear" w:color="auto" w:fill="auto"/>
            <w:vAlign w:val="center"/>
          </w:tcPr>
          <w:p w14:paraId="7ED3EA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L60xW60xH60cm</w:t>
            </w:r>
          </w:p>
        </w:tc>
        <w:tc>
          <w:tcPr>
            <w:tcW w:w="834" w:type="dxa"/>
            <w:shd w:val="clear" w:color="auto" w:fill="auto"/>
            <w:vAlign w:val="center"/>
          </w:tcPr>
          <w:p w14:paraId="62DB2E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38D527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7BDDD862">
            <w:pPr>
              <w:spacing w:line="360" w:lineRule="auto"/>
              <w:outlineLvl w:val="9"/>
              <w:rPr>
                <w:rFonts w:hint="eastAsia" w:ascii="宋体" w:hAnsi="宋体" w:eastAsia="宋体" w:cs="宋体"/>
                <w:sz w:val="20"/>
                <w:szCs w:val="20"/>
                <w:highlight w:val="none"/>
              </w:rPr>
            </w:pPr>
          </w:p>
        </w:tc>
        <w:tc>
          <w:tcPr>
            <w:tcW w:w="835" w:type="dxa"/>
            <w:vAlign w:val="center"/>
          </w:tcPr>
          <w:p w14:paraId="55B7DE38">
            <w:pPr>
              <w:spacing w:line="360" w:lineRule="auto"/>
              <w:outlineLvl w:val="9"/>
              <w:rPr>
                <w:rFonts w:hint="eastAsia" w:ascii="宋体" w:hAnsi="宋体" w:eastAsia="宋体" w:cs="宋体"/>
                <w:sz w:val="20"/>
                <w:szCs w:val="20"/>
                <w:highlight w:val="none"/>
              </w:rPr>
            </w:pPr>
          </w:p>
        </w:tc>
      </w:tr>
      <w:tr w14:paraId="45B8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276BD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30 </w:t>
            </w:r>
          </w:p>
        </w:tc>
        <w:tc>
          <w:tcPr>
            <w:tcW w:w="2165" w:type="dxa"/>
            <w:shd w:val="clear" w:color="auto" w:fill="auto"/>
            <w:vAlign w:val="center"/>
          </w:tcPr>
          <w:p w14:paraId="7D9721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感统波浪阶梯</w:t>
            </w:r>
          </w:p>
        </w:tc>
        <w:tc>
          <w:tcPr>
            <w:tcW w:w="2180" w:type="dxa"/>
            <w:shd w:val="clear" w:color="auto" w:fill="auto"/>
            <w:vAlign w:val="center"/>
          </w:tcPr>
          <w:p w14:paraId="093E55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L60xW60xH36cm</w:t>
            </w:r>
          </w:p>
        </w:tc>
        <w:tc>
          <w:tcPr>
            <w:tcW w:w="834" w:type="dxa"/>
            <w:shd w:val="clear" w:color="auto" w:fill="auto"/>
            <w:vAlign w:val="center"/>
          </w:tcPr>
          <w:p w14:paraId="11E7CB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60AA59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93FF837">
            <w:pPr>
              <w:spacing w:line="360" w:lineRule="auto"/>
              <w:outlineLvl w:val="9"/>
              <w:rPr>
                <w:rFonts w:hint="eastAsia" w:ascii="宋体" w:hAnsi="宋体" w:eastAsia="宋体" w:cs="宋体"/>
                <w:sz w:val="20"/>
                <w:szCs w:val="20"/>
                <w:highlight w:val="none"/>
              </w:rPr>
            </w:pPr>
          </w:p>
        </w:tc>
        <w:tc>
          <w:tcPr>
            <w:tcW w:w="835" w:type="dxa"/>
            <w:vAlign w:val="center"/>
          </w:tcPr>
          <w:p w14:paraId="2B7319AE">
            <w:pPr>
              <w:spacing w:line="360" w:lineRule="auto"/>
              <w:outlineLvl w:val="9"/>
              <w:rPr>
                <w:rFonts w:hint="eastAsia" w:ascii="宋体" w:hAnsi="宋体" w:eastAsia="宋体" w:cs="宋体"/>
                <w:sz w:val="20"/>
                <w:szCs w:val="20"/>
                <w:highlight w:val="none"/>
              </w:rPr>
            </w:pPr>
          </w:p>
        </w:tc>
      </w:tr>
      <w:tr w14:paraId="052C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83294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31 </w:t>
            </w:r>
          </w:p>
        </w:tc>
        <w:tc>
          <w:tcPr>
            <w:tcW w:w="2165" w:type="dxa"/>
            <w:shd w:val="clear" w:color="auto" w:fill="auto"/>
            <w:vAlign w:val="center"/>
          </w:tcPr>
          <w:p w14:paraId="07FE2D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不规则方块软包.烟灰绿</w:t>
            </w:r>
          </w:p>
        </w:tc>
        <w:tc>
          <w:tcPr>
            <w:tcW w:w="2180" w:type="dxa"/>
            <w:shd w:val="clear" w:color="auto" w:fill="auto"/>
            <w:vAlign w:val="center"/>
          </w:tcPr>
          <w:p w14:paraId="5CB75F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L120xW120xH18cm（R60cm）</w:t>
            </w:r>
          </w:p>
        </w:tc>
        <w:tc>
          <w:tcPr>
            <w:tcW w:w="834" w:type="dxa"/>
            <w:shd w:val="clear" w:color="auto" w:fill="auto"/>
            <w:vAlign w:val="center"/>
          </w:tcPr>
          <w:p w14:paraId="44DB72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2C3002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7F96832">
            <w:pPr>
              <w:spacing w:line="360" w:lineRule="auto"/>
              <w:outlineLvl w:val="9"/>
              <w:rPr>
                <w:rFonts w:hint="eastAsia" w:ascii="宋体" w:hAnsi="宋体" w:eastAsia="宋体" w:cs="宋体"/>
                <w:sz w:val="20"/>
                <w:szCs w:val="20"/>
                <w:highlight w:val="none"/>
              </w:rPr>
            </w:pPr>
          </w:p>
        </w:tc>
        <w:tc>
          <w:tcPr>
            <w:tcW w:w="835" w:type="dxa"/>
            <w:vAlign w:val="center"/>
          </w:tcPr>
          <w:p w14:paraId="363ADDD6">
            <w:pPr>
              <w:spacing w:line="360" w:lineRule="auto"/>
              <w:outlineLvl w:val="9"/>
              <w:rPr>
                <w:rFonts w:hint="eastAsia" w:ascii="宋体" w:hAnsi="宋体" w:eastAsia="宋体" w:cs="宋体"/>
                <w:sz w:val="20"/>
                <w:szCs w:val="20"/>
                <w:highlight w:val="none"/>
              </w:rPr>
            </w:pPr>
          </w:p>
        </w:tc>
      </w:tr>
      <w:tr w14:paraId="196F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C52BE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32 </w:t>
            </w:r>
          </w:p>
        </w:tc>
        <w:tc>
          <w:tcPr>
            <w:tcW w:w="2165" w:type="dxa"/>
            <w:shd w:val="clear" w:color="auto" w:fill="auto"/>
            <w:vAlign w:val="center"/>
          </w:tcPr>
          <w:p w14:paraId="6D90A1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1/4椭圆软包.烟灰绿</w:t>
            </w:r>
          </w:p>
        </w:tc>
        <w:tc>
          <w:tcPr>
            <w:tcW w:w="2180" w:type="dxa"/>
            <w:shd w:val="clear" w:color="auto" w:fill="auto"/>
            <w:vAlign w:val="center"/>
          </w:tcPr>
          <w:p w14:paraId="01FEED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L120xW60xH9cm</w:t>
            </w:r>
          </w:p>
        </w:tc>
        <w:tc>
          <w:tcPr>
            <w:tcW w:w="834" w:type="dxa"/>
            <w:shd w:val="clear" w:color="auto" w:fill="auto"/>
            <w:vAlign w:val="center"/>
          </w:tcPr>
          <w:p w14:paraId="032CDBE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2C12A3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C15C6CE">
            <w:pPr>
              <w:spacing w:line="360" w:lineRule="auto"/>
              <w:outlineLvl w:val="9"/>
              <w:rPr>
                <w:rFonts w:hint="eastAsia" w:ascii="宋体" w:hAnsi="宋体" w:eastAsia="宋体" w:cs="宋体"/>
                <w:sz w:val="20"/>
                <w:szCs w:val="20"/>
                <w:highlight w:val="none"/>
              </w:rPr>
            </w:pPr>
          </w:p>
        </w:tc>
        <w:tc>
          <w:tcPr>
            <w:tcW w:w="835" w:type="dxa"/>
            <w:vAlign w:val="center"/>
          </w:tcPr>
          <w:p w14:paraId="081B7F0C">
            <w:pPr>
              <w:spacing w:line="360" w:lineRule="auto"/>
              <w:outlineLvl w:val="9"/>
              <w:rPr>
                <w:rFonts w:hint="eastAsia" w:ascii="宋体" w:hAnsi="宋体" w:eastAsia="宋体" w:cs="宋体"/>
                <w:sz w:val="20"/>
                <w:szCs w:val="20"/>
                <w:highlight w:val="none"/>
              </w:rPr>
            </w:pPr>
          </w:p>
        </w:tc>
      </w:tr>
      <w:tr w14:paraId="360D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4C5AE4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33 </w:t>
            </w:r>
          </w:p>
        </w:tc>
        <w:tc>
          <w:tcPr>
            <w:tcW w:w="2165" w:type="dxa"/>
            <w:shd w:val="clear" w:color="auto" w:fill="auto"/>
            <w:vAlign w:val="center"/>
          </w:tcPr>
          <w:p w14:paraId="2ECFA3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弧形软包(小).橙色</w:t>
            </w:r>
          </w:p>
        </w:tc>
        <w:tc>
          <w:tcPr>
            <w:tcW w:w="2180" w:type="dxa"/>
            <w:shd w:val="clear" w:color="auto" w:fill="auto"/>
            <w:vAlign w:val="center"/>
          </w:tcPr>
          <w:p w14:paraId="033A56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外：R40cm；内：R20cm；高：18cm</w:t>
            </w:r>
          </w:p>
        </w:tc>
        <w:tc>
          <w:tcPr>
            <w:tcW w:w="834" w:type="dxa"/>
            <w:shd w:val="clear" w:color="auto" w:fill="auto"/>
            <w:vAlign w:val="center"/>
          </w:tcPr>
          <w:p w14:paraId="1D2799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4A90AD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6FB5C27C">
            <w:pPr>
              <w:spacing w:line="360" w:lineRule="auto"/>
              <w:outlineLvl w:val="9"/>
              <w:rPr>
                <w:rFonts w:hint="eastAsia" w:ascii="宋体" w:hAnsi="宋体" w:eastAsia="宋体" w:cs="宋体"/>
                <w:sz w:val="20"/>
                <w:szCs w:val="20"/>
                <w:highlight w:val="none"/>
              </w:rPr>
            </w:pPr>
          </w:p>
        </w:tc>
        <w:tc>
          <w:tcPr>
            <w:tcW w:w="835" w:type="dxa"/>
            <w:vAlign w:val="center"/>
          </w:tcPr>
          <w:p w14:paraId="399E9798">
            <w:pPr>
              <w:spacing w:line="360" w:lineRule="auto"/>
              <w:outlineLvl w:val="9"/>
              <w:rPr>
                <w:rFonts w:hint="eastAsia" w:ascii="宋体" w:hAnsi="宋体" w:eastAsia="宋体" w:cs="宋体"/>
                <w:sz w:val="20"/>
                <w:szCs w:val="20"/>
                <w:highlight w:val="none"/>
              </w:rPr>
            </w:pPr>
          </w:p>
        </w:tc>
      </w:tr>
      <w:tr w14:paraId="6969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0561F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34 </w:t>
            </w:r>
          </w:p>
        </w:tc>
        <w:tc>
          <w:tcPr>
            <w:tcW w:w="2165" w:type="dxa"/>
            <w:shd w:val="clear" w:color="auto" w:fill="auto"/>
            <w:vAlign w:val="center"/>
          </w:tcPr>
          <w:p w14:paraId="24C56C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树叶软包(小)</w:t>
            </w:r>
          </w:p>
        </w:tc>
        <w:tc>
          <w:tcPr>
            <w:tcW w:w="2180" w:type="dxa"/>
            <w:shd w:val="clear" w:color="auto" w:fill="auto"/>
            <w:vAlign w:val="center"/>
          </w:tcPr>
          <w:p w14:paraId="115149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L33xW20xH56cm</w:t>
            </w:r>
          </w:p>
        </w:tc>
        <w:tc>
          <w:tcPr>
            <w:tcW w:w="834" w:type="dxa"/>
            <w:shd w:val="clear" w:color="auto" w:fill="auto"/>
            <w:vAlign w:val="center"/>
          </w:tcPr>
          <w:p w14:paraId="35A669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2F365F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6FF21216">
            <w:pPr>
              <w:spacing w:line="360" w:lineRule="auto"/>
              <w:outlineLvl w:val="9"/>
              <w:rPr>
                <w:rFonts w:hint="eastAsia" w:ascii="宋体" w:hAnsi="宋体" w:eastAsia="宋体" w:cs="宋体"/>
                <w:sz w:val="20"/>
                <w:szCs w:val="20"/>
                <w:highlight w:val="none"/>
              </w:rPr>
            </w:pPr>
          </w:p>
        </w:tc>
        <w:tc>
          <w:tcPr>
            <w:tcW w:w="835" w:type="dxa"/>
            <w:vAlign w:val="center"/>
          </w:tcPr>
          <w:p w14:paraId="019DD427">
            <w:pPr>
              <w:spacing w:line="360" w:lineRule="auto"/>
              <w:outlineLvl w:val="9"/>
              <w:rPr>
                <w:rFonts w:hint="eastAsia" w:ascii="宋体" w:hAnsi="宋体" w:eastAsia="宋体" w:cs="宋体"/>
                <w:sz w:val="20"/>
                <w:szCs w:val="20"/>
                <w:highlight w:val="none"/>
              </w:rPr>
            </w:pPr>
          </w:p>
        </w:tc>
      </w:tr>
      <w:tr w14:paraId="2B2F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A771C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35 </w:t>
            </w:r>
          </w:p>
        </w:tc>
        <w:tc>
          <w:tcPr>
            <w:tcW w:w="2165" w:type="dxa"/>
            <w:shd w:val="clear" w:color="auto" w:fill="auto"/>
            <w:vAlign w:val="center"/>
          </w:tcPr>
          <w:p w14:paraId="084E4F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树叶软包(大)</w:t>
            </w:r>
          </w:p>
        </w:tc>
        <w:tc>
          <w:tcPr>
            <w:tcW w:w="2180" w:type="dxa"/>
            <w:shd w:val="clear" w:color="auto" w:fill="auto"/>
            <w:vAlign w:val="center"/>
          </w:tcPr>
          <w:p w14:paraId="68DB01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L46xW23xH80cm</w:t>
            </w:r>
          </w:p>
        </w:tc>
        <w:tc>
          <w:tcPr>
            <w:tcW w:w="834" w:type="dxa"/>
            <w:shd w:val="clear" w:color="auto" w:fill="auto"/>
            <w:vAlign w:val="center"/>
          </w:tcPr>
          <w:p w14:paraId="4FD2BF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077220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40A01EB8">
            <w:pPr>
              <w:spacing w:line="360" w:lineRule="auto"/>
              <w:outlineLvl w:val="9"/>
              <w:rPr>
                <w:rFonts w:hint="eastAsia" w:ascii="宋体" w:hAnsi="宋体" w:eastAsia="宋体" w:cs="宋体"/>
                <w:sz w:val="20"/>
                <w:szCs w:val="20"/>
                <w:highlight w:val="none"/>
              </w:rPr>
            </w:pPr>
          </w:p>
        </w:tc>
        <w:tc>
          <w:tcPr>
            <w:tcW w:w="835" w:type="dxa"/>
            <w:vAlign w:val="center"/>
          </w:tcPr>
          <w:p w14:paraId="17A1561B">
            <w:pPr>
              <w:spacing w:line="360" w:lineRule="auto"/>
              <w:outlineLvl w:val="9"/>
              <w:rPr>
                <w:rFonts w:hint="eastAsia" w:ascii="宋体" w:hAnsi="宋体" w:eastAsia="宋体" w:cs="宋体"/>
                <w:sz w:val="20"/>
                <w:szCs w:val="20"/>
                <w:highlight w:val="none"/>
              </w:rPr>
            </w:pPr>
          </w:p>
        </w:tc>
      </w:tr>
      <w:tr w14:paraId="5647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A7E59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36 </w:t>
            </w:r>
          </w:p>
        </w:tc>
        <w:tc>
          <w:tcPr>
            <w:tcW w:w="2165" w:type="dxa"/>
            <w:shd w:val="clear" w:color="auto" w:fill="auto"/>
            <w:vAlign w:val="center"/>
          </w:tcPr>
          <w:p w14:paraId="74A1F1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萝卜墩软包</w:t>
            </w:r>
          </w:p>
        </w:tc>
        <w:tc>
          <w:tcPr>
            <w:tcW w:w="2180" w:type="dxa"/>
            <w:shd w:val="clear" w:color="auto" w:fill="auto"/>
            <w:vAlign w:val="center"/>
          </w:tcPr>
          <w:p w14:paraId="7FCE82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φ30xH25cm（底部φ22cm）</w:t>
            </w:r>
          </w:p>
        </w:tc>
        <w:tc>
          <w:tcPr>
            <w:tcW w:w="834" w:type="dxa"/>
            <w:shd w:val="clear" w:color="auto" w:fill="auto"/>
            <w:vAlign w:val="center"/>
          </w:tcPr>
          <w:p w14:paraId="2B4265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5699F6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4A5E88C6">
            <w:pPr>
              <w:spacing w:line="360" w:lineRule="auto"/>
              <w:outlineLvl w:val="9"/>
              <w:rPr>
                <w:rFonts w:hint="eastAsia" w:ascii="宋体" w:hAnsi="宋体" w:eastAsia="宋体" w:cs="宋体"/>
                <w:sz w:val="20"/>
                <w:szCs w:val="20"/>
                <w:highlight w:val="none"/>
              </w:rPr>
            </w:pPr>
          </w:p>
        </w:tc>
        <w:tc>
          <w:tcPr>
            <w:tcW w:w="835" w:type="dxa"/>
            <w:vAlign w:val="center"/>
          </w:tcPr>
          <w:p w14:paraId="6D9DB3BA">
            <w:pPr>
              <w:spacing w:line="360" w:lineRule="auto"/>
              <w:outlineLvl w:val="9"/>
              <w:rPr>
                <w:rFonts w:hint="eastAsia" w:ascii="宋体" w:hAnsi="宋体" w:eastAsia="宋体" w:cs="宋体"/>
                <w:sz w:val="20"/>
                <w:szCs w:val="20"/>
                <w:highlight w:val="none"/>
              </w:rPr>
            </w:pPr>
          </w:p>
        </w:tc>
      </w:tr>
      <w:tr w14:paraId="39D2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73988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37 </w:t>
            </w:r>
          </w:p>
        </w:tc>
        <w:tc>
          <w:tcPr>
            <w:tcW w:w="2165" w:type="dxa"/>
            <w:shd w:val="clear" w:color="auto" w:fill="auto"/>
            <w:vAlign w:val="center"/>
          </w:tcPr>
          <w:p w14:paraId="63657E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圆洞障碍软包</w:t>
            </w:r>
          </w:p>
        </w:tc>
        <w:tc>
          <w:tcPr>
            <w:tcW w:w="2180" w:type="dxa"/>
            <w:shd w:val="clear" w:color="auto" w:fill="auto"/>
            <w:vAlign w:val="center"/>
          </w:tcPr>
          <w:p w14:paraId="203A65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L120xW60xH18cm</w:t>
            </w:r>
          </w:p>
        </w:tc>
        <w:tc>
          <w:tcPr>
            <w:tcW w:w="834" w:type="dxa"/>
            <w:shd w:val="clear" w:color="auto" w:fill="auto"/>
            <w:vAlign w:val="center"/>
          </w:tcPr>
          <w:p w14:paraId="6B0FC1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3380B7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887EB86">
            <w:pPr>
              <w:spacing w:line="360" w:lineRule="auto"/>
              <w:outlineLvl w:val="9"/>
              <w:rPr>
                <w:rFonts w:hint="eastAsia" w:ascii="宋体" w:hAnsi="宋体" w:eastAsia="宋体" w:cs="宋体"/>
                <w:sz w:val="20"/>
                <w:szCs w:val="20"/>
                <w:highlight w:val="none"/>
              </w:rPr>
            </w:pPr>
          </w:p>
        </w:tc>
        <w:tc>
          <w:tcPr>
            <w:tcW w:w="835" w:type="dxa"/>
            <w:vAlign w:val="center"/>
          </w:tcPr>
          <w:p w14:paraId="0C7518D1">
            <w:pPr>
              <w:spacing w:line="360" w:lineRule="auto"/>
              <w:outlineLvl w:val="9"/>
              <w:rPr>
                <w:rFonts w:hint="eastAsia" w:ascii="宋体" w:hAnsi="宋体" w:eastAsia="宋体" w:cs="宋体"/>
                <w:sz w:val="20"/>
                <w:szCs w:val="20"/>
                <w:highlight w:val="none"/>
              </w:rPr>
            </w:pPr>
          </w:p>
        </w:tc>
      </w:tr>
      <w:tr w14:paraId="61ED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AB4F1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38 </w:t>
            </w:r>
          </w:p>
        </w:tc>
        <w:tc>
          <w:tcPr>
            <w:tcW w:w="2165" w:type="dxa"/>
            <w:shd w:val="clear" w:color="auto" w:fill="auto"/>
            <w:vAlign w:val="center"/>
          </w:tcPr>
          <w:p w14:paraId="74921F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42格茶杯架.落地款</w:t>
            </w:r>
          </w:p>
        </w:tc>
        <w:tc>
          <w:tcPr>
            <w:tcW w:w="2180" w:type="dxa"/>
            <w:shd w:val="clear" w:color="auto" w:fill="auto"/>
            <w:vAlign w:val="center"/>
          </w:tcPr>
          <w:p w14:paraId="10AB53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L73xW30xH102cm</w:t>
            </w:r>
          </w:p>
        </w:tc>
        <w:tc>
          <w:tcPr>
            <w:tcW w:w="834" w:type="dxa"/>
            <w:shd w:val="clear" w:color="auto" w:fill="auto"/>
            <w:vAlign w:val="center"/>
          </w:tcPr>
          <w:p w14:paraId="724DB0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3C3A7F4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4F9C1100">
            <w:pPr>
              <w:spacing w:line="360" w:lineRule="auto"/>
              <w:outlineLvl w:val="9"/>
              <w:rPr>
                <w:rFonts w:hint="eastAsia" w:ascii="宋体" w:hAnsi="宋体" w:eastAsia="宋体" w:cs="宋体"/>
                <w:sz w:val="20"/>
                <w:szCs w:val="20"/>
                <w:highlight w:val="none"/>
              </w:rPr>
            </w:pPr>
          </w:p>
        </w:tc>
        <w:tc>
          <w:tcPr>
            <w:tcW w:w="835" w:type="dxa"/>
            <w:vAlign w:val="center"/>
          </w:tcPr>
          <w:p w14:paraId="51767073">
            <w:pPr>
              <w:spacing w:line="360" w:lineRule="auto"/>
              <w:outlineLvl w:val="9"/>
              <w:rPr>
                <w:rFonts w:hint="eastAsia" w:ascii="宋体" w:hAnsi="宋体" w:eastAsia="宋体" w:cs="宋体"/>
                <w:sz w:val="20"/>
                <w:szCs w:val="20"/>
                <w:highlight w:val="none"/>
              </w:rPr>
            </w:pPr>
          </w:p>
        </w:tc>
      </w:tr>
      <w:tr w14:paraId="2684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833" w:type="dxa"/>
            <w:shd w:val="clear" w:color="auto" w:fill="auto"/>
            <w:vAlign w:val="center"/>
          </w:tcPr>
          <w:p w14:paraId="7C2CEE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39 </w:t>
            </w:r>
          </w:p>
        </w:tc>
        <w:tc>
          <w:tcPr>
            <w:tcW w:w="2165" w:type="dxa"/>
            <w:shd w:val="clear" w:color="auto" w:fill="auto"/>
            <w:vAlign w:val="center"/>
          </w:tcPr>
          <w:p w14:paraId="4FBB77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托育婴幼儿活动床1.24m</w:t>
            </w:r>
          </w:p>
        </w:tc>
        <w:tc>
          <w:tcPr>
            <w:tcW w:w="2180" w:type="dxa"/>
            <w:shd w:val="clear" w:color="auto" w:fill="auto"/>
            <w:vAlign w:val="center"/>
          </w:tcPr>
          <w:p w14:paraId="2590BF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L124xW58xH22.5cm(不含轮)</w:t>
            </w:r>
          </w:p>
        </w:tc>
        <w:tc>
          <w:tcPr>
            <w:tcW w:w="834" w:type="dxa"/>
            <w:shd w:val="clear" w:color="auto" w:fill="auto"/>
            <w:vAlign w:val="center"/>
          </w:tcPr>
          <w:p w14:paraId="53ABBE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w:t>
            </w:r>
          </w:p>
        </w:tc>
        <w:tc>
          <w:tcPr>
            <w:tcW w:w="834" w:type="dxa"/>
            <w:shd w:val="clear" w:color="auto" w:fill="auto"/>
            <w:vAlign w:val="center"/>
          </w:tcPr>
          <w:p w14:paraId="25C8BC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55C5B943">
            <w:pPr>
              <w:spacing w:line="360" w:lineRule="auto"/>
              <w:outlineLvl w:val="9"/>
              <w:rPr>
                <w:rFonts w:hint="eastAsia" w:ascii="宋体" w:hAnsi="宋体" w:eastAsia="宋体" w:cs="宋体"/>
                <w:sz w:val="20"/>
                <w:szCs w:val="20"/>
                <w:highlight w:val="none"/>
              </w:rPr>
            </w:pPr>
          </w:p>
        </w:tc>
        <w:tc>
          <w:tcPr>
            <w:tcW w:w="835" w:type="dxa"/>
            <w:vAlign w:val="center"/>
          </w:tcPr>
          <w:p w14:paraId="20225D49">
            <w:pPr>
              <w:spacing w:line="360" w:lineRule="auto"/>
              <w:outlineLvl w:val="9"/>
              <w:rPr>
                <w:rFonts w:hint="eastAsia" w:ascii="宋体" w:hAnsi="宋体" w:eastAsia="宋体" w:cs="宋体"/>
                <w:sz w:val="20"/>
                <w:szCs w:val="20"/>
                <w:highlight w:val="none"/>
              </w:rPr>
            </w:pPr>
          </w:p>
        </w:tc>
      </w:tr>
      <w:tr w14:paraId="5A3B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D7FF9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40 </w:t>
            </w:r>
          </w:p>
        </w:tc>
        <w:tc>
          <w:tcPr>
            <w:tcW w:w="2165" w:type="dxa"/>
            <w:shd w:val="clear" w:color="auto" w:fill="auto"/>
            <w:vAlign w:val="center"/>
          </w:tcPr>
          <w:p w14:paraId="3A17CF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丝杆万向脚轮(适配叠床)</w:t>
            </w:r>
          </w:p>
        </w:tc>
        <w:tc>
          <w:tcPr>
            <w:tcW w:w="2180" w:type="dxa"/>
            <w:shd w:val="clear" w:color="auto" w:fill="auto"/>
            <w:vAlign w:val="center"/>
          </w:tcPr>
          <w:p w14:paraId="7CF675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φ6xH8cm</w:t>
            </w:r>
          </w:p>
        </w:tc>
        <w:tc>
          <w:tcPr>
            <w:tcW w:w="834" w:type="dxa"/>
            <w:shd w:val="clear" w:color="auto" w:fill="auto"/>
            <w:vAlign w:val="center"/>
          </w:tcPr>
          <w:p w14:paraId="5CB8FC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834" w:type="dxa"/>
            <w:shd w:val="clear" w:color="auto" w:fill="auto"/>
            <w:vAlign w:val="center"/>
          </w:tcPr>
          <w:p w14:paraId="285853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55D9968A">
            <w:pPr>
              <w:spacing w:line="360" w:lineRule="auto"/>
              <w:outlineLvl w:val="9"/>
              <w:rPr>
                <w:rFonts w:hint="eastAsia" w:ascii="宋体" w:hAnsi="宋体" w:eastAsia="宋体" w:cs="宋体"/>
                <w:sz w:val="20"/>
                <w:szCs w:val="20"/>
                <w:highlight w:val="none"/>
              </w:rPr>
            </w:pPr>
          </w:p>
        </w:tc>
        <w:tc>
          <w:tcPr>
            <w:tcW w:w="835" w:type="dxa"/>
            <w:vAlign w:val="center"/>
          </w:tcPr>
          <w:p w14:paraId="20914EF6">
            <w:pPr>
              <w:spacing w:line="360" w:lineRule="auto"/>
              <w:outlineLvl w:val="9"/>
              <w:rPr>
                <w:rFonts w:hint="eastAsia" w:ascii="宋体" w:hAnsi="宋体" w:eastAsia="宋体" w:cs="宋体"/>
                <w:sz w:val="20"/>
                <w:szCs w:val="20"/>
                <w:highlight w:val="none"/>
              </w:rPr>
            </w:pPr>
          </w:p>
        </w:tc>
      </w:tr>
      <w:tr w14:paraId="0F33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516" w:type="dxa"/>
            <w:gridSpan w:val="7"/>
            <w:shd w:val="clear" w:color="auto" w:fill="auto"/>
            <w:vAlign w:val="center"/>
          </w:tcPr>
          <w:p w14:paraId="76B68003">
            <w:pPr>
              <w:spacing w:line="360" w:lineRule="auto"/>
              <w:outlineLvl w:val="9"/>
              <w:rPr>
                <w:rFonts w:hint="eastAsia" w:ascii="宋体" w:hAnsi="宋体" w:eastAsia="宋体" w:cs="宋体"/>
                <w:sz w:val="20"/>
                <w:szCs w:val="20"/>
                <w:highlight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小班</w:t>
            </w:r>
          </w:p>
        </w:tc>
      </w:tr>
      <w:tr w14:paraId="369E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52931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41</w:t>
            </w:r>
          </w:p>
        </w:tc>
        <w:tc>
          <w:tcPr>
            <w:tcW w:w="2165" w:type="dxa"/>
            <w:shd w:val="clear" w:color="auto" w:fill="auto"/>
            <w:vAlign w:val="center"/>
          </w:tcPr>
          <w:p w14:paraId="55ED75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原木6人桌.49cm</w:t>
            </w:r>
          </w:p>
        </w:tc>
        <w:tc>
          <w:tcPr>
            <w:tcW w:w="2180" w:type="dxa"/>
            <w:shd w:val="clear" w:color="auto" w:fill="auto"/>
            <w:vAlign w:val="center"/>
          </w:tcPr>
          <w:p w14:paraId="17D022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L120xW60xH49cm</w:t>
            </w:r>
          </w:p>
        </w:tc>
        <w:tc>
          <w:tcPr>
            <w:tcW w:w="834" w:type="dxa"/>
            <w:shd w:val="clear" w:color="auto" w:fill="auto"/>
            <w:vAlign w:val="center"/>
          </w:tcPr>
          <w:p w14:paraId="2AC951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10</w:t>
            </w:r>
          </w:p>
        </w:tc>
        <w:tc>
          <w:tcPr>
            <w:tcW w:w="834" w:type="dxa"/>
            <w:shd w:val="clear" w:color="auto" w:fill="auto"/>
            <w:vAlign w:val="center"/>
          </w:tcPr>
          <w:p w14:paraId="409918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4FA9ED29">
            <w:pPr>
              <w:spacing w:line="360" w:lineRule="auto"/>
              <w:outlineLvl w:val="9"/>
              <w:rPr>
                <w:rFonts w:hint="eastAsia" w:ascii="宋体" w:hAnsi="宋体" w:eastAsia="宋体" w:cs="宋体"/>
                <w:sz w:val="20"/>
                <w:szCs w:val="20"/>
                <w:highlight w:val="none"/>
              </w:rPr>
            </w:pPr>
          </w:p>
        </w:tc>
        <w:tc>
          <w:tcPr>
            <w:tcW w:w="835" w:type="dxa"/>
            <w:vAlign w:val="center"/>
          </w:tcPr>
          <w:p w14:paraId="29241C77">
            <w:pPr>
              <w:spacing w:line="360" w:lineRule="auto"/>
              <w:outlineLvl w:val="9"/>
              <w:rPr>
                <w:rFonts w:hint="eastAsia" w:ascii="宋体" w:hAnsi="宋体" w:eastAsia="宋体" w:cs="宋体"/>
                <w:sz w:val="20"/>
                <w:szCs w:val="20"/>
                <w:highlight w:val="none"/>
              </w:rPr>
            </w:pPr>
          </w:p>
        </w:tc>
      </w:tr>
      <w:tr w14:paraId="4111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9CB5F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42</w:t>
            </w:r>
          </w:p>
        </w:tc>
        <w:tc>
          <w:tcPr>
            <w:tcW w:w="2165" w:type="dxa"/>
            <w:shd w:val="clear" w:color="auto" w:fill="auto"/>
            <w:vAlign w:val="center"/>
          </w:tcPr>
          <w:p w14:paraId="1FC50F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原木4人桌.49cm</w:t>
            </w:r>
          </w:p>
        </w:tc>
        <w:tc>
          <w:tcPr>
            <w:tcW w:w="2180" w:type="dxa"/>
            <w:shd w:val="clear" w:color="auto" w:fill="auto"/>
            <w:vAlign w:val="center"/>
          </w:tcPr>
          <w:p w14:paraId="178891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L60xW60xH49cm</w:t>
            </w:r>
          </w:p>
        </w:tc>
        <w:tc>
          <w:tcPr>
            <w:tcW w:w="834" w:type="dxa"/>
            <w:shd w:val="clear" w:color="auto" w:fill="auto"/>
            <w:vAlign w:val="center"/>
          </w:tcPr>
          <w:p w14:paraId="2319D3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8</w:t>
            </w:r>
          </w:p>
        </w:tc>
        <w:tc>
          <w:tcPr>
            <w:tcW w:w="834" w:type="dxa"/>
            <w:shd w:val="clear" w:color="auto" w:fill="auto"/>
            <w:vAlign w:val="center"/>
          </w:tcPr>
          <w:p w14:paraId="282EB5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2D9233F9">
            <w:pPr>
              <w:spacing w:line="360" w:lineRule="auto"/>
              <w:outlineLvl w:val="9"/>
              <w:rPr>
                <w:rFonts w:hint="eastAsia" w:ascii="宋体" w:hAnsi="宋体" w:eastAsia="宋体" w:cs="宋体"/>
                <w:sz w:val="20"/>
                <w:szCs w:val="20"/>
                <w:highlight w:val="none"/>
              </w:rPr>
            </w:pPr>
          </w:p>
        </w:tc>
        <w:tc>
          <w:tcPr>
            <w:tcW w:w="835" w:type="dxa"/>
            <w:vAlign w:val="center"/>
          </w:tcPr>
          <w:p w14:paraId="3EDFC9A6">
            <w:pPr>
              <w:spacing w:line="360" w:lineRule="auto"/>
              <w:outlineLvl w:val="9"/>
              <w:rPr>
                <w:rFonts w:hint="eastAsia" w:ascii="宋体" w:hAnsi="宋体" w:eastAsia="宋体" w:cs="宋体"/>
                <w:sz w:val="20"/>
                <w:szCs w:val="20"/>
                <w:highlight w:val="none"/>
              </w:rPr>
            </w:pPr>
          </w:p>
        </w:tc>
      </w:tr>
      <w:tr w14:paraId="118F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F5643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43</w:t>
            </w:r>
          </w:p>
        </w:tc>
        <w:tc>
          <w:tcPr>
            <w:tcW w:w="2165" w:type="dxa"/>
            <w:shd w:val="clear" w:color="auto" w:fill="auto"/>
            <w:vAlign w:val="center"/>
          </w:tcPr>
          <w:p w14:paraId="5B288C2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原木椅.25cm</w:t>
            </w:r>
          </w:p>
        </w:tc>
        <w:tc>
          <w:tcPr>
            <w:tcW w:w="2180" w:type="dxa"/>
            <w:shd w:val="clear" w:color="auto" w:fill="auto"/>
            <w:vAlign w:val="center"/>
          </w:tcPr>
          <w:p w14:paraId="25F5FC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L30xW30xH47cm（座高25cm）</w:t>
            </w:r>
          </w:p>
        </w:tc>
        <w:tc>
          <w:tcPr>
            <w:tcW w:w="834" w:type="dxa"/>
            <w:shd w:val="clear" w:color="auto" w:fill="auto"/>
            <w:vAlign w:val="center"/>
          </w:tcPr>
          <w:p w14:paraId="3AFCFC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56</w:t>
            </w:r>
          </w:p>
        </w:tc>
        <w:tc>
          <w:tcPr>
            <w:tcW w:w="834" w:type="dxa"/>
            <w:shd w:val="clear" w:color="auto" w:fill="auto"/>
            <w:vAlign w:val="center"/>
          </w:tcPr>
          <w:p w14:paraId="410093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7F6B0803">
            <w:pPr>
              <w:spacing w:line="360" w:lineRule="auto"/>
              <w:outlineLvl w:val="9"/>
              <w:rPr>
                <w:rFonts w:hint="eastAsia" w:ascii="宋体" w:hAnsi="宋体" w:eastAsia="宋体" w:cs="宋体"/>
                <w:sz w:val="20"/>
                <w:szCs w:val="20"/>
                <w:highlight w:val="none"/>
              </w:rPr>
            </w:pPr>
          </w:p>
        </w:tc>
        <w:tc>
          <w:tcPr>
            <w:tcW w:w="835" w:type="dxa"/>
            <w:vAlign w:val="center"/>
          </w:tcPr>
          <w:p w14:paraId="7C973D5A">
            <w:pPr>
              <w:spacing w:line="360" w:lineRule="auto"/>
              <w:outlineLvl w:val="9"/>
              <w:rPr>
                <w:rFonts w:hint="eastAsia" w:ascii="宋体" w:hAnsi="宋体" w:eastAsia="宋体" w:cs="宋体"/>
                <w:sz w:val="20"/>
                <w:szCs w:val="20"/>
                <w:highlight w:val="none"/>
              </w:rPr>
            </w:pPr>
          </w:p>
        </w:tc>
      </w:tr>
      <w:tr w14:paraId="6A2F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06E15E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44</w:t>
            </w:r>
          </w:p>
        </w:tc>
        <w:tc>
          <w:tcPr>
            <w:tcW w:w="2165" w:type="dxa"/>
            <w:shd w:val="clear" w:color="auto" w:fill="auto"/>
            <w:vAlign w:val="center"/>
          </w:tcPr>
          <w:p w14:paraId="4F59F3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蒙泰基一体成型椅.41cm.可叠</w:t>
            </w:r>
          </w:p>
        </w:tc>
        <w:tc>
          <w:tcPr>
            <w:tcW w:w="2180" w:type="dxa"/>
            <w:shd w:val="clear" w:color="auto" w:fill="auto"/>
            <w:vAlign w:val="center"/>
          </w:tcPr>
          <w:p w14:paraId="306348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L47xW46.5xH73cm（座高41cm）</w:t>
            </w:r>
          </w:p>
        </w:tc>
        <w:tc>
          <w:tcPr>
            <w:tcW w:w="834" w:type="dxa"/>
            <w:shd w:val="clear" w:color="auto" w:fill="auto"/>
            <w:vAlign w:val="center"/>
          </w:tcPr>
          <w:p w14:paraId="4ED558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w:t>
            </w:r>
          </w:p>
        </w:tc>
        <w:tc>
          <w:tcPr>
            <w:tcW w:w="834" w:type="dxa"/>
            <w:shd w:val="clear" w:color="auto" w:fill="auto"/>
            <w:vAlign w:val="center"/>
          </w:tcPr>
          <w:p w14:paraId="39964D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746B17CE">
            <w:pPr>
              <w:spacing w:line="360" w:lineRule="auto"/>
              <w:outlineLvl w:val="9"/>
              <w:rPr>
                <w:rFonts w:hint="eastAsia" w:ascii="宋体" w:hAnsi="宋体" w:eastAsia="宋体" w:cs="宋体"/>
                <w:sz w:val="20"/>
                <w:szCs w:val="20"/>
                <w:highlight w:val="none"/>
              </w:rPr>
            </w:pPr>
          </w:p>
        </w:tc>
        <w:tc>
          <w:tcPr>
            <w:tcW w:w="835" w:type="dxa"/>
            <w:vAlign w:val="center"/>
          </w:tcPr>
          <w:p w14:paraId="1078B659">
            <w:pPr>
              <w:spacing w:line="360" w:lineRule="auto"/>
              <w:outlineLvl w:val="9"/>
              <w:rPr>
                <w:rFonts w:hint="eastAsia" w:ascii="宋体" w:hAnsi="宋体" w:eastAsia="宋体" w:cs="宋体"/>
                <w:sz w:val="20"/>
                <w:szCs w:val="20"/>
                <w:highlight w:val="none"/>
              </w:rPr>
            </w:pPr>
          </w:p>
        </w:tc>
      </w:tr>
      <w:tr w14:paraId="724A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D3A34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w:t>
            </w:r>
          </w:p>
        </w:tc>
        <w:tc>
          <w:tcPr>
            <w:tcW w:w="2165" w:type="dxa"/>
            <w:shd w:val="clear" w:color="auto" w:fill="auto"/>
            <w:vAlign w:val="center"/>
          </w:tcPr>
          <w:p w14:paraId="3963F4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美术储物双面画架</w:t>
            </w:r>
          </w:p>
        </w:tc>
        <w:tc>
          <w:tcPr>
            <w:tcW w:w="2180" w:type="dxa"/>
            <w:shd w:val="clear" w:color="auto" w:fill="auto"/>
            <w:vAlign w:val="center"/>
          </w:tcPr>
          <w:p w14:paraId="222D86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L62xW45xH124cm（含轮 ）</w:t>
            </w:r>
          </w:p>
        </w:tc>
        <w:tc>
          <w:tcPr>
            <w:tcW w:w="834" w:type="dxa"/>
            <w:shd w:val="clear" w:color="auto" w:fill="auto"/>
            <w:vAlign w:val="center"/>
          </w:tcPr>
          <w:p w14:paraId="148CF4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73BD28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E0AF0F9">
            <w:pPr>
              <w:spacing w:line="360" w:lineRule="auto"/>
              <w:outlineLvl w:val="9"/>
              <w:rPr>
                <w:rFonts w:hint="eastAsia" w:ascii="宋体" w:hAnsi="宋体" w:eastAsia="宋体" w:cs="宋体"/>
                <w:sz w:val="20"/>
                <w:szCs w:val="20"/>
                <w:highlight w:val="none"/>
              </w:rPr>
            </w:pPr>
          </w:p>
        </w:tc>
        <w:tc>
          <w:tcPr>
            <w:tcW w:w="835" w:type="dxa"/>
            <w:vAlign w:val="center"/>
          </w:tcPr>
          <w:p w14:paraId="45D7D217">
            <w:pPr>
              <w:spacing w:line="360" w:lineRule="auto"/>
              <w:outlineLvl w:val="9"/>
              <w:rPr>
                <w:rFonts w:hint="eastAsia" w:ascii="宋体" w:hAnsi="宋体" w:eastAsia="宋体" w:cs="宋体"/>
                <w:sz w:val="20"/>
                <w:szCs w:val="20"/>
                <w:highlight w:val="none"/>
              </w:rPr>
            </w:pPr>
          </w:p>
        </w:tc>
      </w:tr>
      <w:tr w14:paraId="5C7E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A43E8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46</w:t>
            </w:r>
          </w:p>
        </w:tc>
        <w:tc>
          <w:tcPr>
            <w:tcW w:w="2165" w:type="dxa"/>
            <w:shd w:val="clear" w:color="auto" w:fill="auto"/>
            <w:vAlign w:val="center"/>
          </w:tcPr>
          <w:p w14:paraId="0745F9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美术作品晾干柜</w:t>
            </w:r>
          </w:p>
        </w:tc>
        <w:tc>
          <w:tcPr>
            <w:tcW w:w="2180" w:type="dxa"/>
            <w:shd w:val="clear" w:color="auto" w:fill="auto"/>
            <w:vAlign w:val="center"/>
          </w:tcPr>
          <w:p w14:paraId="350D16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L50xW40xH76cm</w:t>
            </w:r>
          </w:p>
        </w:tc>
        <w:tc>
          <w:tcPr>
            <w:tcW w:w="834" w:type="dxa"/>
            <w:shd w:val="clear" w:color="auto" w:fill="auto"/>
            <w:vAlign w:val="center"/>
          </w:tcPr>
          <w:p w14:paraId="040D667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44B1C5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31203F0">
            <w:pPr>
              <w:spacing w:line="360" w:lineRule="auto"/>
              <w:outlineLvl w:val="9"/>
              <w:rPr>
                <w:rFonts w:hint="eastAsia" w:ascii="宋体" w:hAnsi="宋体" w:eastAsia="宋体" w:cs="宋体"/>
                <w:sz w:val="20"/>
                <w:szCs w:val="20"/>
                <w:highlight w:val="none"/>
              </w:rPr>
            </w:pPr>
          </w:p>
        </w:tc>
        <w:tc>
          <w:tcPr>
            <w:tcW w:w="835" w:type="dxa"/>
            <w:vAlign w:val="center"/>
          </w:tcPr>
          <w:p w14:paraId="1D84991E">
            <w:pPr>
              <w:spacing w:line="360" w:lineRule="auto"/>
              <w:outlineLvl w:val="9"/>
              <w:rPr>
                <w:rFonts w:hint="eastAsia" w:ascii="宋体" w:hAnsi="宋体" w:eastAsia="宋体" w:cs="宋体"/>
                <w:sz w:val="20"/>
                <w:szCs w:val="20"/>
                <w:highlight w:val="none"/>
              </w:rPr>
            </w:pPr>
          </w:p>
        </w:tc>
      </w:tr>
      <w:tr w14:paraId="44C6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CFF64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47</w:t>
            </w:r>
          </w:p>
        </w:tc>
        <w:tc>
          <w:tcPr>
            <w:tcW w:w="2165" w:type="dxa"/>
            <w:shd w:val="clear" w:color="auto" w:fill="auto"/>
            <w:vAlign w:val="center"/>
          </w:tcPr>
          <w:p w14:paraId="0C6A45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美术用品收纳柜</w:t>
            </w:r>
          </w:p>
        </w:tc>
        <w:tc>
          <w:tcPr>
            <w:tcW w:w="2180" w:type="dxa"/>
            <w:shd w:val="clear" w:color="auto" w:fill="auto"/>
            <w:vAlign w:val="center"/>
          </w:tcPr>
          <w:p w14:paraId="2AA938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L100xW40xH61.5cm</w:t>
            </w:r>
          </w:p>
        </w:tc>
        <w:tc>
          <w:tcPr>
            <w:tcW w:w="834" w:type="dxa"/>
            <w:shd w:val="clear" w:color="auto" w:fill="auto"/>
            <w:vAlign w:val="center"/>
          </w:tcPr>
          <w:p w14:paraId="5604FE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014E34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2BD21A4">
            <w:pPr>
              <w:spacing w:line="360" w:lineRule="auto"/>
              <w:outlineLvl w:val="9"/>
              <w:rPr>
                <w:rFonts w:hint="eastAsia" w:ascii="宋体" w:hAnsi="宋体" w:eastAsia="宋体" w:cs="宋体"/>
                <w:sz w:val="20"/>
                <w:szCs w:val="20"/>
                <w:highlight w:val="none"/>
              </w:rPr>
            </w:pPr>
          </w:p>
        </w:tc>
        <w:tc>
          <w:tcPr>
            <w:tcW w:w="835" w:type="dxa"/>
            <w:vAlign w:val="center"/>
          </w:tcPr>
          <w:p w14:paraId="6481FC7C">
            <w:pPr>
              <w:spacing w:line="360" w:lineRule="auto"/>
              <w:outlineLvl w:val="9"/>
              <w:rPr>
                <w:rFonts w:hint="eastAsia" w:ascii="宋体" w:hAnsi="宋体" w:eastAsia="宋体" w:cs="宋体"/>
                <w:sz w:val="20"/>
                <w:szCs w:val="20"/>
                <w:highlight w:val="none"/>
              </w:rPr>
            </w:pPr>
          </w:p>
        </w:tc>
      </w:tr>
      <w:tr w14:paraId="6642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0994A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48</w:t>
            </w:r>
          </w:p>
        </w:tc>
        <w:tc>
          <w:tcPr>
            <w:tcW w:w="2165" w:type="dxa"/>
            <w:shd w:val="clear" w:color="auto" w:fill="auto"/>
            <w:vAlign w:val="center"/>
          </w:tcPr>
          <w:p w14:paraId="2ADAA6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三层教具篮收纳柜</w:t>
            </w:r>
          </w:p>
        </w:tc>
        <w:tc>
          <w:tcPr>
            <w:tcW w:w="2180" w:type="dxa"/>
            <w:shd w:val="clear" w:color="auto" w:fill="auto"/>
            <w:vAlign w:val="center"/>
          </w:tcPr>
          <w:p w14:paraId="7BC2F0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L91xW30xH59cm</w:t>
            </w:r>
          </w:p>
        </w:tc>
        <w:tc>
          <w:tcPr>
            <w:tcW w:w="834" w:type="dxa"/>
            <w:shd w:val="clear" w:color="auto" w:fill="auto"/>
            <w:vAlign w:val="center"/>
          </w:tcPr>
          <w:p w14:paraId="675F24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63CDA8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2FA62C7C">
            <w:pPr>
              <w:spacing w:line="360" w:lineRule="auto"/>
              <w:outlineLvl w:val="9"/>
              <w:rPr>
                <w:rFonts w:hint="eastAsia" w:ascii="宋体" w:hAnsi="宋体" w:eastAsia="宋体" w:cs="宋体"/>
                <w:sz w:val="20"/>
                <w:szCs w:val="20"/>
                <w:highlight w:val="none"/>
              </w:rPr>
            </w:pPr>
          </w:p>
        </w:tc>
        <w:tc>
          <w:tcPr>
            <w:tcW w:w="835" w:type="dxa"/>
            <w:vAlign w:val="center"/>
          </w:tcPr>
          <w:p w14:paraId="7267AE3A">
            <w:pPr>
              <w:spacing w:line="360" w:lineRule="auto"/>
              <w:outlineLvl w:val="9"/>
              <w:rPr>
                <w:rFonts w:hint="eastAsia" w:ascii="宋体" w:hAnsi="宋体" w:eastAsia="宋体" w:cs="宋体"/>
                <w:sz w:val="20"/>
                <w:szCs w:val="20"/>
                <w:highlight w:val="none"/>
              </w:rPr>
            </w:pPr>
          </w:p>
        </w:tc>
      </w:tr>
      <w:tr w14:paraId="0CBD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DAE34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49</w:t>
            </w:r>
          </w:p>
        </w:tc>
        <w:tc>
          <w:tcPr>
            <w:tcW w:w="2165" w:type="dxa"/>
            <w:shd w:val="clear" w:color="auto" w:fill="auto"/>
            <w:vAlign w:val="center"/>
          </w:tcPr>
          <w:p w14:paraId="1F4B19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互动展示柜</w:t>
            </w:r>
          </w:p>
        </w:tc>
        <w:tc>
          <w:tcPr>
            <w:tcW w:w="2180" w:type="dxa"/>
            <w:shd w:val="clear" w:color="auto" w:fill="auto"/>
            <w:vAlign w:val="center"/>
          </w:tcPr>
          <w:p w14:paraId="1A4B0C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L91.5xW30xH114cm</w:t>
            </w:r>
          </w:p>
        </w:tc>
        <w:tc>
          <w:tcPr>
            <w:tcW w:w="834" w:type="dxa"/>
            <w:shd w:val="clear" w:color="auto" w:fill="auto"/>
            <w:vAlign w:val="center"/>
          </w:tcPr>
          <w:p w14:paraId="515CE2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624AE6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084FA6BB">
            <w:pPr>
              <w:spacing w:line="360" w:lineRule="auto"/>
              <w:outlineLvl w:val="9"/>
              <w:rPr>
                <w:rFonts w:hint="eastAsia" w:ascii="宋体" w:hAnsi="宋体" w:eastAsia="宋体" w:cs="宋体"/>
                <w:sz w:val="20"/>
                <w:szCs w:val="20"/>
                <w:highlight w:val="none"/>
              </w:rPr>
            </w:pPr>
          </w:p>
        </w:tc>
        <w:tc>
          <w:tcPr>
            <w:tcW w:w="835" w:type="dxa"/>
            <w:vAlign w:val="center"/>
          </w:tcPr>
          <w:p w14:paraId="5C8FEF13">
            <w:pPr>
              <w:spacing w:line="360" w:lineRule="auto"/>
              <w:outlineLvl w:val="9"/>
              <w:rPr>
                <w:rFonts w:hint="eastAsia" w:ascii="宋体" w:hAnsi="宋体" w:eastAsia="宋体" w:cs="宋体"/>
                <w:sz w:val="20"/>
                <w:szCs w:val="20"/>
                <w:highlight w:val="none"/>
              </w:rPr>
            </w:pPr>
          </w:p>
        </w:tc>
      </w:tr>
      <w:tr w14:paraId="77F2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ED2FB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50</w:t>
            </w:r>
          </w:p>
        </w:tc>
        <w:tc>
          <w:tcPr>
            <w:tcW w:w="2165" w:type="dxa"/>
            <w:shd w:val="clear" w:color="auto" w:fill="auto"/>
            <w:vAlign w:val="center"/>
          </w:tcPr>
          <w:p w14:paraId="3AA481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原木3层高柜.全背板</w:t>
            </w:r>
          </w:p>
        </w:tc>
        <w:tc>
          <w:tcPr>
            <w:tcW w:w="2180" w:type="dxa"/>
            <w:shd w:val="clear" w:color="auto" w:fill="auto"/>
            <w:vAlign w:val="center"/>
          </w:tcPr>
          <w:p w14:paraId="09AC24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L91.5xW30xH80cm</w:t>
            </w:r>
          </w:p>
        </w:tc>
        <w:tc>
          <w:tcPr>
            <w:tcW w:w="834" w:type="dxa"/>
            <w:shd w:val="clear" w:color="auto" w:fill="auto"/>
            <w:vAlign w:val="center"/>
          </w:tcPr>
          <w:p w14:paraId="78C68E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24</w:t>
            </w:r>
          </w:p>
        </w:tc>
        <w:tc>
          <w:tcPr>
            <w:tcW w:w="834" w:type="dxa"/>
            <w:shd w:val="clear" w:color="auto" w:fill="auto"/>
            <w:vAlign w:val="center"/>
          </w:tcPr>
          <w:p w14:paraId="22ED53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1A62E85">
            <w:pPr>
              <w:spacing w:line="360" w:lineRule="auto"/>
              <w:outlineLvl w:val="9"/>
              <w:rPr>
                <w:rFonts w:hint="eastAsia" w:ascii="宋体" w:hAnsi="宋体" w:eastAsia="宋体" w:cs="宋体"/>
                <w:sz w:val="20"/>
                <w:szCs w:val="20"/>
                <w:highlight w:val="none"/>
              </w:rPr>
            </w:pPr>
          </w:p>
        </w:tc>
        <w:tc>
          <w:tcPr>
            <w:tcW w:w="835" w:type="dxa"/>
            <w:vAlign w:val="center"/>
          </w:tcPr>
          <w:p w14:paraId="159A0F75">
            <w:pPr>
              <w:spacing w:line="360" w:lineRule="auto"/>
              <w:outlineLvl w:val="9"/>
              <w:rPr>
                <w:rFonts w:hint="eastAsia" w:ascii="宋体" w:hAnsi="宋体" w:eastAsia="宋体" w:cs="宋体"/>
                <w:sz w:val="20"/>
                <w:szCs w:val="20"/>
                <w:highlight w:val="none"/>
              </w:rPr>
            </w:pPr>
          </w:p>
        </w:tc>
      </w:tr>
      <w:tr w14:paraId="265B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58AC8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51</w:t>
            </w:r>
          </w:p>
        </w:tc>
        <w:tc>
          <w:tcPr>
            <w:tcW w:w="2165" w:type="dxa"/>
            <w:shd w:val="clear" w:color="auto" w:fill="auto"/>
            <w:vAlign w:val="center"/>
          </w:tcPr>
          <w:p w14:paraId="380613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原木2层90°弧形矮柜</w:t>
            </w:r>
          </w:p>
        </w:tc>
        <w:tc>
          <w:tcPr>
            <w:tcW w:w="2180" w:type="dxa"/>
            <w:shd w:val="clear" w:color="auto" w:fill="auto"/>
            <w:vAlign w:val="center"/>
          </w:tcPr>
          <w:p w14:paraId="4AE6BE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L84xW38.5xH59cm</w:t>
            </w:r>
          </w:p>
        </w:tc>
        <w:tc>
          <w:tcPr>
            <w:tcW w:w="834" w:type="dxa"/>
            <w:shd w:val="clear" w:color="auto" w:fill="auto"/>
            <w:vAlign w:val="center"/>
          </w:tcPr>
          <w:p w14:paraId="40DF5C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w:t>
            </w:r>
          </w:p>
        </w:tc>
        <w:tc>
          <w:tcPr>
            <w:tcW w:w="834" w:type="dxa"/>
            <w:shd w:val="clear" w:color="auto" w:fill="auto"/>
            <w:vAlign w:val="center"/>
          </w:tcPr>
          <w:p w14:paraId="31DCEB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FD06240">
            <w:pPr>
              <w:spacing w:line="360" w:lineRule="auto"/>
              <w:outlineLvl w:val="9"/>
              <w:rPr>
                <w:rFonts w:hint="eastAsia" w:ascii="宋体" w:hAnsi="宋体" w:eastAsia="宋体" w:cs="宋体"/>
                <w:sz w:val="20"/>
                <w:szCs w:val="20"/>
                <w:highlight w:val="none"/>
              </w:rPr>
            </w:pPr>
          </w:p>
        </w:tc>
        <w:tc>
          <w:tcPr>
            <w:tcW w:w="835" w:type="dxa"/>
            <w:vAlign w:val="center"/>
          </w:tcPr>
          <w:p w14:paraId="4722C5EA">
            <w:pPr>
              <w:spacing w:line="360" w:lineRule="auto"/>
              <w:outlineLvl w:val="9"/>
              <w:rPr>
                <w:rFonts w:hint="eastAsia" w:ascii="宋体" w:hAnsi="宋体" w:eastAsia="宋体" w:cs="宋体"/>
                <w:sz w:val="20"/>
                <w:szCs w:val="20"/>
                <w:highlight w:val="none"/>
              </w:rPr>
            </w:pPr>
          </w:p>
        </w:tc>
      </w:tr>
      <w:tr w14:paraId="47A5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D4C4C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52</w:t>
            </w:r>
          </w:p>
        </w:tc>
        <w:tc>
          <w:tcPr>
            <w:tcW w:w="2165" w:type="dxa"/>
            <w:shd w:val="clear" w:color="auto" w:fill="auto"/>
            <w:vAlign w:val="center"/>
          </w:tcPr>
          <w:p w14:paraId="0182E9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山峰小屋收纳柜</w:t>
            </w:r>
          </w:p>
        </w:tc>
        <w:tc>
          <w:tcPr>
            <w:tcW w:w="2180" w:type="dxa"/>
            <w:shd w:val="clear" w:color="auto" w:fill="auto"/>
            <w:vAlign w:val="center"/>
          </w:tcPr>
          <w:p w14:paraId="51A0DB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L50xW30xH110.5cm</w:t>
            </w:r>
          </w:p>
        </w:tc>
        <w:tc>
          <w:tcPr>
            <w:tcW w:w="834" w:type="dxa"/>
            <w:shd w:val="clear" w:color="auto" w:fill="auto"/>
            <w:vAlign w:val="center"/>
          </w:tcPr>
          <w:p w14:paraId="5E367F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76D12C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E8644BD">
            <w:pPr>
              <w:spacing w:line="360" w:lineRule="auto"/>
              <w:outlineLvl w:val="9"/>
              <w:rPr>
                <w:rFonts w:hint="eastAsia" w:ascii="宋体" w:hAnsi="宋体" w:eastAsia="宋体" w:cs="宋体"/>
                <w:sz w:val="20"/>
                <w:szCs w:val="20"/>
                <w:highlight w:val="none"/>
              </w:rPr>
            </w:pPr>
          </w:p>
        </w:tc>
        <w:tc>
          <w:tcPr>
            <w:tcW w:w="835" w:type="dxa"/>
            <w:vAlign w:val="center"/>
          </w:tcPr>
          <w:p w14:paraId="104A4977">
            <w:pPr>
              <w:spacing w:line="360" w:lineRule="auto"/>
              <w:outlineLvl w:val="9"/>
              <w:rPr>
                <w:rFonts w:hint="eastAsia" w:ascii="宋体" w:hAnsi="宋体" w:eastAsia="宋体" w:cs="宋体"/>
                <w:sz w:val="20"/>
                <w:szCs w:val="20"/>
                <w:highlight w:val="none"/>
              </w:rPr>
            </w:pPr>
          </w:p>
        </w:tc>
      </w:tr>
      <w:tr w14:paraId="144F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99C32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53</w:t>
            </w:r>
          </w:p>
        </w:tc>
        <w:tc>
          <w:tcPr>
            <w:tcW w:w="2165" w:type="dxa"/>
            <w:shd w:val="clear" w:color="auto" w:fill="auto"/>
            <w:vAlign w:val="center"/>
          </w:tcPr>
          <w:p w14:paraId="63930B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简约书架</w:t>
            </w:r>
          </w:p>
        </w:tc>
        <w:tc>
          <w:tcPr>
            <w:tcW w:w="2180" w:type="dxa"/>
            <w:shd w:val="clear" w:color="auto" w:fill="auto"/>
            <w:vAlign w:val="center"/>
          </w:tcPr>
          <w:p w14:paraId="656021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L93xW30xH81cm</w:t>
            </w:r>
          </w:p>
        </w:tc>
        <w:tc>
          <w:tcPr>
            <w:tcW w:w="834" w:type="dxa"/>
            <w:shd w:val="clear" w:color="auto" w:fill="auto"/>
            <w:vAlign w:val="center"/>
          </w:tcPr>
          <w:p w14:paraId="758B8B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642E22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C1569F3">
            <w:pPr>
              <w:spacing w:line="360" w:lineRule="auto"/>
              <w:outlineLvl w:val="9"/>
              <w:rPr>
                <w:rFonts w:hint="eastAsia" w:ascii="宋体" w:hAnsi="宋体" w:eastAsia="宋体" w:cs="宋体"/>
                <w:sz w:val="20"/>
                <w:szCs w:val="20"/>
                <w:highlight w:val="none"/>
              </w:rPr>
            </w:pPr>
          </w:p>
        </w:tc>
        <w:tc>
          <w:tcPr>
            <w:tcW w:w="835" w:type="dxa"/>
            <w:vAlign w:val="center"/>
          </w:tcPr>
          <w:p w14:paraId="66133328">
            <w:pPr>
              <w:spacing w:line="360" w:lineRule="auto"/>
              <w:outlineLvl w:val="9"/>
              <w:rPr>
                <w:rFonts w:hint="eastAsia" w:ascii="宋体" w:hAnsi="宋体" w:eastAsia="宋体" w:cs="宋体"/>
                <w:sz w:val="20"/>
                <w:szCs w:val="20"/>
                <w:highlight w:val="none"/>
              </w:rPr>
            </w:pPr>
          </w:p>
        </w:tc>
      </w:tr>
      <w:tr w14:paraId="1643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F4743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54</w:t>
            </w:r>
          </w:p>
        </w:tc>
        <w:tc>
          <w:tcPr>
            <w:tcW w:w="2165" w:type="dxa"/>
            <w:shd w:val="clear" w:color="auto" w:fill="auto"/>
            <w:vAlign w:val="center"/>
          </w:tcPr>
          <w:p w14:paraId="7953AE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原木3层短柜高柜.半背板</w:t>
            </w:r>
          </w:p>
        </w:tc>
        <w:tc>
          <w:tcPr>
            <w:tcW w:w="2180" w:type="dxa"/>
            <w:shd w:val="clear" w:color="auto" w:fill="auto"/>
            <w:vAlign w:val="center"/>
          </w:tcPr>
          <w:p w14:paraId="16B3B2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L61.5xW30xH80cm</w:t>
            </w:r>
          </w:p>
        </w:tc>
        <w:tc>
          <w:tcPr>
            <w:tcW w:w="834" w:type="dxa"/>
            <w:shd w:val="clear" w:color="auto" w:fill="auto"/>
            <w:vAlign w:val="center"/>
          </w:tcPr>
          <w:p w14:paraId="0AFC14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w:t>
            </w:r>
          </w:p>
        </w:tc>
        <w:tc>
          <w:tcPr>
            <w:tcW w:w="834" w:type="dxa"/>
            <w:shd w:val="clear" w:color="auto" w:fill="auto"/>
            <w:vAlign w:val="center"/>
          </w:tcPr>
          <w:p w14:paraId="6FFB46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0CC3772">
            <w:pPr>
              <w:spacing w:line="360" w:lineRule="auto"/>
              <w:outlineLvl w:val="9"/>
              <w:rPr>
                <w:rFonts w:hint="eastAsia" w:ascii="宋体" w:hAnsi="宋体" w:eastAsia="宋体" w:cs="宋体"/>
                <w:sz w:val="20"/>
                <w:szCs w:val="20"/>
                <w:highlight w:val="none"/>
              </w:rPr>
            </w:pPr>
          </w:p>
        </w:tc>
        <w:tc>
          <w:tcPr>
            <w:tcW w:w="835" w:type="dxa"/>
            <w:vAlign w:val="center"/>
          </w:tcPr>
          <w:p w14:paraId="70137DFC">
            <w:pPr>
              <w:spacing w:line="360" w:lineRule="auto"/>
              <w:outlineLvl w:val="9"/>
              <w:rPr>
                <w:rFonts w:hint="eastAsia" w:ascii="宋体" w:hAnsi="宋体" w:eastAsia="宋体" w:cs="宋体"/>
                <w:sz w:val="20"/>
                <w:szCs w:val="20"/>
                <w:highlight w:val="none"/>
              </w:rPr>
            </w:pPr>
          </w:p>
        </w:tc>
      </w:tr>
      <w:tr w14:paraId="5B15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F833D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55</w:t>
            </w:r>
          </w:p>
        </w:tc>
        <w:tc>
          <w:tcPr>
            <w:tcW w:w="2165" w:type="dxa"/>
            <w:shd w:val="clear" w:color="auto" w:fill="auto"/>
            <w:vAlign w:val="center"/>
          </w:tcPr>
          <w:p w14:paraId="6368FC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方块百宝箱.4个</w:t>
            </w:r>
          </w:p>
        </w:tc>
        <w:tc>
          <w:tcPr>
            <w:tcW w:w="2180" w:type="dxa"/>
            <w:shd w:val="clear" w:color="auto" w:fill="auto"/>
            <w:vAlign w:val="center"/>
          </w:tcPr>
          <w:p w14:paraId="12CF77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L132xW33xH28cm</w:t>
            </w:r>
          </w:p>
        </w:tc>
        <w:tc>
          <w:tcPr>
            <w:tcW w:w="834" w:type="dxa"/>
            <w:shd w:val="clear" w:color="auto" w:fill="auto"/>
            <w:vAlign w:val="center"/>
          </w:tcPr>
          <w:p w14:paraId="39B0E1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4C28AE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05544E4A">
            <w:pPr>
              <w:spacing w:line="360" w:lineRule="auto"/>
              <w:outlineLvl w:val="9"/>
              <w:rPr>
                <w:rFonts w:hint="eastAsia" w:ascii="宋体" w:hAnsi="宋体" w:eastAsia="宋体" w:cs="宋体"/>
                <w:sz w:val="20"/>
                <w:szCs w:val="20"/>
                <w:highlight w:val="none"/>
              </w:rPr>
            </w:pPr>
          </w:p>
        </w:tc>
        <w:tc>
          <w:tcPr>
            <w:tcW w:w="835" w:type="dxa"/>
            <w:vAlign w:val="center"/>
          </w:tcPr>
          <w:p w14:paraId="518CEFB9">
            <w:pPr>
              <w:spacing w:line="360" w:lineRule="auto"/>
              <w:outlineLvl w:val="9"/>
              <w:rPr>
                <w:rFonts w:hint="eastAsia" w:ascii="宋体" w:hAnsi="宋体" w:eastAsia="宋体" w:cs="宋体"/>
                <w:sz w:val="20"/>
                <w:szCs w:val="20"/>
                <w:highlight w:val="none"/>
              </w:rPr>
            </w:pPr>
          </w:p>
        </w:tc>
      </w:tr>
      <w:tr w14:paraId="0719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F9227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56</w:t>
            </w:r>
          </w:p>
        </w:tc>
        <w:tc>
          <w:tcPr>
            <w:tcW w:w="2165" w:type="dxa"/>
            <w:shd w:val="clear" w:color="auto" w:fill="auto"/>
            <w:vAlign w:val="center"/>
          </w:tcPr>
          <w:p w14:paraId="69F4D0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怀抱双人布艺沙发.米白</w:t>
            </w:r>
          </w:p>
        </w:tc>
        <w:tc>
          <w:tcPr>
            <w:tcW w:w="2180" w:type="dxa"/>
            <w:shd w:val="clear" w:color="auto" w:fill="auto"/>
            <w:vAlign w:val="center"/>
          </w:tcPr>
          <w:p w14:paraId="548960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L97xW50xH61cm</w:t>
            </w:r>
          </w:p>
        </w:tc>
        <w:tc>
          <w:tcPr>
            <w:tcW w:w="834" w:type="dxa"/>
            <w:shd w:val="clear" w:color="auto" w:fill="auto"/>
            <w:vAlign w:val="center"/>
          </w:tcPr>
          <w:p w14:paraId="1889F7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1D84CD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570D8FA8">
            <w:pPr>
              <w:spacing w:line="360" w:lineRule="auto"/>
              <w:outlineLvl w:val="9"/>
              <w:rPr>
                <w:rFonts w:hint="eastAsia" w:ascii="宋体" w:hAnsi="宋体" w:eastAsia="宋体" w:cs="宋体"/>
                <w:sz w:val="20"/>
                <w:szCs w:val="20"/>
                <w:highlight w:val="none"/>
              </w:rPr>
            </w:pPr>
          </w:p>
        </w:tc>
        <w:tc>
          <w:tcPr>
            <w:tcW w:w="835" w:type="dxa"/>
            <w:vAlign w:val="center"/>
          </w:tcPr>
          <w:p w14:paraId="6E843B84">
            <w:pPr>
              <w:spacing w:line="360" w:lineRule="auto"/>
              <w:outlineLvl w:val="9"/>
              <w:rPr>
                <w:rFonts w:hint="eastAsia" w:ascii="宋体" w:hAnsi="宋体" w:eastAsia="宋体" w:cs="宋体"/>
                <w:sz w:val="20"/>
                <w:szCs w:val="20"/>
                <w:highlight w:val="none"/>
              </w:rPr>
            </w:pPr>
          </w:p>
        </w:tc>
      </w:tr>
      <w:tr w14:paraId="08D2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2D4AF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57</w:t>
            </w:r>
          </w:p>
        </w:tc>
        <w:tc>
          <w:tcPr>
            <w:tcW w:w="2165" w:type="dxa"/>
            <w:shd w:val="clear" w:color="auto" w:fill="auto"/>
            <w:vAlign w:val="center"/>
          </w:tcPr>
          <w:p w14:paraId="041BFD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仙人掌书架</w:t>
            </w:r>
          </w:p>
        </w:tc>
        <w:tc>
          <w:tcPr>
            <w:tcW w:w="2180" w:type="dxa"/>
            <w:shd w:val="clear" w:color="auto" w:fill="auto"/>
            <w:vAlign w:val="center"/>
          </w:tcPr>
          <w:p w14:paraId="3DD5A8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L100xW44xH80cm</w:t>
            </w:r>
          </w:p>
        </w:tc>
        <w:tc>
          <w:tcPr>
            <w:tcW w:w="834" w:type="dxa"/>
            <w:shd w:val="clear" w:color="auto" w:fill="auto"/>
            <w:vAlign w:val="center"/>
          </w:tcPr>
          <w:p w14:paraId="226726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4BD0E6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8005F57">
            <w:pPr>
              <w:spacing w:line="360" w:lineRule="auto"/>
              <w:outlineLvl w:val="9"/>
              <w:rPr>
                <w:rFonts w:hint="eastAsia" w:ascii="宋体" w:hAnsi="宋体" w:eastAsia="宋体" w:cs="宋体"/>
                <w:sz w:val="20"/>
                <w:szCs w:val="20"/>
                <w:highlight w:val="none"/>
              </w:rPr>
            </w:pPr>
          </w:p>
        </w:tc>
        <w:tc>
          <w:tcPr>
            <w:tcW w:w="835" w:type="dxa"/>
            <w:vAlign w:val="center"/>
          </w:tcPr>
          <w:p w14:paraId="53AE167A">
            <w:pPr>
              <w:spacing w:line="360" w:lineRule="auto"/>
              <w:outlineLvl w:val="9"/>
              <w:rPr>
                <w:rFonts w:hint="eastAsia" w:ascii="宋体" w:hAnsi="宋体" w:eastAsia="宋体" w:cs="宋体"/>
                <w:sz w:val="20"/>
                <w:szCs w:val="20"/>
                <w:highlight w:val="none"/>
              </w:rPr>
            </w:pPr>
          </w:p>
        </w:tc>
      </w:tr>
      <w:tr w14:paraId="7394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98EEA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58</w:t>
            </w:r>
          </w:p>
        </w:tc>
        <w:tc>
          <w:tcPr>
            <w:tcW w:w="2165" w:type="dxa"/>
            <w:shd w:val="clear" w:color="auto" w:fill="auto"/>
            <w:vAlign w:val="center"/>
          </w:tcPr>
          <w:p w14:paraId="058F71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原木2层矮柜.可调节.无背板</w:t>
            </w:r>
          </w:p>
        </w:tc>
        <w:tc>
          <w:tcPr>
            <w:tcW w:w="2180" w:type="dxa"/>
            <w:shd w:val="clear" w:color="auto" w:fill="auto"/>
            <w:vAlign w:val="center"/>
          </w:tcPr>
          <w:p w14:paraId="5C8FDA7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L91.5xW30xH59cm</w:t>
            </w:r>
          </w:p>
        </w:tc>
        <w:tc>
          <w:tcPr>
            <w:tcW w:w="834" w:type="dxa"/>
            <w:shd w:val="clear" w:color="auto" w:fill="auto"/>
            <w:vAlign w:val="center"/>
          </w:tcPr>
          <w:p w14:paraId="088F77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8</w:t>
            </w:r>
          </w:p>
        </w:tc>
        <w:tc>
          <w:tcPr>
            <w:tcW w:w="834" w:type="dxa"/>
            <w:shd w:val="clear" w:color="auto" w:fill="auto"/>
            <w:vAlign w:val="center"/>
          </w:tcPr>
          <w:p w14:paraId="616C8C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D6C085D">
            <w:pPr>
              <w:spacing w:line="360" w:lineRule="auto"/>
              <w:outlineLvl w:val="9"/>
              <w:rPr>
                <w:rFonts w:hint="eastAsia" w:ascii="宋体" w:hAnsi="宋体" w:eastAsia="宋体" w:cs="宋体"/>
                <w:sz w:val="20"/>
                <w:szCs w:val="20"/>
                <w:highlight w:val="none"/>
              </w:rPr>
            </w:pPr>
          </w:p>
        </w:tc>
        <w:tc>
          <w:tcPr>
            <w:tcW w:w="835" w:type="dxa"/>
            <w:vAlign w:val="center"/>
          </w:tcPr>
          <w:p w14:paraId="08ABB008">
            <w:pPr>
              <w:spacing w:line="360" w:lineRule="auto"/>
              <w:outlineLvl w:val="9"/>
              <w:rPr>
                <w:rFonts w:hint="eastAsia" w:ascii="宋体" w:hAnsi="宋体" w:eastAsia="宋体" w:cs="宋体"/>
                <w:sz w:val="20"/>
                <w:szCs w:val="20"/>
                <w:highlight w:val="none"/>
              </w:rPr>
            </w:pPr>
          </w:p>
        </w:tc>
      </w:tr>
      <w:tr w14:paraId="68BA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53905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59</w:t>
            </w:r>
          </w:p>
        </w:tc>
        <w:tc>
          <w:tcPr>
            <w:tcW w:w="2165" w:type="dxa"/>
            <w:shd w:val="clear" w:color="auto" w:fill="auto"/>
            <w:vAlign w:val="center"/>
          </w:tcPr>
          <w:p w14:paraId="29744D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拱形造型柜</w:t>
            </w:r>
          </w:p>
        </w:tc>
        <w:tc>
          <w:tcPr>
            <w:tcW w:w="2180" w:type="dxa"/>
            <w:shd w:val="clear" w:color="auto" w:fill="auto"/>
            <w:vAlign w:val="center"/>
          </w:tcPr>
          <w:p w14:paraId="71B302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L48xW32.4xH141cm</w:t>
            </w:r>
          </w:p>
        </w:tc>
        <w:tc>
          <w:tcPr>
            <w:tcW w:w="834" w:type="dxa"/>
            <w:shd w:val="clear" w:color="auto" w:fill="auto"/>
            <w:vAlign w:val="center"/>
          </w:tcPr>
          <w:p w14:paraId="0ADAA2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6CC114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59A50E0">
            <w:pPr>
              <w:spacing w:line="360" w:lineRule="auto"/>
              <w:outlineLvl w:val="9"/>
              <w:rPr>
                <w:rFonts w:hint="eastAsia" w:ascii="宋体" w:hAnsi="宋体" w:eastAsia="宋体" w:cs="宋体"/>
                <w:sz w:val="20"/>
                <w:szCs w:val="20"/>
                <w:highlight w:val="none"/>
              </w:rPr>
            </w:pPr>
          </w:p>
        </w:tc>
        <w:tc>
          <w:tcPr>
            <w:tcW w:w="835" w:type="dxa"/>
            <w:vAlign w:val="center"/>
          </w:tcPr>
          <w:p w14:paraId="704F789F">
            <w:pPr>
              <w:spacing w:line="360" w:lineRule="auto"/>
              <w:outlineLvl w:val="9"/>
              <w:rPr>
                <w:rFonts w:hint="eastAsia" w:ascii="宋体" w:hAnsi="宋体" w:eastAsia="宋体" w:cs="宋体"/>
                <w:sz w:val="20"/>
                <w:szCs w:val="20"/>
                <w:highlight w:val="none"/>
              </w:rPr>
            </w:pPr>
          </w:p>
        </w:tc>
      </w:tr>
      <w:tr w14:paraId="5AD0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0862B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60</w:t>
            </w:r>
          </w:p>
        </w:tc>
        <w:tc>
          <w:tcPr>
            <w:tcW w:w="2165" w:type="dxa"/>
            <w:shd w:val="clear" w:color="auto" w:fill="auto"/>
            <w:vAlign w:val="center"/>
          </w:tcPr>
          <w:p w14:paraId="1B8995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互动婴儿床</w:t>
            </w:r>
          </w:p>
        </w:tc>
        <w:tc>
          <w:tcPr>
            <w:tcW w:w="2180" w:type="dxa"/>
            <w:shd w:val="clear" w:color="auto" w:fill="auto"/>
            <w:vAlign w:val="center"/>
          </w:tcPr>
          <w:p w14:paraId="6FF994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L60xW40xH53.5cm</w:t>
            </w:r>
          </w:p>
        </w:tc>
        <w:tc>
          <w:tcPr>
            <w:tcW w:w="834" w:type="dxa"/>
            <w:shd w:val="clear" w:color="auto" w:fill="auto"/>
            <w:vAlign w:val="center"/>
          </w:tcPr>
          <w:p w14:paraId="1C8437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1473F3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1A5349D">
            <w:pPr>
              <w:spacing w:line="360" w:lineRule="auto"/>
              <w:outlineLvl w:val="9"/>
              <w:rPr>
                <w:rFonts w:hint="eastAsia" w:ascii="宋体" w:hAnsi="宋体" w:eastAsia="宋体" w:cs="宋体"/>
                <w:sz w:val="20"/>
                <w:szCs w:val="20"/>
                <w:highlight w:val="none"/>
              </w:rPr>
            </w:pPr>
          </w:p>
        </w:tc>
        <w:tc>
          <w:tcPr>
            <w:tcW w:w="835" w:type="dxa"/>
            <w:vAlign w:val="center"/>
          </w:tcPr>
          <w:p w14:paraId="2F365CE0">
            <w:pPr>
              <w:spacing w:line="360" w:lineRule="auto"/>
              <w:outlineLvl w:val="9"/>
              <w:rPr>
                <w:rFonts w:hint="eastAsia" w:ascii="宋体" w:hAnsi="宋体" w:eastAsia="宋体" w:cs="宋体"/>
                <w:sz w:val="20"/>
                <w:szCs w:val="20"/>
                <w:highlight w:val="none"/>
              </w:rPr>
            </w:pPr>
          </w:p>
        </w:tc>
      </w:tr>
      <w:tr w14:paraId="35F5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C3157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61</w:t>
            </w:r>
          </w:p>
        </w:tc>
        <w:tc>
          <w:tcPr>
            <w:tcW w:w="2165" w:type="dxa"/>
            <w:shd w:val="clear" w:color="auto" w:fill="auto"/>
            <w:vAlign w:val="center"/>
          </w:tcPr>
          <w:p w14:paraId="14F07E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原木2层90°转角矮柜</w:t>
            </w:r>
          </w:p>
        </w:tc>
        <w:tc>
          <w:tcPr>
            <w:tcW w:w="2180" w:type="dxa"/>
            <w:shd w:val="clear" w:color="auto" w:fill="auto"/>
            <w:vAlign w:val="center"/>
          </w:tcPr>
          <w:p w14:paraId="3804F6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L30xW30xH59cm</w:t>
            </w:r>
          </w:p>
        </w:tc>
        <w:tc>
          <w:tcPr>
            <w:tcW w:w="834" w:type="dxa"/>
            <w:shd w:val="clear" w:color="auto" w:fill="auto"/>
            <w:vAlign w:val="center"/>
          </w:tcPr>
          <w:p w14:paraId="65BFE0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w:t>
            </w:r>
          </w:p>
        </w:tc>
        <w:tc>
          <w:tcPr>
            <w:tcW w:w="834" w:type="dxa"/>
            <w:shd w:val="clear" w:color="auto" w:fill="auto"/>
            <w:vAlign w:val="center"/>
          </w:tcPr>
          <w:p w14:paraId="07A811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087BCDB">
            <w:pPr>
              <w:spacing w:line="360" w:lineRule="auto"/>
              <w:outlineLvl w:val="9"/>
              <w:rPr>
                <w:rFonts w:hint="eastAsia" w:ascii="宋体" w:hAnsi="宋体" w:eastAsia="宋体" w:cs="宋体"/>
                <w:sz w:val="20"/>
                <w:szCs w:val="20"/>
                <w:highlight w:val="none"/>
              </w:rPr>
            </w:pPr>
          </w:p>
        </w:tc>
        <w:tc>
          <w:tcPr>
            <w:tcW w:w="835" w:type="dxa"/>
            <w:vAlign w:val="center"/>
          </w:tcPr>
          <w:p w14:paraId="1BB10281">
            <w:pPr>
              <w:spacing w:line="360" w:lineRule="auto"/>
              <w:outlineLvl w:val="9"/>
              <w:rPr>
                <w:rFonts w:hint="eastAsia" w:ascii="宋体" w:hAnsi="宋体" w:eastAsia="宋体" w:cs="宋体"/>
                <w:sz w:val="20"/>
                <w:szCs w:val="20"/>
                <w:highlight w:val="none"/>
              </w:rPr>
            </w:pPr>
          </w:p>
        </w:tc>
      </w:tr>
      <w:tr w14:paraId="4D06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BFDC3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62</w:t>
            </w:r>
          </w:p>
        </w:tc>
        <w:tc>
          <w:tcPr>
            <w:tcW w:w="2165" w:type="dxa"/>
            <w:shd w:val="clear" w:color="auto" w:fill="auto"/>
            <w:vAlign w:val="center"/>
          </w:tcPr>
          <w:p w14:paraId="4E40B9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洞洞拱形门</w:t>
            </w:r>
          </w:p>
        </w:tc>
        <w:tc>
          <w:tcPr>
            <w:tcW w:w="2180" w:type="dxa"/>
            <w:shd w:val="clear" w:color="auto" w:fill="auto"/>
            <w:vAlign w:val="center"/>
          </w:tcPr>
          <w:p w14:paraId="4FD9E3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L85xW8xH138cm</w:t>
            </w:r>
          </w:p>
        </w:tc>
        <w:tc>
          <w:tcPr>
            <w:tcW w:w="834" w:type="dxa"/>
            <w:shd w:val="clear" w:color="auto" w:fill="auto"/>
            <w:vAlign w:val="center"/>
          </w:tcPr>
          <w:p w14:paraId="0433CC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79C2A8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43D1F871">
            <w:pPr>
              <w:spacing w:line="360" w:lineRule="auto"/>
              <w:outlineLvl w:val="9"/>
              <w:rPr>
                <w:rFonts w:hint="eastAsia" w:ascii="宋体" w:hAnsi="宋体" w:eastAsia="宋体" w:cs="宋体"/>
                <w:sz w:val="20"/>
                <w:szCs w:val="20"/>
                <w:highlight w:val="none"/>
              </w:rPr>
            </w:pPr>
          </w:p>
        </w:tc>
        <w:tc>
          <w:tcPr>
            <w:tcW w:w="835" w:type="dxa"/>
            <w:vAlign w:val="center"/>
          </w:tcPr>
          <w:p w14:paraId="7BB6DA9E">
            <w:pPr>
              <w:spacing w:line="360" w:lineRule="auto"/>
              <w:outlineLvl w:val="9"/>
              <w:rPr>
                <w:rFonts w:hint="eastAsia" w:ascii="宋体" w:hAnsi="宋体" w:eastAsia="宋体" w:cs="宋体"/>
                <w:sz w:val="20"/>
                <w:szCs w:val="20"/>
                <w:highlight w:val="none"/>
              </w:rPr>
            </w:pPr>
          </w:p>
        </w:tc>
      </w:tr>
      <w:tr w14:paraId="26EA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27803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63</w:t>
            </w:r>
          </w:p>
        </w:tc>
        <w:tc>
          <w:tcPr>
            <w:tcW w:w="2165" w:type="dxa"/>
            <w:shd w:val="clear" w:color="auto" w:fill="auto"/>
            <w:vAlign w:val="center"/>
          </w:tcPr>
          <w:p w14:paraId="0C3D27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原木2层45°弧形矮柜</w:t>
            </w:r>
          </w:p>
        </w:tc>
        <w:tc>
          <w:tcPr>
            <w:tcW w:w="2180" w:type="dxa"/>
            <w:shd w:val="clear" w:color="auto" w:fill="auto"/>
            <w:vAlign w:val="center"/>
          </w:tcPr>
          <w:p w14:paraId="67A17D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L60xW33xH59cm</w:t>
            </w:r>
          </w:p>
        </w:tc>
        <w:tc>
          <w:tcPr>
            <w:tcW w:w="834" w:type="dxa"/>
            <w:shd w:val="clear" w:color="auto" w:fill="auto"/>
            <w:vAlign w:val="center"/>
          </w:tcPr>
          <w:p w14:paraId="3490E5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w:t>
            </w:r>
          </w:p>
        </w:tc>
        <w:tc>
          <w:tcPr>
            <w:tcW w:w="834" w:type="dxa"/>
            <w:shd w:val="clear" w:color="auto" w:fill="auto"/>
            <w:vAlign w:val="center"/>
          </w:tcPr>
          <w:p w14:paraId="6DCB9D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61D60BD">
            <w:pPr>
              <w:spacing w:line="360" w:lineRule="auto"/>
              <w:outlineLvl w:val="9"/>
              <w:rPr>
                <w:rFonts w:hint="eastAsia" w:ascii="宋体" w:hAnsi="宋体" w:eastAsia="宋体" w:cs="宋体"/>
                <w:sz w:val="20"/>
                <w:szCs w:val="20"/>
                <w:highlight w:val="none"/>
              </w:rPr>
            </w:pPr>
          </w:p>
        </w:tc>
        <w:tc>
          <w:tcPr>
            <w:tcW w:w="835" w:type="dxa"/>
            <w:vAlign w:val="center"/>
          </w:tcPr>
          <w:p w14:paraId="22A18EED">
            <w:pPr>
              <w:spacing w:line="360" w:lineRule="auto"/>
              <w:outlineLvl w:val="9"/>
              <w:rPr>
                <w:rFonts w:hint="eastAsia" w:ascii="宋体" w:hAnsi="宋体" w:eastAsia="宋体" w:cs="宋体"/>
                <w:sz w:val="20"/>
                <w:szCs w:val="20"/>
                <w:highlight w:val="none"/>
              </w:rPr>
            </w:pPr>
          </w:p>
        </w:tc>
      </w:tr>
      <w:tr w14:paraId="276B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A7D31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64</w:t>
            </w:r>
          </w:p>
        </w:tc>
        <w:tc>
          <w:tcPr>
            <w:tcW w:w="2165" w:type="dxa"/>
            <w:shd w:val="clear" w:color="auto" w:fill="auto"/>
            <w:vAlign w:val="center"/>
          </w:tcPr>
          <w:p w14:paraId="5BDE17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简约互动小厨房</w:t>
            </w:r>
          </w:p>
        </w:tc>
        <w:tc>
          <w:tcPr>
            <w:tcW w:w="2180" w:type="dxa"/>
            <w:shd w:val="clear" w:color="auto" w:fill="auto"/>
            <w:vAlign w:val="center"/>
          </w:tcPr>
          <w:p w14:paraId="63819A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L93xW30xH86cm</w:t>
            </w:r>
          </w:p>
        </w:tc>
        <w:tc>
          <w:tcPr>
            <w:tcW w:w="834" w:type="dxa"/>
            <w:shd w:val="clear" w:color="auto" w:fill="auto"/>
            <w:vAlign w:val="center"/>
          </w:tcPr>
          <w:p w14:paraId="4CB138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416414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144AB3B7">
            <w:pPr>
              <w:spacing w:line="360" w:lineRule="auto"/>
              <w:outlineLvl w:val="9"/>
              <w:rPr>
                <w:rFonts w:hint="eastAsia" w:ascii="宋体" w:hAnsi="宋体" w:eastAsia="宋体" w:cs="宋体"/>
                <w:sz w:val="20"/>
                <w:szCs w:val="20"/>
                <w:highlight w:val="none"/>
              </w:rPr>
            </w:pPr>
          </w:p>
        </w:tc>
        <w:tc>
          <w:tcPr>
            <w:tcW w:w="835" w:type="dxa"/>
            <w:vAlign w:val="center"/>
          </w:tcPr>
          <w:p w14:paraId="7BC3B515">
            <w:pPr>
              <w:spacing w:line="360" w:lineRule="auto"/>
              <w:outlineLvl w:val="9"/>
              <w:rPr>
                <w:rFonts w:hint="eastAsia" w:ascii="宋体" w:hAnsi="宋体" w:eastAsia="宋体" w:cs="宋体"/>
                <w:sz w:val="20"/>
                <w:szCs w:val="20"/>
                <w:highlight w:val="none"/>
              </w:rPr>
            </w:pPr>
          </w:p>
        </w:tc>
      </w:tr>
      <w:tr w14:paraId="3E44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1080D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2165" w:type="dxa"/>
            <w:shd w:val="clear" w:color="auto" w:fill="auto"/>
            <w:vAlign w:val="center"/>
          </w:tcPr>
          <w:p w14:paraId="360193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互动化妆台</w:t>
            </w:r>
          </w:p>
        </w:tc>
        <w:tc>
          <w:tcPr>
            <w:tcW w:w="2180" w:type="dxa"/>
            <w:shd w:val="clear" w:color="auto" w:fill="auto"/>
            <w:vAlign w:val="center"/>
          </w:tcPr>
          <w:p w14:paraId="4291BC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桌:L79xW37xH91cm</w:t>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br w:type="textWrapping"/>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椅:L36xW24xH26cm</w:t>
            </w:r>
          </w:p>
        </w:tc>
        <w:tc>
          <w:tcPr>
            <w:tcW w:w="834" w:type="dxa"/>
            <w:shd w:val="clear" w:color="auto" w:fill="auto"/>
            <w:vAlign w:val="center"/>
          </w:tcPr>
          <w:p w14:paraId="74760F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586FE9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209312FB">
            <w:pPr>
              <w:spacing w:line="360" w:lineRule="auto"/>
              <w:outlineLvl w:val="9"/>
              <w:rPr>
                <w:rFonts w:hint="eastAsia" w:ascii="宋体" w:hAnsi="宋体" w:eastAsia="宋体" w:cs="宋体"/>
                <w:sz w:val="20"/>
                <w:szCs w:val="20"/>
                <w:highlight w:val="none"/>
              </w:rPr>
            </w:pPr>
          </w:p>
        </w:tc>
        <w:tc>
          <w:tcPr>
            <w:tcW w:w="835" w:type="dxa"/>
            <w:vAlign w:val="center"/>
          </w:tcPr>
          <w:p w14:paraId="262EEEC2">
            <w:pPr>
              <w:spacing w:line="360" w:lineRule="auto"/>
              <w:outlineLvl w:val="9"/>
              <w:rPr>
                <w:rFonts w:hint="eastAsia" w:ascii="宋体" w:hAnsi="宋体" w:eastAsia="宋体" w:cs="宋体"/>
                <w:sz w:val="20"/>
                <w:szCs w:val="20"/>
                <w:highlight w:val="none"/>
              </w:rPr>
            </w:pPr>
          </w:p>
        </w:tc>
      </w:tr>
      <w:tr w14:paraId="29E4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0BDBD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66</w:t>
            </w:r>
          </w:p>
        </w:tc>
        <w:tc>
          <w:tcPr>
            <w:tcW w:w="2165" w:type="dxa"/>
            <w:shd w:val="clear" w:color="auto" w:fill="auto"/>
            <w:vAlign w:val="center"/>
          </w:tcPr>
          <w:p w14:paraId="6CF12B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移动水杯水桶收纳柜</w:t>
            </w:r>
          </w:p>
        </w:tc>
        <w:tc>
          <w:tcPr>
            <w:tcW w:w="2180" w:type="dxa"/>
            <w:shd w:val="clear" w:color="auto" w:fill="auto"/>
            <w:vAlign w:val="center"/>
          </w:tcPr>
          <w:p w14:paraId="70E503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L70xW46xH95cm</w:t>
            </w:r>
          </w:p>
        </w:tc>
        <w:tc>
          <w:tcPr>
            <w:tcW w:w="834" w:type="dxa"/>
            <w:shd w:val="clear" w:color="auto" w:fill="auto"/>
            <w:vAlign w:val="center"/>
          </w:tcPr>
          <w:p w14:paraId="12EC50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w:t>
            </w:r>
          </w:p>
        </w:tc>
        <w:tc>
          <w:tcPr>
            <w:tcW w:w="834" w:type="dxa"/>
            <w:shd w:val="clear" w:color="auto" w:fill="auto"/>
            <w:vAlign w:val="center"/>
          </w:tcPr>
          <w:p w14:paraId="6EF24A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12AE6AE4">
            <w:pPr>
              <w:spacing w:line="360" w:lineRule="auto"/>
              <w:outlineLvl w:val="9"/>
              <w:rPr>
                <w:rFonts w:hint="eastAsia" w:ascii="宋体" w:hAnsi="宋体" w:eastAsia="宋体" w:cs="宋体"/>
                <w:sz w:val="20"/>
                <w:szCs w:val="20"/>
                <w:highlight w:val="none"/>
              </w:rPr>
            </w:pPr>
          </w:p>
        </w:tc>
        <w:tc>
          <w:tcPr>
            <w:tcW w:w="835" w:type="dxa"/>
            <w:vAlign w:val="center"/>
          </w:tcPr>
          <w:p w14:paraId="72EC5A7E">
            <w:pPr>
              <w:spacing w:line="360" w:lineRule="auto"/>
              <w:outlineLvl w:val="9"/>
              <w:rPr>
                <w:rFonts w:hint="eastAsia" w:ascii="宋体" w:hAnsi="宋体" w:eastAsia="宋体" w:cs="宋体"/>
                <w:sz w:val="20"/>
                <w:szCs w:val="20"/>
                <w:highlight w:val="none"/>
              </w:rPr>
            </w:pPr>
          </w:p>
        </w:tc>
      </w:tr>
      <w:tr w14:paraId="5642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9243A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67</w:t>
            </w:r>
          </w:p>
        </w:tc>
        <w:tc>
          <w:tcPr>
            <w:tcW w:w="2165" w:type="dxa"/>
            <w:shd w:val="clear" w:color="auto" w:fill="auto"/>
            <w:vAlign w:val="center"/>
          </w:tcPr>
          <w:p w14:paraId="2F8B04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清新小家三层六人推拉床</w:t>
            </w:r>
          </w:p>
        </w:tc>
        <w:tc>
          <w:tcPr>
            <w:tcW w:w="2180" w:type="dxa"/>
            <w:shd w:val="clear" w:color="auto" w:fill="auto"/>
            <w:vAlign w:val="center"/>
          </w:tcPr>
          <w:p w14:paraId="17E46F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L146xW136xH69.5cm（含轮）</w:t>
            </w:r>
          </w:p>
        </w:tc>
        <w:tc>
          <w:tcPr>
            <w:tcW w:w="834" w:type="dxa"/>
            <w:shd w:val="clear" w:color="auto" w:fill="auto"/>
            <w:vAlign w:val="center"/>
          </w:tcPr>
          <w:p w14:paraId="4C9700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8</w:t>
            </w:r>
          </w:p>
        </w:tc>
        <w:tc>
          <w:tcPr>
            <w:tcW w:w="834" w:type="dxa"/>
            <w:shd w:val="clear" w:color="auto" w:fill="auto"/>
            <w:vAlign w:val="center"/>
          </w:tcPr>
          <w:p w14:paraId="75C67F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51AD36F4">
            <w:pPr>
              <w:spacing w:line="360" w:lineRule="auto"/>
              <w:outlineLvl w:val="9"/>
              <w:rPr>
                <w:rFonts w:hint="eastAsia" w:ascii="宋体" w:hAnsi="宋体" w:eastAsia="宋体" w:cs="宋体"/>
                <w:sz w:val="20"/>
                <w:szCs w:val="20"/>
                <w:highlight w:val="none"/>
              </w:rPr>
            </w:pPr>
          </w:p>
        </w:tc>
        <w:tc>
          <w:tcPr>
            <w:tcW w:w="835" w:type="dxa"/>
            <w:vAlign w:val="center"/>
          </w:tcPr>
          <w:p w14:paraId="339296DA">
            <w:pPr>
              <w:spacing w:line="360" w:lineRule="auto"/>
              <w:outlineLvl w:val="9"/>
              <w:rPr>
                <w:rFonts w:hint="eastAsia" w:ascii="宋体" w:hAnsi="宋体" w:eastAsia="宋体" w:cs="宋体"/>
                <w:sz w:val="20"/>
                <w:szCs w:val="20"/>
                <w:highlight w:val="none"/>
              </w:rPr>
            </w:pPr>
          </w:p>
        </w:tc>
      </w:tr>
      <w:tr w14:paraId="63AD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516" w:type="dxa"/>
            <w:gridSpan w:val="7"/>
            <w:shd w:val="clear" w:color="auto" w:fill="auto"/>
            <w:vAlign w:val="center"/>
          </w:tcPr>
          <w:p w14:paraId="2630F8ED">
            <w:pPr>
              <w:spacing w:line="360" w:lineRule="auto"/>
              <w:outlineLvl w:val="9"/>
              <w:rPr>
                <w:rFonts w:hint="eastAsia" w:ascii="宋体" w:hAnsi="宋体" w:eastAsia="宋体" w:cs="宋体"/>
                <w:sz w:val="20"/>
                <w:szCs w:val="20"/>
                <w:highlight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中班</w:t>
            </w:r>
          </w:p>
        </w:tc>
      </w:tr>
      <w:tr w14:paraId="5E10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8F0B7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68</w:t>
            </w:r>
          </w:p>
        </w:tc>
        <w:tc>
          <w:tcPr>
            <w:tcW w:w="2165" w:type="dxa"/>
            <w:shd w:val="clear" w:color="auto" w:fill="auto"/>
            <w:vAlign w:val="center"/>
          </w:tcPr>
          <w:p w14:paraId="2953A2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原木6人桌.52cm</w:t>
            </w:r>
          </w:p>
        </w:tc>
        <w:tc>
          <w:tcPr>
            <w:tcW w:w="2180" w:type="dxa"/>
            <w:shd w:val="clear" w:color="auto" w:fill="auto"/>
            <w:vAlign w:val="center"/>
          </w:tcPr>
          <w:p w14:paraId="662AF8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L120xW60xH52cm</w:t>
            </w:r>
          </w:p>
        </w:tc>
        <w:tc>
          <w:tcPr>
            <w:tcW w:w="834" w:type="dxa"/>
            <w:shd w:val="clear" w:color="auto" w:fill="auto"/>
            <w:vAlign w:val="center"/>
          </w:tcPr>
          <w:p w14:paraId="5C8C28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834" w:type="dxa"/>
            <w:shd w:val="clear" w:color="auto" w:fill="auto"/>
            <w:vAlign w:val="center"/>
          </w:tcPr>
          <w:p w14:paraId="6C131A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6ED81EC7">
            <w:pPr>
              <w:spacing w:line="360" w:lineRule="auto"/>
              <w:outlineLvl w:val="9"/>
              <w:rPr>
                <w:rFonts w:hint="eastAsia" w:ascii="宋体" w:hAnsi="宋体" w:eastAsia="宋体" w:cs="宋体"/>
                <w:sz w:val="20"/>
                <w:szCs w:val="20"/>
                <w:highlight w:val="none"/>
              </w:rPr>
            </w:pPr>
          </w:p>
        </w:tc>
        <w:tc>
          <w:tcPr>
            <w:tcW w:w="835" w:type="dxa"/>
            <w:vAlign w:val="center"/>
          </w:tcPr>
          <w:p w14:paraId="420B8AA6">
            <w:pPr>
              <w:spacing w:line="360" w:lineRule="auto"/>
              <w:outlineLvl w:val="9"/>
              <w:rPr>
                <w:rFonts w:hint="eastAsia" w:ascii="宋体" w:hAnsi="宋体" w:eastAsia="宋体" w:cs="宋体"/>
                <w:sz w:val="20"/>
                <w:szCs w:val="20"/>
                <w:highlight w:val="none"/>
              </w:rPr>
            </w:pPr>
          </w:p>
        </w:tc>
      </w:tr>
      <w:tr w14:paraId="5CC2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9D1A2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69</w:t>
            </w:r>
          </w:p>
        </w:tc>
        <w:tc>
          <w:tcPr>
            <w:tcW w:w="2165" w:type="dxa"/>
            <w:shd w:val="clear" w:color="auto" w:fill="auto"/>
            <w:vAlign w:val="center"/>
          </w:tcPr>
          <w:p w14:paraId="1E95CE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原木4人桌.52cm</w:t>
            </w:r>
          </w:p>
        </w:tc>
        <w:tc>
          <w:tcPr>
            <w:tcW w:w="2180" w:type="dxa"/>
            <w:shd w:val="clear" w:color="auto" w:fill="auto"/>
            <w:vAlign w:val="center"/>
          </w:tcPr>
          <w:p w14:paraId="5FC44D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L60xW60xH52cm</w:t>
            </w:r>
          </w:p>
        </w:tc>
        <w:tc>
          <w:tcPr>
            <w:tcW w:w="834" w:type="dxa"/>
            <w:shd w:val="clear" w:color="auto" w:fill="auto"/>
            <w:vAlign w:val="center"/>
          </w:tcPr>
          <w:p w14:paraId="2F9288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834" w:type="dxa"/>
            <w:shd w:val="clear" w:color="auto" w:fill="auto"/>
            <w:vAlign w:val="center"/>
          </w:tcPr>
          <w:p w14:paraId="6D3AFC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3F7B2ADA">
            <w:pPr>
              <w:spacing w:line="360" w:lineRule="auto"/>
              <w:outlineLvl w:val="9"/>
              <w:rPr>
                <w:rFonts w:hint="eastAsia" w:ascii="宋体" w:hAnsi="宋体" w:eastAsia="宋体" w:cs="宋体"/>
                <w:sz w:val="20"/>
                <w:szCs w:val="20"/>
                <w:highlight w:val="none"/>
              </w:rPr>
            </w:pPr>
          </w:p>
        </w:tc>
        <w:tc>
          <w:tcPr>
            <w:tcW w:w="835" w:type="dxa"/>
            <w:vAlign w:val="center"/>
          </w:tcPr>
          <w:p w14:paraId="166629C5">
            <w:pPr>
              <w:spacing w:line="360" w:lineRule="auto"/>
              <w:outlineLvl w:val="9"/>
              <w:rPr>
                <w:rFonts w:hint="eastAsia" w:ascii="宋体" w:hAnsi="宋体" w:eastAsia="宋体" w:cs="宋体"/>
                <w:sz w:val="20"/>
                <w:szCs w:val="20"/>
                <w:highlight w:val="none"/>
              </w:rPr>
            </w:pPr>
          </w:p>
        </w:tc>
      </w:tr>
      <w:tr w14:paraId="0AA1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4A6FC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70</w:t>
            </w:r>
          </w:p>
        </w:tc>
        <w:tc>
          <w:tcPr>
            <w:tcW w:w="2165" w:type="dxa"/>
            <w:shd w:val="clear" w:color="auto" w:fill="auto"/>
            <w:vAlign w:val="center"/>
          </w:tcPr>
          <w:p w14:paraId="636C96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原木椅.27cm</w:t>
            </w:r>
          </w:p>
        </w:tc>
        <w:tc>
          <w:tcPr>
            <w:tcW w:w="2180" w:type="dxa"/>
            <w:shd w:val="clear" w:color="auto" w:fill="auto"/>
            <w:vAlign w:val="center"/>
          </w:tcPr>
          <w:p w14:paraId="6E81EB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L30xW30xH50cm（座高27cm）</w:t>
            </w:r>
          </w:p>
        </w:tc>
        <w:tc>
          <w:tcPr>
            <w:tcW w:w="834" w:type="dxa"/>
            <w:shd w:val="clear" w:color="auto" w:fill="auto"/>
            <w:vAlign w:val="center"/>
          </w:tcPr>
          <w:p w14:paraId="345A46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w:t>
            </w:r>
          </w:p>
        </w:tc>
        <w:tc>
          <w:tcPr>
            <w:tcW w:w="834" w:type="dxa"/>
            <w:shd w:val="clear" w:color="auto" w:fill="auto"/>
            <w:vAlign w:val="center"/>
          </w:tcPr>
          <w:p w14:paraId="255943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302EA7BD">
            <w:pPr>
              <w:spacing w:line="360" w:lineRule="auto"/>
              <w:outlineLvl w:val="9"/>
              <w:rPr>
                <w:rFonts w:hint="eastAsia" w:ascii="宋体" w:hAnsi="宋体" w:eastAsia="宋体" w:cs="宋体"/>
                <w:sz w:val="20"/>
                <w:szCs w:val="20"/>
                <w:highlight w:val="none"/>
              </w:rPr>
            </w:pPr>
          </w:p>
        </w:tc>
        <w:tc>
          <w:tcPr>
            <w:tcW w:w="835" w:type="dxa"/>
            <w:vAlign w:val="center"/>
          </w:tcPr>
          <w:p w14:paraId="581F674B">
            <w:pPr>
              <w:spacing w:line="360" w:lineRule="auto"/>
              <w:outlineLvl w:val="9"/>
              <w:rPr>
                <w:rFonts w:hint="eastAsia" w:ascii="宋体" w:hAnsi="宋体" w:eastAsia="宋体" w:cs="宋体"/>
                <w:sz w:val="20"/>
                <w:szCs w:val="20"/>
                <w:highlight w:val="none"/>
              </w:rPr>
            </w:pPr>
          </w:p>
        </w:tc>
      </w:tr>
      <w:tr w14:paraId="30C9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30BA1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71</w:t>
            </w:r>
          </w:p>
        </w:tc>
        <w:tc>
          <w:tcPr>
            <w:tcW w:w="2165" w:type="dxa"/>
            <w:shd w:val="clear" w:color="auto" w:fill="auto"/>
            <w:vAlign w:val="center"/>
          </w:tcPr>
          <w:p w14:paraId="463CCE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蒙泰基一体成型椅.41cm.可叠</w:t>
            </w:r>
          </w:p>
        </w:tc>
        <w:tc>
          <w:tcPr>
            <w:tcW w:w="2180" w:type="dxa"/>
            <w:shd w:val="clear" w:color="auto" w:fill="auto"/>
            <w:vAlign w:val="center"/>
          </w:tcPr>
          <w:p w14:paraId="149E32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L47xW46.5xH73cm（座高41cm）</w:t>
            </w:r>
          </w:p>
        </w:tc>
        <w:tc>
          <w:tcPr>
            <w:tcW w:w="834" w:type="dxa"/>
            <w:shd w:val="clear" w:color="auto" w:fill="auto"/>
            <w:vAlign w:val="center"/>
          </w:tcPr>
          <w:p w14:paraId="249422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581A87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1742011E">
            <w:pPr>
              <w:spacing w:line="360" w:lineRule="auto"/>
              <w:outlineLvl w:val="9"/>
              <w:rPr>
                <w:rFonts w:hint="eastAsia" w:ascii="宋体" w:hAnsi="宋体" w:eastAsia="宋体" w:cs="宋体"/>
                <w:sz w:val="20"/>
                <w:szCs w:val="20"/>
                <w:highlight w:val="none"/>
              </w:rPr>
            </w:pPr>
          </w:p>
        </w:tc>
        <w:tc>
          <w:tcPr>
            <w:tcW w:w="835" w:type="dxa"/>
            <w:vAlign w:val="center"/>
          </w:tcPr>
          <w:p w14:paraId="65DB6209">
            <w:pPr>
              <w:spacing w:line="360" w:lineRule="auto"/>
              <w:outlineLvl w:val="9"/>
              <w:rPr>
                <w:rFonts w:hint="eastAsia" w:ascii="宋体" w:hAnsi="宋体" w:eastAsia="宋体" w:cs="宋体"/>
                <w:sz w:val="20"/>
                <w:szCs w:val="20"/>
                <w:highlight w:val="none"/>
              </w:rPr>
            </w:pPr>
          </w:p>
        </w:tc>
      </w:tr>
      <w:tr w14:paraId="6647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48EA6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72</w:t>
            </w:r>
          </w:p>
        </w:tc>
        <w:tc>
          <w:tcPr>
            <w:tcW w:w="2165" w:type="dxa"/>
            <w:shd w:val="clear" w:color="auto" w:fill="auto"/>
            <w:vAlign w:val="center"/>
          </w:tcPr>
          <w:p w14:paraId="190666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美术储物双面画架</w:t>
            </w:r>
          </w:p>
        </w:tc>
        <w:tc>
          <w:tcPr>
            <w:tcW w:w="2180" w:type="dxa"/>
            <w:shd w:val="clear" w:color="auto" w:fill="auto"/>
            <w:vAlign w:val="center"/>
          </w:tcPr>
          <w:p w14:paraId="4DFC01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L62xW45xH124cm（含轮 ）</w:t>
            </w:r>
          </w:p>
        </w:tc>
        <w:tc>
          <w:tcPr>
            <w:tcW w:w="834" w:type="dxa"/>
            <w:shd w:val="clear" w:color="auto" w:fill="auto"/>
            <w:vAlign w:val="center"/>
          </w:tcPr>
          <w:p w14:paraId="38D45E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82190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3101747">
            <w:pPr>
              <w:spacing w:line="360" w:lineRule="auto"/>
              <w:outlineLvl w:val="9"/>
              <w:rPr>
                <w:rFonts w:hint="eastAsia" w:ascii="宋体" w:hAnsi="宋体" w:eastAsia="宋体" w:cs="宋体"/>
                <w:sz w:val="20"/>
                <w:szCs w:val="20"/>
                <w:highlight w:val="none"/>
              </w:rPr>
            </w:pPr>
          </w:p>
        </w:tc>
        <w:tc>
          <w:tcPr>
            <w:tcW w:w="835" w:type="dxa"/>
            <w:vAlign w:val="center"/>
          </w:tcPr>
          <w:p w14:paraId="0EC36F20">
            <w:pPr>
              <w:spacing w:line="360" w:lineRule="auto"/>
              <w:outlineLvl w:val="9"/>
              <w:rPr>
                <w:rFonts w:hint="eastAsia" w:ascii="宋体" w:hAnsi="宋体" w:eastAsia="宋体" w:cs="宋体"/>
                <w:sz w:val="20"/>
                <w:szCs w:val="20"/>
                <w:highlight w:val="none"/>
              </w:rPr>
            </w:pPr>
          </w:p>
        </w:tc>
      </w:tr>
      <w:tr w14:paraId="699A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C5383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73</w:t>
            </w:r>
          </w:p>
        </w:tc>
        <w:tc>
          <w:tcPr>
            <w:tcW w:w="2165" w:type="dxa"/>
            <w:shd w:val="clear" w:color="auto" w:fill="auto"/>
            <w:vAlign w:val="center"/>
          </w:tcPr>
          <w:p w14:paraId="3CAB7B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美术纸筒柜</w:t>
            </w:r>
          </w:p>
        </w:tc>
        <w:tc>
          <w:tcPr>
            <w:tcW w:w="2180" w:type="dxa"/>
            <w:shd w:val="clear" w:color="auto" w:fill="auto"/>
            <w:vAlign w:val="center"/>
          </w:tcPr>
          <w:p w14:paraId="62387D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L40xW40xH58cm</w:t>
            </w:r>
          </w:p>
        </w:tc>
        <w:tc>
          <w:tcPr>
            <w:tcW w:w="834" w:type="dxa"/>
            <w:shd w:val="clear" w:color="auto" w:fill="auto"/>
            <w:vAlign w:val="center"/>
          </w:tcPr>
          <w:p w14:paraId="6D1F1D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70D319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25D8D94">
            <w:pPr>
              <w:spacing w:line="360" w:lineRule="auto"/>
              <w:outlineLvl w:val="9"/>
              <w:rPr>
                <w:rFonts w:hint="eastAsia" w:ascii="宋体" w:hAnsi="宋体" w:eastAsia="宋体" w:cs="宋体"/>
                <w:sz w:val="20"/>
                <w:szCs w:val="20"/>
                <w:highlight w:val="none"/>
              </w:rPr>
            </w:pPr>
          </w:p>
        </w:tc>
        <w:tc>
          <w:tcPr>
            <w:tcW w:w="835" w:type="dxa"/>
            <w:vAlign w:val="center"/>
          </w:tcPr>
          <w:p w14:paraId="320EC563">
            <w:pPr>
              <w:spacing w:line="360" w:lineRule="auto"/>
              <w:outlineLvl w:val="9"/>
              <w:rPr>
                <w:rFonts w:hint="eastAsia" w:ascii="宋体" w:hAnsi="宋体" w:eastAsia="宋体" w:cs="宋体"/>
                <w:sz w:val="20"/>
                <w:szCs w:val="20"/>
                <w:highlight w:val="none"/>
              </w:rPr>
            </w:pPr>
          </w:p>
        </w:tc>
      </w:tr>
      <w:tr w14:paraId="7D4E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4FFFC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74</w:t>
            </w:r>
          </w:p>
        </w:tc>
        <w:tc>
          <w:tcPr>
            <w:tcW w:w="2165" w:type="dxa"/>
            <w:shd w:val="clear" w:color="auto" w:fill="auto"/>
            <w:vAlign w:val="center"/>
          </w:tcPr>
          <w:p w14:paraId="637551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美术作品晾干柜</w:t>
            </w:r>
          </w:p>
        </w:tc>
        <w:tc>
          <w:tcPr>
            <w:tcW w:w="2180" w:type="dxa"/>
            <w:shd w:val="clear" w:color="auto" w:fill="auto"/>
            <w:vAlign w:val="center"/>
          </w:tcPr>
          <w:p w14:paraId="21AEC4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L50xW40xH76cm</w:t>
            </w:r>
          </w:p>
        </w:tc>
        <w:tc>
          <w:tcPr>
            <w:tcW w:w="834" w:type="dxa"/>
            <w:shd w:val="clear" w:color="auto" w:fill="auto"/>
            <w:vAlign w:val="center"/>
          </w:tcPr>
          <w:p w14:paraId="1D62B6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1CF4C0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BD9D152">
            <w:pPr>
              <w:spacing w:line="360" w:lineRule="auto"/>
              <w:outlineLvl w:val="9"/>
              <w:rPr>
                <w:rFonts w:hint="eastAsia" w:ascii="宋体" w:hAnsi="宋体" w:eastAsia="宋体" w:cs="宋体"/>
                <w:sz w:val="20"/>
                <w:szCs w:val="20"/>
                <w:highlight w:val="none"/>
              </w:rPr>
            </w:pPr>
          </w:p>
        </w:tc>
        <w:tc>
          <w:tcPr>
            <w:tcW w:w="835" w:type="dxa"/>
            <w:vAlign w:val="center"/>
          </w:tcPr>
          <w:p w14:paraId="2F0F26B0">
            <w:pPr>
              <w:spacing w:line="360" w:lineRule="auto"/>
              <w:outlineLvl w:val="9"/>
              <w:rPr>
                <w:rFonts w:hint="eastAsia" w:ascii="宋体" w:hAnsi="宋体" w:eastAsia="宋体" w:cs="宋体"/>
                <w:sz w:val="20"/>
                <w:szCs w:val="20"/>
                <w:highlight w:val="none"/>
              </w:rPr>
            </w:pPr>
          </w:p>
        </w:tc>
      </w:tr>
      <w:tr w14:paraId="0C64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11646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75</w:t>
            </w:r>
          </w:p>
        </w:tc>
        <w:tc>
          <w:tcPr>
            <w:tcW w:w="2165" w:type="dxa"/>
            <w:shd w:val="clear" w:color="auto" w:fill="auto"/>
            <w:vAlign w:val="center"/>
          </w:tcPr>
          <w:p w14:paraId="781D53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美术用品收纳柜</w:t>
            </w:r>
          </w:p>
        </w:tc>
        <w:tc>
          <w:tcPr>
            <w:tcW w:w="2180" w:type="dxa"/>
            <w:shd w:val="clear" w:color="auto" w:fill="auto"/>
            <w:vAlign w:val="center"/>
          </w:tcPr>
          <w:p w14:paraId="68A3B1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L100xW40xH61.5cm</w:t>
            </w:r>
          </w:p>
        </w:tc>
        <w:tc>
          <w:tcPr>
            <w:tcW w:w="834" w:type="dxa"/>
            <w:shd w:val="clear" w:color="auto" w:fill="auto"/>
            <w:vAlign w:val="center"/>
          </w:tcPr>
          <w:p w14:paraId="4EA989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3FFECF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7C06901">
            <w:pPr>
              <w:spacing w:line="360" w:lineRule="auto"/>
              <w:outlineLvl w:val="9"/>
              <w:rPr>
                <w:rFonts w:hint="eastAsia" w:ascii="宋体" w:hAnsi="宋体" w:eastAsia="宋体" w:cs="宋体"/>
                <w:sz w:val="20"/>
                <w:szCs w:val="20"/>
                <w:highlight w:val="none"/>
              </w:rPr>
            </w:pPr>
          </w:p>
        </w:tc>
        <w:tc>
          <w:tcPr>
            <w:tcW w:w="835" w:type="dxa"/>
            <w:vAlign w:val="center"/>
          </w:tcPr>
          <w:p w14:paraId="2061CDF4">
            <w:pPr>
              <w:spacing w:line="360" w:lineRule="auto"/>
              <w:outlineLvl w:val="9"/>
              <w:rPr>
                <w:rFonts w:hint="eastAsia" w:ascii="宋体" w:hAnsi="宋体" w:eastAsia="宋体" w:cs="宋体"/>
                <w:sz w:val="20"/>
                <w:szCs w:val="20"/>
                <w:highlight w:val="none"/>
              </w:rPr>
            </w:pPr>
          </w:p>
        </w:tc>
      </w:tr>
      <w:tr w14:paraId="1F60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7058E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76</w:t>
            </w:r>
          </w:p>
        </w:tc>
        <w:tc>
          <w:tcPr>
            <w:tcW w:w="2165" w:type="dxa"/>
            <w:shd w:val="clear" w:color="auto" w:fill="auto"/>
            <w:vAlign w:val="center"/>
          </w:tcPr>
          <w:p w14:paraId="22C72E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杯筒收纳盒</w:t>
            </w:r>
          </w:p>
        </w:tc>
        <w:tc>
          <w:tcPr>
            <w:tcW w:w="2180" w:type="dxa"/>
            <w:shd w:val="clear" w:color="auto" w:fill="auto"/>
            <w:vAlign w:val="center"/>
          </w:tcPr>
          <w:p w14:paraId="5B7C22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L24xW24xH9cm</w:t>
            </w:r>
          </w:p>
        </w:tc>
        <w:tc>
          <w:tcPr>
            <w:tcW w:w="834" w:type="dxa"/>
            <w:shd w:val="clear" w:color="auto" w:fill="auto"/>
            <w:vAlign w:val="center"/>
          </w:tcPr>
          <w:p w14:paraId="523E12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A0725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183870D3">
            <w:pPr>
              <w:spacing w:line="360" w:lineRule="auto"/>
              <w:outlineLvl w:val="9"/>
              <w:rPr>
                <w:rFonts w:hint="eastAsia" w:ascii="宋体" w:hAnsi="宋体" w:eastAsia="宋体" w:cs="宋体"/>
                <w:sz w:val="20"/>
                <w:szCs w:val="20"/>
                <w:highlight w:val="none"/>
              </w:rPr>
            </w:pPr>
          </w:p>
        </w:tc>
        <w:tc>
          <w:tcPr>
            <w:tcW w:w="835" w:type="dxa"/>
            <w:vAlign w:val="center"/>
          </w:tcPr>
          <w:p w14:paraId="23799C3F">
            <w:pPr>
              <w:spacing w:line="360" w:lineRule="auto"/>
              <w:outlineLvl w:val="9"/>
              <w:rPr>
                <w:rFonts w:hint="eastAsia" w:ascii="宋体" w:hAnsi="宋体" w:eastAsia="宋体" w:cs="宋体"/>
                <w:sz w:val="20"/>
                <w:szCs w:val="20"/>
                <w:highlight w:val="none"/>
              </w:rPr>
            </w:pPr>
          </w:p>
        </w:tc>
      </w:tr>
      <w:tr w14:paraId="6FF5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83E002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77</w:t>
            </w:r>
          </w:p>
        </w:tc>
        <w:tc>
          <w:tcPr>
            <w:tcW w:w="2165" w:type="dxa"/>
            <w:shd w:val="clear" w:color="auto" w:fill="auto"/>
            <w:vAlign w:val="center"/>
          </w:tcPr>
          <w:p w14:paraId="4D59BA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原木3层矮柜.可调节.无背板</w:t>
            </w:r>
          </w:p>
        </w:tc>
        <w:tc>
          <w:tcPr>
            <w:tcW w:w="2180" w:type="dxa"/>
            <w:shd w:val="clear" w:color="auto" w:fill="auto"/>
            <w:vAlign w:val="center"/>
          </w:tcPr>
          <w:p w14:paraId="6B33D2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L91.5xW30xH59cm</w:t>
            </w:r>
          </w:p>
        </w:tc>
        <w:tc>
          <w:tcPr>
            <w:tcW w:w="834" w:type="dxa"/>
            <w:shd w:val="clear" w:color="auto" w:fill="auto"/>
            <w:vAlign w:val="center"/>
          </w:tcPr>
          <w:p w14:paraId="481F20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BD648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93E2B00">
            <w:pPr>
              <w:spacing w:line="360" w:lineRule="auto"/>
              <w:outlineLvl w:val="9"/>
              <w:rPr>
                <w:rFonts w:hint="eastAsia" w:ascii="宋体" w:hAnsi="宋体" w:eastAsia="宋体" w:cs="宋体"/>
                <w:sz w:val="20"/>
                <w:szCs w:val="20"/>
                <w:highlight w:val="none"/>
              </w:rPr>
            </w:pPr>
          </w:p>
        </w:tc>
        <w:tc>
          <w:tcPr>
            <w:tcW w:w="835" w:type="dxa"/>
            <w:vAlign w:val="center"/>
          </w:tcPr>
          <w:p w14:paraId="71FFD149">
            <w:pPr>
              <w:spacing w:line="360" w:lineRule="auto"/>
              <w:outlineLvl w:val="9"/>
              <w:rPr>
                <w:rFonts w:hint="eastAsia" w:ascii="宋体" w:hAnsi="宋体" w:eastAsia="宋体" w:cs="宋体"/>
                <w:sz w:val="20"/>
                <w:szCs w:val="20"/>
                <w:highlight w:val="none"/>
              </w:rPr>
            </w:pPr>
          </w:p>
        </w:tc>
      </w:tr>
      <w:tr w14:paraId="6EB6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512A7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78</w:t>
            </w:r>
          </w:p>
        </w:tc>
        <w:tc>
          <w:tcPr>
            <w:tcW w:w="2165" w:type="dxa"/>
            <w:shd w:val="clear" w:color="auto" w:fill="auto"/>
            <w:vAlign w:val="center"/>
          </w:tcPr>
          <w:p w14:paraId="135834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原木3层高柜.全背板</w:t>
            </w:r>
          </w:p>
        </w:tc>
        <w:tc>
          <w:tcPr>
            <w:tcW w:w="2180" w:type="dxa"/>
            <w:shd w:val="clear" w:color="auto" w:fill="auto"/>
            <w:vAlign w:val="center"/>
          </w:tcPr>
          <w:p w14:paraId="01B8E2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L91.5xW30xH80cm</w:t>
            </w:r>
          </w:p>
        </w:tc>
        <w:tc>
          <w:tcPr>
            <w:tcW w:w="834" w:type="dxa"/>
            <w:shd w:val="clear" w:color="auto" w:fill="auto"/>
            <w:vAlign w:val="center"/>
          </w:tcPr>
          <w:p w14:paraId="6047B8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834" w:type="dxa"/>
            <w:shd w:val="clear" w:color="auto" w:fill="auto"/>
            <w:vAlign w:val="center"/>
          </w:tcPr>
          <w:p w14:paraId="3EB1477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1354B2B7">
            <w:pPr>
              <w:spacing w:line="360" w:lineRule="auto"/>
              <w:outlineLvl w:val="9"/>
              <w:rPr>
                <w:rFonts w:hint="eastAsia" w:ascii="宋体" w:hAnsi="宋体" w:eastAsia="宋体" w:cs="宋体"/>
                <w:sz w:val="20"/>
                <w:szCs w:val="20"/>
                <w:highlight w:val="none"/>
              </w:rPr>
            </w:pPr>
          </w:p>
        </w:tc>
        <w:tc>
          <w:tcPr>
            <w:tcW w:w="835" w:type="dxa"/>
            <w:vAlign w:val="center"/>
          </w:tcPr>
          <w:p w14:paraId="23745C8A">
            <w:pPr>
              <w:spacing w:line="360" w:lineRule="auto"/>
              <w:outlineLvl w:val="9"/>
              <w:rPr>
                <w:rFonts w:hint="eastAsia" w:ascii="宋体" w:hAnsi="宋体" w:eastAsia="宋体" w:cs="宋体"/>
                <w:sz w:val="20"/>
                <w:szCs w:val="20"/>
                <w:highlight w:val="none"/>
              </w:rPr>
            </w:pPr>
          </w:p>
        </w:tc>
      </w:tr>
      <w:tr w14:paraId="07CE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8B58A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79</w:t>
            </w:r>
          </w:p>
        </w:tc>
        <w:tc>
          <w:tcPr>
            <w:tcW w:w="2165" w:type="dxa"/>
            <w:shd w:val="clear" w:color="auto" w:fill="auto"/>
            <w:vAlign w:val="center"/>
          </w:tcPr>
          <w:p w14:paraId="5FDDC8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原木2层90°弧形矮柜</w:t>
            </w:r>
          </w:p>
        </w:tc>
        <w:tc>
          <w:tcPr>
            <w:tcW w:w="2180" w:type="dxa"/>
            <w:shd w:val="clear" w:color="auto" w:fill="auto"/>
            <w:vAlign w:val="center"/>
          </w:tcPr>
          <w:p w14:paraId="3D4D65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L84xW38.5xH59cm</w:t>
            </w:r>
          </w:p>
        </w:tc>
        <w:tc>
          <w:tcPr>
            <w:tcW w:w="834" w:type="dxa"/>
            <w:shd w:val="clear" w:color="auto" w:fill="auto"/>
            <w:vAlign w:val="center"/>
          </w:tcPr>
          <w:p w14:paraId="770710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6F8096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6FD5CF04">
            <w:pPr>
              <w:spacing w:line="360" w:lineRule="auto"/>
              <w:outlineLvl w:val="9"/>
              <w:rPr>
                <w:rFonts w:hint="eastAsia" w:ascii="宋体" w:hAnsi="宋体" w:eastAsia="宋体" w:cs="宋体"/>
                <w:sz w:val="20"/>
                <w:szCs w:val="20"/>
                <w:highlight w:val="none"/>
              </w:rPr>
            </w:pPr>
          </w:p>
        </w:tc>
        <w:tc>
          <w:tcPr>
            <w:tcW w:w="835" w:type="dxa"/>
            <w:vAlign w:val="center"/>
          </w:tcPr>
          <w:p w14:paraId="70BEA699">
            <w:pPr>
              <w:spacing w:line="360" w:lineRule="auto"/>
              <w:outlineLvl w:val="9"/>
              <w:rPr>
                <w:rFonts w:hint="eastAsia" w:ascii="宋体" w:hAnsi="宋体" w:eastAsia="宋体" w:cs="宋体"/>
                <w:sz w:val="20"/>
                <w:szCs w:val="20"/>
                <w:highlight w:val="none"/>
              </w:rPr>
            </w:pPr>
          </w:p>
        </w:tc>
      </w:tr>
      <w:tr w14:paraId="70CB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6D65B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80</w:t>
            </w:r>
          </w:p>
        </w:tc>
        <w:tc>
          <w:tcPr>
            <w:tcW w:w="2165" w:type="dxa"/>
            <w:shd w:val="clear" w:color="auto" w:fill="auto"/>
            <w:vAlign w:val="center"/>
          </w:tcPr>
          <w:p w14:paraId="25E524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原木3层短柜高柜.半背板</w:t>
            </w:r>
          </w:p>
        </w:tc>
        <w:tc>
          <w:tcPr>
            <w:tcW w:w="2180" w:type="dxa"/>
            <w:shd w:val="clear" w:color="auto" w:fill="auto"/>
            <w:vAlign w:val="center"/>
          </w:tcPr>
          <w:p w14:paraId="234D41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L61.5xW30xH80cm</w:t>
            </w:r>
          </w:p>
        </w:tc>
        <w:tc>
          <w:tcPr>
            <w:tcW w:w="834" w:type="dxa"/>
            <w:shd w:val="clear" w:color="auto" w:fill="auto"/>
            <w:vAlign w:val="center"/>
          </w:tcPr>
          <w:p w14:paraId="70ED03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5A66D4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AD2647D">
            <w:pPr>
              <w:spacing w:line="360" w:lineRule="auto"/>
              <w:outlineLvl w:val="9"/>
              <w:rPr>
                <w:rFonts w:hint="eastAsia" w:ascii="宋体" w:hAnsi="宋体" w:eastAsia="宋体" w:cs="宋体"/>
                <w:sz w:val="20"/>
                <w:szCs w:val="20"/>
                <w:highlight w:val="none"/>
              </w:rPr>
            </w:pPr>
          </w:p>
        </w:tc>
        <w:tc>
          <w:tcPr>
            <w:tcW w:w="835" w:type="dxa"/>
            <w:vAlign w:val="center"/>
          </w:tcPr>
          <w:p w14:paraId="6F2152D4">
            <w:pPr>
              <w:spacing w:line="360" w:lineRule="auto"/>
              <w:outlineLvl w:val="9"/>
              <w:rPr>
                <w:rFonts w:hint="eastAsia" w:ascii="宋体" w:hAnsi="宋体" w:eastAsia="宋体" w:cs="宋体"/>
                <w:sz w:val="20"/>
                <w:szCs w:val="20"/>
                <w:highlight w:val="none"/>
              </w:rPr>
            </w:pPr>
          </w:p>
        </w:tc>
      </w:tr>
      <w:tr w14:paraId="185F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E04B3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81</w:t>
            </w:r>
          </w:p>
        </w:tc>
        <w:tc>
          <w:tcPr>
            <w:tcW w:w="2165" w:type="dxa"/>
            <w:shd w:val="clear" w:color="auto" w:fill="auto"/>
            <w:vAlign w:val="center"/>
          </w:tcPr>
          <w:p w14:paraId="662682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原木阶梯组合柜.无背板</w:t>
            </w:r>
          </w:p>
        </w:tc>
        <w:tc>
          <w:tcPr>
            <w:tcW w:w="2180" w:type="dxa"/>
            <w:shd w:val="clear" w:color="auto" w:fill="auto"/>
            <w:vAlign w:val="center"/>
          </w:tcPr>
          <w:p w14:paraId="0E60DA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3层：L30xW30xH80cm</w:t>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br w:type="textWrapping"/>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2层：L30xW30xH59cm</w:t>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br w:type="textWrapping"/>
            </w: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1层：L30xW30xH34cm</w:t>
            </w:r>
          </w:p>
        </w:tc>
        <w:tc>
          <w:tcPr>
            <w:tcW w:w="834" w:type="dxa"/>
            <w:shd w:val="clear" w:color="auto" w:fill="auto"/>
            <w:vAlign w:val="center"/>
          </w:tcPr>
          <w:p w14:paraId="75141A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07BD4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1C8B9A6E">
            <w:pPr>
              <w:spacing w:line="360" w:lineRule="auto"/>
              <w:outlineLvl w:val="9"/>
              <w:rPr>
                <w:rFonts w:hint="eastAsia" w:ascii="宋体" w:hAnsi="宋体" w:eastAsia="宋体" w:cs="宋体"/>
                <w:sz w:val="20"/>
                <w:szCs w:val="20"/>
                <w:highlight w:val="none"/>
              </w:rPr>
            </w:pPr>
          </w:p>
        </w:tc>
        <w:tc>
          <w:tcPr>
            <w:tcW w:w="835" w:type="dxa"/>
            <w:vAlign w:val="center"/>
          </w:tcPr>
          <w:p w14:paraId="363A4D03">
            <w:pPr>
              <w:spacing w:line="360" w:lineRule="auto"/>
              <w:outlineLvl w:val="9"/>
              <w:rPr>
                <w:rFonts w:hint="eastAsia" w:ascii="宋体" w:hAnsi="宋体" w:eastAsia="宋体" w:cs="宋体"/>
                <w:sz w:val="20"/>
                <w:szCs w:val="20"/>
                <w:highlight w:val="none"/>
              </w:rPr>
            </w:pPr>
          </w:p>
        </w:tc>
      </w:tr>
      <w:tr w14:paraId="6C75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5671F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82</w:t>
            </w:r>
          </w:p>
        </w:tc>
        <w:tc>
          <w:tcPr>
            <w:tcW w:w="2165" w:type="dxa"/>
            <w:shd w:val="clear" w:color="auto" w:fill="auto"/>
            <w:vAlign w:val="center"/>
          </w:tcPr>
          <w:p w14:paraId="00BF0A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山峰小屋收纳柜</w:t>
            </w:r>
          </w:p>
        </w:tc>
        <w:tc>
          <w:tcPr>
            <w:tcW w:w="2180" w:type="dxa"/>
            <w:shd w:val="clear" w:color="auto" w:fill="auto"/>
            <w:vAlign w:val="center"/>
          </w:tcPr>
          <w:p w14:paraId="2B209D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L50xW30xH110.5cm</w:t>
            </w:r>
          </w:p>
        </w:tc>
        <w:tc>
          <w:tcPr>
            <w:tcW w:w="834" w:type="dxa"/>
            <w:shd w:val="clear" w:color="auto" w:fill="auto"/>
            <w:vAlign w:val="center"/>
          </w:tcPr>
          <w:p w14:paraId="55313F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83F50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1E7C35D">
            <w:pPr>
              <w:spacing w:line="360" w:lineRule="auto"/>
              <w:outlineLvl w:val="9"/>
              <w:rPr>
                <w:rFonts w:hint="eastAsia" w:ascii="宋体" w:hAnsi="宋体" w:eastAsia="宋体" w:cs="宋体"/>
                <w:sz w:val="20"/>
                <w:szCs w:val="20"/>
                <w:highlight w:val="none"/>
              </w:rPr>
            </w:pPr>
          </w:p>
        </w:tc>
        <w:tc>
          <w:tcPr>
            <w:tcW w:w="835" w:type="dxa"/>
            <w:vAlign w:val="center"/>
          </w:tcPr>
          <w:p w14:paraId="3610DDA6">
            <w:pPr>
              <w:spacing w:line="360" w:lineRule="auto"/>
              <w:outlineLvl w:val="9"/>
              <w:rPr>
                <w:rFonts w:hint="eastAsia" w:ascii="宋体" w:hAnsi="宋体" w:eastAsia="宋体" w:cs="宋体"/>
                <w:sz w:val="20"/>
                <w:szCs w:val="20"/>
                <w:highlight w:val="none"/>
              </w:rPr>
            </w:pPr>
          </w:p>
        </w:tc>
      </w:tr>
      <w:tr w14:paraId="52EC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5921E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83</w:t>
            </w:r>
          </w:p>
        </w:tc>
        <w:tc>
          <w:tcPr>
            <w:tcW w:w="2165" w:type="dxa"/>
            <w:shd w:val="clear" w:color="auto" w:fill="auto"/>
            <w:vAlign w:val="center"/>
          </w:tcPr>
          <w:p w14:paraId="7B162A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简约书架</w:t>
            </w:r>
          </w:p>
        </w:tc>
        <w:tc>
          <w:tcPr>
            <w:tcW w:w="2180" w:type="dxa"/>
            <w:shd w:val="clear" w:color="auto" w:fill="auto"/>
            <w:vAlign w:val="center"/>
          </w:tcPr>
          <w:p w14:paraId="290D34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L93xW30xH81cm</w:t>
            </w:r>
          </w:p>
        </w:tc>
        <w:tc>
          <w:tcPr>
            <w:tcW w:w="834" w:type="dxa"/>
            <w:shd w:val="clear" w:color="auto" w:fill="auto"/>
            <w:vAlign w:val="center"/>
          </w:tcPr>
          <w:p w14:paraId="05CB567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7B9597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647C34F">
            <w:pPr>
              <w:spacing w:line="360" w:lineRule="auto"/>
              <w:outlineLvl w:val="9"/>
              <w:rPr>
                <w:rFonts w:hint="eastAsia" w:ascii="宋体" w:hAnsi="宋体" w:eastAsia="宋体" w:cs="宋体"/>
                <w:sz w:val="20"/>
                <w:szCs w:val="20"/>
                <w:highlight w:val="none"/>
              </w:rPr>
            </w:pPr>
          </w:p>
        </w:tc>
        <w:tc>
          <w:tcPr>
            <w:tcW w:w="835" w:type="dxa"/>
            <w:vAlign w:val="center"/>
          </w:tcPr>
          <w:p w14:paraId="3D3134D8">
            <w:pPr>
              <w:spacing w:line="360" w:lineRule="auto"/>
              <w:outlineLvl w:val="9"/>
              <w:rPr>
                <w:rFonts w:hint="eastAsia" w:ascii="宋体" w:hAnsi="宋体" w:eastAsia="宋体" w:cs="宋体"/>
                <w:sz w:val="20"/>
                <w:szCs w:val="20"/>
                <w:highlight w:val="none"/>
              </w:rPr>
            </w:pPr>
          </w:p>
        </w:tc>
      </w:tr>
      <w:tr w14:paraId="7B6A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46D9E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84</w:t>
            </w:r>
          </w:p>
        </w:tc>
        <w:tc>
          <w:tcPr>
            <w:tcW w:w="2165" w:type="dxa"/>
            <w:shd w:val="clear" w:color="auto" w:fill="auto"/>
            <w:vAlign w:val="center"/>
          </w:tcPr>
          <w:p w14:paraId="233595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怀抱双人布艺沙发.天蓝</w:t>
            </w:r>
          </w:p>
        </w:tc>
        <w:tc>
          <w:tcPr>
            <w:tcW w:w="2180" w:type="dxa"/>
            <w:shd w:val="clear" w:color="auto" w:fill="auto"/>
            <w:vAlign w:val="center"/>
          </w:tcPr>
          <w:p w14:paraId="3B52DF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L97xW50xH61cm</w:t>
            </w:r>
          </w:p>
        </w:tc>
        <w:tc>
          <w:tcPr>
            <w:tcW w:w="834" w:type="dxa"/>
            <w:shd w:val="clear" w:color="auto" w:fill="auto"/>
            <w:vAlign w:val="center"/>
          </w:tcPr>
          <w:p w14:paraId="24649B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28FF12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48EE86C4">
            <w:pPr>
              <w:spacing w:line="360" w:lineRule="auto"/>
              <w:outlineLvl w:val="9"/>
              <w:rPr>
                <w:rFonts w:hint="eastAsia" w:ascii="宋体" w:hAnsi="宋体" w:eastAsia="宋体" w:cs="宋体"/>
                <w:sz w:val="20"/>
                <w:szCs w:val="20"/>
                <w:highlight w:val="none"/>
              </w:rPr>
            </w:pPr>
          </w:p>
        </w:tc>
        <w:tc>
          <w:tcPr>
            <w:tcW w:w="835" w:type="dxa"/>
            <w:vAlign w:val="center"/>
          </w:tcPr>
          <w:p w14:paraId="75FC2AB6">
            <w:pPr>
              <w:spacing w:line="360" w:lineRule="auto"/>
              <w:outlineLvl w:val="9"/>
              <w:rPr>
                <w:rFonts w:hint="eastAsia" w:ascii="宋体" w:hAnsi="宋体" w:eastAsia="宋体" w:cs="宋体"/>
                <w:sz w:val="20"/>
                <w:szCs w:val="20"/>
                <w:highlight w:val="none"/>
              </w:rPr>
            </w:pPr>
          </w:p>
        </w:tc>
      </w:tr>
      <w:tr w14:paraId="3414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B7E0A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85</w:t>
            </w:r>
          </w:p>
        </w:tc>
        <w:tc>
          <w:tcPr>
            <w:tcW w:w="2165" w:type="dxa"/>
            <w:shd w:val="clear" w:color="auto" w:fill="auto"/>
            <w:vAlign w:val="center"/>
          </w:tcPr>
          <w:p w14:paraId="2D06116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原木2层矮柜.可调节.无背板</w:t>
            </w:r>
          </w:p>
        </w:tc>
        <w:tc>
          <w:tcPr>
            <w:tcW w:w="2180" w:type="dxa"/>
            <w:shd w:val="clear" w:color="auto" w:fill="auto"/>
            <w:vAlign w:val="center"/>
          </w:tcPr>
          <w:p w14:paraId="550B77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L91.5xW30xH59cm</w:t>
            </w:r>
          </w:p>
        </w:tc>
        <w:tc>
          <w:tcPr>
            <w:tcW w:w="834" w:type="dxa"/>
            <w:shd w:val="clear" w:color="auto" w:fill="auto"/>
            <w:vAlign w:val="center"/>
          </w:tcPr>
          <w:p w14:paraId="17BA6E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59A15B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6EDF3D1F">
            <w:pPr>
              <w:spacing w:line="360" w:lineRule="auto"/>
              <w:outlineLvl w:val="9"/>
              <w:rPr>
                <w:rFonts w:hint="eastAsia" w:ascii="宋体" w:hAnsi="宋体" w:eastAsia="宋体" w:cs="宋体"/>
                <w:sz w:val="20"/>
                <w:szCs w:val="20"/>
                <w:highlight w:val="none"/>
              </w:rPr>
            </w:pPr>
          </w:p>
        </w:tc>
        <w:tc>
          <w:tcPr>
            <w:tcW w:w="835" w:type="dxa"/>
            <w:vAlign w:val="center"/>
          </w:tcPr>
          <w:p w14:paraId="01CF1B1D">
            <w:pPr>
              <w:spacing w:line="360" w:lineRule="auto"/>
              <w:outlineLvl w:val="9"/>
              <w:rPr>
                <w:rFonts w:hint="eastAsia" w:ascii="宋体" w:hAnsi="宋体" w:eastAsia="宋体" w:cs="宋体"/>
                <w:sz w:val="20"/>
                <w:szCs w:val="20"/>
                <w:highlight w:val="none"/>
              </w:rPr>
            </w:pPr>
          </w:p>
        </w:tc>
      </w:tr>
      <w:tr w14:paraId="6108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0246A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86</w:t>
            </w:r>
          </w:p>
        </w:tc>
        <w:tc>
          <w:tcPr>
            <w:tcW w:w="2165" w:type="dxa"/>
            <w:shd w:val="clear" w:color="auto" w:fill="auto"/>
            <w:vAlign w:val="center"/>
          </w:tcPr>
          <w:p w14:paraId="6B0556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三层教具篮收纳柜</w:t>
            </w:r>
          </w:p>
        </w:tc>
        <w:tc>
          <w:tcPr>
            <w:tcW w:w="2180" w:type="dxa"/>
            <w:shd w:val="clear" w:color="auto" w:fill="auto"/>
            <w:vAlign w:val="center"/>
          </w:tcPr>
          <w:p w14:paraId="6A68B9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L91xW30xH59cm</w:t>
            </w:r>
          </w:p>
        </w:tc>
        <w:tc>
          <w:tcPr>
            <w:tcW w:w="834" w:type="dxa"/>
            <w:shd w:val="clear" w:color="auto" w:fill="auto"/>
            <w:vAlign w:val="center"/>
          </w:tcPr>
          <w:p w14:paraId="400857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65B40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273B4848">
            <w:pPr>
              <w:spacing w:line="360" w:lineRule="auto"/>
              <w:outlineLvl w:val="9"/>
              <w:rPr>
                <w:rFonts w:hint="eastAsia" w:ascii="宋体" w:hAnsi="宋体" w:eastAsia="宋体" w:cs="宋体"/>
                <w:sz w:val="20"/>
                <w:szCs w:val="20"/>
                <w:highlight w:val="none"/>
              </w:rPr>
            </w:pPr>
          </w:p>
        </w:tc>
        <w:tc>
          <w:tcPr>
            <w:tcW w:w="835" w:type="dxa"/>
            <w:vAlign w:val="center"/>
          </w:tcPr>
          <w:p w14:paraId="2B02D6F1">
            <w:pPr>
              <w:spacing w:line="360" w:lineRule="auto"/>
              <w:outlineLvl w:val="9"/>
              <w:rPr>
                <w:rFonts w:hint="eastAsia" w:ascii="宋体" w:hAnsi="宋体" w:eastAsia="宋体" w:cs="宋体"/>
                <w:sz w:val="20"/>
                <w:szCs w:val="20"/>
                <w:highlight w:val="none"/>
              </w:rPr>
            </w:pPr>
          </w:p>
        </w:tc>
      </w:tr>
      <w:tr w14:paraId="709B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0E20A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87</w:t>
            </w:r>
          </w:p>
        </w:tc>
        <w:tc>
          <w:tcPr>
            <w:tcW w:w="2165" w:type="dxa"/>
            <w:shd w:val="clear" w:color="auto" w:fill="auto"/>
            <w:vAlign w:val="center"/>
          </w:tcPr>
          <w:p w14:paraId="7C3FBC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互动造型柜</w:t>
            </w:r>
          </w:p>
        </w:tc>
        <w:tc>
          <w:tcPr>
            <w:tcW w:w="2180" w:type="dxa"/>
            <w:shd w:val="clear" w:color="auto" w:fill="auto"/>
            <w:vAlign w:val="center"/>
          </w:tcPr>
          <w:p w14:paraId="6869CE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L98xW40xH136cm</w:t>
            </w:r>
          </w:p>
        </w:tc>
        <w:tc>
          <w:tcPr>
            <w:tcW w:w="834" w:type="dxa"/>
            <w:shd w:val="clear" w:color="auto" w:fill="auto"/>
            <w:vAlign w:val="center"/>
          </w:tcPr>
          <w:p w14:paraId="2FF5BB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1E66CE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67AF61E9">
            <w:pPr>
              <w:spacing w:line="360" w:lineRule="auto"/>
              <w:outlineLvl w:val="9"/>
              <w:rPr>
                <w:rFonts w:hint="eastAsia" w:ascii="宋体" w:hAnsi="宋体" w:eastAsia="宋体" w:cs="宋体"/>
                <w:sz w:val="20"/>
                <w:szCs w:val="20"/>
                <w:highlight w:val="none"/>
              </w:rPr>
            </w:pPr>
          </w:p>
        </w:tc>
        <w:tc>
          <w:tcPr>
            <w:tcW w:w="835" w:type="dxa"/>
            <w:vAlign w:val="center"/>
          </w:tcPr>
          <w:p w14:paraId="2CF12D60">
            <w:pPr>
              <w:spacing w:line="360" w:lineRule="auto"/>
              <w:outlineLvl w:val="9"/>
              <w:rPr>
                <w:rFonts w:hint="eastAsia" w:ascii="宋体" w:hAnsi="宋体" w:eastAsia="宋体" w:cs="宋体"/>
                <w:sz w:val="20"/>
                <w:szCs w:val="20"/>
                <w:highlight w:val="none"/>
              </w:rPr>
            </w:pPr>
          </w:p>
        </w:tc>
      </w:tr>
      <w:tr w14:paraId="17FC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DE557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88</w:t>
            </w:r>
          </w:p>
        </w:tc>
        <w:tc>
          <w:tcPr>
            <w:tcW w:w="2165" w:type="dxa"/>
            <w:shd w:val="clear" w:color="auto" w:fill="auto"/>
            <w:vAlign w:val="center"/>
          </w:tcPr>
          <w:p w14:paraId="6A1F84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简约互动小厨房</w:t>
            </w:r>
          </w:p>
        </w:tc>
        <w:tc>
          <w:tcPr>
            <w:tcW w:w="2180" w:type="dxa"/>
            <w:shd w:val="clear" w:color="auto" w:fill="auto"/>
            <w:vAlign w:val="center"/>
          </w:tcPr>
          <w:p w14:paraId="31F160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L93xW30xH86cm</w:t>
            </w:r>
          </w:p>
        </w:tc>
        <w:tc>
          <w:tcPr>
            <w:tcW w:w="834" w:type="dxa"/>
            <w:shd w:val="clear" w:color="auto" w:fill="auto"/>
            <w:vAlign w:val="center"/>
          </w:tcPr>
          <w:p w14:paraId="62FB4DB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117FF8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C6A5A4C">
            <w:pPr>
              <w:spacing w:line="360" w:lineRule="auto"/>
              <w:outlineLvl w:val="9"/>
              <w:rPr>
                <w:rFonts w:hint="eastAsia" w:ascii="宋体" w:hAnsi="宋体" w:eastAsia="宋体" w:cs="宋体"/>
                <w:sz w:val="20"/>
                <w:szCs w:val="20"/>
                <w:highlight w:val="none"/>
              </w:rPr>
            </w:pPr>
          </w:p>
        </w:tc>
        <w:tc>
          <w:tcPr>
            <w:tcW w:w="835" w:type="dxa"/>
            <w:vAlign w:val="center"/>
          </w:tcPr>
          <w:p w14:paraId="0DD5B0B7">
            <w:pPr>
              <w:spacing w:line="360" w:lineRule="auto"/>
              <w:outlineLvl w:val="9"/>
              <w:rPr>
                <w:rFonts w:hint="eastAsia" w:ascii="宋体" w:hAnsi="宋体" w:eastAsia="宋体" w:cs="宋体"/>
                <w:sz w:val="20"/>
                <w:szCs w:val="20"/>
                <w:highlight w:val="none"/>
              </w:rPr>
            </w:pPr>
          </w:p>
        </w:tc>
      </w:tr>
      <w:tr w14:paraId="3639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B3039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89</w:t>
            </w:r>
          </w:p>
        </w:tc>
        <w:tc>
          <w:tcPr>
            <w:tcW w:w="2165" w:type="dxa"/>
            <w:shd w:val="clear" w:color="auto" w:fill="auto"/>
            <w:vAlign w:val="center"/>
          </w:tcPr>
          <w:p w14:paraId="6AC574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简约衣帽饰品柜</w:t>
            </w:r>
          </w:p>
        </w:tc>
        <w:tc>
          <w:tcPr>
            <w:tcW w:w="2180" w:type="dxa"/>
            <w:shd w:val="clear" w:color="auto" w:fill="auto"/>
            <w:vAlign w:val="center"/>
          </w:tcPr>
          <w:p w14:paraId="1FE55D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L105xW40xH110cm</w:t>
            </w:r>
          </w:p>
        </w:tc>
        <w:tc>
          <w:tcPr>
            <w:tcW w:w="834" w:type="dxa"/>
            <w:shd w:val="clear" w:color="auto" w:fill="auto"/>
            <w:vAlign w:val="center"/>
          </w:tcPr>
          <w:p w14:paraId="4612AE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770340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2E7E5CA">
            <w:pPr>
              <w:spacing w:line="360" w:lineRule="auto"/>
              <w:outlineLvl w:val="9"/>
              <w:rPr>
                <w:rFonts w:hint="eastAsia" w:ascii="宋体" w:hAnsi="宋体" w:eastAsia="宋体" w:cs="宋体"/>
                <w:sz w:val="20"/>
                <w:szCs w:val="20"/>
                <w:highlight w:val="none"/>
              </w:rPr>
            </w:pPr>
          </w:p>
        </w:tc>
        <w:tc>
          <w:tcPr>
            <w:tcW w:w="835" w:type="dxa"/>
            <w:vAlign w:val="center"/>
          </w:tcPr>
          <w:p w14:paraId="7A50F2E5">
            <w:pPr>
              <w:spacing w:line="360" w:lineRule="auto"/>
              <w:outlineLvl w:val="9"/>
              <w:rPr>
                <w:rFonts w:hint="eastAsia" w:ascii="宋体" w:hAnsi="宋体" w:eastAsia="宋体" w:cs="宋体"/>
                <w:sz w:val="20"/>
                <w:szCs w:val="20"/>
                <w:highlight w:val="none"/>
              </w:rPr>
            </w:pPr>
          </w:p>
        </w:tc>
      </w:tr>
      <w:tr w14:paraId="7769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AD052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90</w:t>
            </w:r>
          </w:p>
        </w:tc>
        <w:tc>
          <w:tcPr>
            <w:tcW w:w="2165" w:type="dxa"/>
            <w:shd w:val="clear" w:color="auto" w:fill="auto"/>
            <w:vAlign w:val="center"/>
          </w:tcPr>
          <w:p w14:paraId="721C55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原木4层可调高柜.可调节.半背板</w:t>
            </w:r>
          </w:p>
        </w:tc>
        <w:tc>
          <w:tcPr>
            <w:tcW w:w="2180" w:type="dxa"/>
            <w:shd w:val="clear" w:color="auto" w:fill="auto"/>
            <w:vAlign w:val="center"/>
          </w:tcPr>
          <w:p w14:paraId="180034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L91.5xW30xH80cm</w:t>
            </w:r>
          </w:p>
        </w:tc>
        <w:tc>
          <w:tcPr>
            <w:tcW w:w="834" w:type="dxa"/>
            <w:shd w:val="clear" w:color="auto" w:fill="auto"/>
            <w:vAlign w:val="center"/>
          </w:tcPr>
          <w:p w14:paraId="42A629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2FBF12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DECB945">
            <w:pPr>
              <w:spacing w:line="360" w:lineRule="auto"/>
              <w:outlineLvl w:val="9"/>
              <w:rPr>
                <w:rFonts w:hint="eastAsia" w:ascii="宋体" w:hAnsi="宋体" w:eastAsia="宋体" w:cs="宋体"/>
                <w:sz w:val="20"/>
                <w:szCs w:val="20"/>
                <w:highlight w:val="none"/>
              </w:rPr>
            </w:pPr>
          </w:p>
        </w:tc>
        <w:tc>
          <w:tcPr>
            <w:tcW w:w="835" w:type="dxa"/>
            <w:vAlign w:val="center"/>
          </w:tcPr>
          <w:p w14:paraId="499BB9A4">
            <w:pPr>
              <w:spacing w:line="360" w:lineRule="auto"/>
              <w:outlineLvl w:val="9"/>
              <w:rPr>
                <w:rFonts w:hint="eastAsia" w:ascii="宋体" w:hAnsi="宋体" w:eastAsia="宋体" w:cs="宋体"/>
                <w:sz w:val="20"/>
                <w:szCs w:val="20"/>
                <w:highlight w:val="none"/>
              </w:rPr>
            </w:pPr>
          </w:p>
        </w:tc>
      </w:tr>
      <w:tr w14:paraId="717E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7D63B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91</w:t>
            </w:r>
          </w:p>
        </w:tc>
        <w:tc>
          <w:tcPr>
            <w:tcW w:w="2165" w:type="dxa"/>
            <w:shd w:val="clear" w:color="auto" w:fill="auto"/>
            <w:vAlign w:val="center"/>
          </w:tcPr>
          <w:p w14:paraId="0CCDA3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移动水杯水桶收纳柜</w:t>
            </w:r>
          </w:p>
        </w:tc>
        <w:tc>
          <w:tcPr>
            <w:tcW w:w="2180" w:type="dxa"/>
            <w:shd w:val="clear" w:color="auto" w:fill="auto"/>
            <w:vAlign w:val="center"/>
          </w:tcPr>
          <w:p w14:paraId="346CA2E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L70xW46xH95cm</w:t>
            </w:r>
          </w:p>
        </w:tc>
        <w:tc>
          <w:tcPr>
            <w:tcW w:w="834" w:type="dxa"/>
            <w:shd w:val="clear" w:color="auto" w:fill="auto"/>
            <w:vAlign w:val="center"/>
          </w:tcPr>
          <w:p w14:paraId="0076B8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34AD09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1A8B9D9">
            <w:pPr>
              <w:spacing w:line="360" w:lineRule="auto"/>
              <w:outlineLvl w:val="9"/>
              <w:rPr>
                <w:rFonts w:hint="eastAsia" w:ascii="宋体" w:hAnsi="宋体" w:eastAsia="宋体" w:cs="宋体"/>
                <w:sz w:val="20"/>
                <w:szCs w:val="20"/>
                <w:highlight w:val="none"/>
              </w:rPr>
            </w:pPr>
          </w:p>
        </w:tc>
        <w:tc>
          <w:tcPr>
            <w:tcW w:w="835" w:type="dxa"/>
            <w:vAlign w:val="center"/>
          </w:tcPr>
          <w:p w14:paraId="303455E0">
            <w:pPr>
              <w:spacing w:line="360" w:lineRule="auto"/>
              <w:outlineLvl w:val="9"/>
              <w:rPr>
                <w:rFonts w:hint="eastAsia" w:ascii="宋体" w:hAnsi="宋体" w:eastAsia="宋体" w:cs="宋体"/>
                <w:sz w:val="20"/>
                <w:szCs w:val="20"/>
                <w:highlight w:val="none"/>
              </w:rPr>
            </w:pPr>
          </w:p>
        </w:tc>
      </w:tr>
      <w:tr w14:paraId="23F7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D3645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92</w:t>
            </w:r>
          </w:p>
        </w:tc>
        <w:tc>
          <w:tcPr>
            <w:tcW w:w="2165" w:type="dxa"/>
            <w:shd w:val="clear" w:color="auto" w:fill="auto"/>
            <w:vAlign w:val="center"/>
          </w:tcPr>
          <w:p w14:paraId="749A5E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清新小家三层六人推拉床</w:t>
            </w:r>
          </w:p>
        </w:tc>
        <w:tc>
          <w:tcPr>
            <w:tcW w:w="2180" w:type="dxa"/>
            <w:shd w:val="clear" w:color="auto" w:fill="auto"/>
            <w:vAlign w:val="center"/>
          </w:tcPr>
          <w:p w14:paraId="653CE63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L146xW136xH69.5cm（含轮）</w:t>
            </w:r>
          </w:p>
        </w:tc>
        <w:tc>
          <w:tcPr>
            <w:tcW w:w="834" w:type="dxa"/>
            <w:shd w:val="clear" w:color="auto" w:fill="auto"/>
            <w:vAlign w:val="center"/>
          </w:tcPr>
          <w:p w14:paraId="4FCD75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834" w:type="dxa"/>
            <w:shd w:val="clear" w:color="auto" w:fill="auto"/>
            <w:vAlign w:val="center"/>
          </w:tcPr>
          <w:p w14:paraId="6CF229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412558CE">
            <w:pPr>
              <w:spacing w:line="360" w:lineRule="auto"/>
              <w:outlineLvl w:val="9"/>
              <w:rPr>
                <w:rFonts w:hint="eastAsia" w:ascii="宋体" w:hAnsi="宋体" w:eastAsia="宋体" w:cs="宋体"/>
                <w:sz w:val="20"/>
                <w:szCs w:val="20"/>
                <w:highlight w:val="none"/>
              </w:rPr>
            </w:pPr>
          </w:p>
        </w:tc>
        <w:tc>
          <w:tcPr>
            <w:tcW w:w="835" w:type="dxa"/>
            <w:vAlign w:val="center"/>
          </w:tcPr>
          <w:p w14:paraId="6D921C4F">
            <w:pPr>
              <w:spacing w:line="360" w:lineRule="auto"/>
              <w:outlineLvl w:val="9"/>
              <w:rPr>
                <w:rFonts w:hint="eastAsia" w:ascii="宋体" w:hAnsi="宋体" w:eastAsia="宋体" w:cs="宋体"/>
                <w:sz w:val="20"/>
                <w:szCs w:val="20"/>
                <w:highlight w:val="none"/>
              </w:rPr>
            </w:pPr>
          </w:p>
        </w:tc>
      </w:tr>
      <w:tr w14:paraId="689A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516" w:type="dxa"/>
            <w:gridSpan w:val="7"/>
            <w:shd w:val="clear" w:color="auto" w:fill="auto"/>
            <w:vAlign w:val="center"/>
          </w:tcPr>
          <w:p w14:paraId="1D97B6C8">
            <w:pPr>
              <w:spacing w:line="360" w:lineRule="auto"/>
              <w:outlineLvl w:val="9"/>
              <w:rPr>
                <w:rFonts w:hint="eastAsia" w:ascii="宋体" w:hAnsi="宋体" w:eastAsia="宋体" w:cs="宋体"/>
                <w:sz w:val="20"/>
                <w:szCs w:val="20"/>
                <w:highlight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美工室</w:t>
            </w:r>
          </w:p>
        </w:tc>
      </w:tr>
      <w:tr w14:paraId="601A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25FB5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93</w:t>
            </w:r>
          </w:p>
        </w:tc>
        <w:tc>
          <w:tcPr>
            <w:tcW w:w="2165" w:type="dxa"/>
            <w:shd w:val="clear" w:color="auto" w:fill="auto"/>
            <w:vAlign w:val="center"/>
          </w:tcPr>
          <w:p w14:paraId="7ACD7F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可擦写绘画桌</w:t>
            </w:r>
          </w:p>
        </w:tc>
        <w:tc>
          <w:tcPr>
            <w:tcW w:w="2180" w:type="dxa"/>
            <w:shd w:val="clear" w:color="auto" w:fill="auto"/>
            <w:vAlign w:val="center"/>
          </w:tcPr>
          <w:p w14:paraId="725F17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L120xW120xH55cm</w:t>
            </w:r>
          </w:p>
        </w:tc>
        <w:tc>
          <w:tcPr>
            <w:tcW w:w="834" w:type="dxa"/>
            <w:shd w:val="clear" w:color="auto" w:fill="auto"/>
            <w:vAlign w:val="center"/>
          </w:tcPr>
          <w:p w14:paraId="3554C6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4" w:type="dxa"/>
            <w:shd w:val="clear" w:color="auto" w:fill="auto"/>
            <w:vAlign w:val="center"/>
          </w:tcPr>
          <w:p w14:paraId="017229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5" w:type="dxa"/>
            <w:vAlign w:val="center"/>
          </w:tcPr>
          <w:p w14:paraId="3EFD5CB0">
            <w:pPr>
              <w:spacing w:line="360" w:lineRule="auto"/>
              <w:outlineLvl w:val="9"/>
              <w:rPr>
                <w:rFonts w:hint="eastAsia" w:ascii="宋体" w:hAnsi="宋体" w:eastAsia="宋体" w:cs="宋体"/>
                <w:sz w:val="20"/>
                <w:szCs w:val="20"/>
                <w:highlight w:val="none"/>
              </w:rPr>
            </w:pPr>
          </w:p>
        </w:tc>
        <w:tc>
          <w:tcPr>
            <w:tcW w:w="835" w:type="dxa"/>
            <w:vAlign w:val="center"/>
          </w:tcPr>
          <w:p w14:paraId="27BC40B5">
            <w:pPr>
              <w:spacing w:line="360" w:lineRule="auto"/>
              <w:outlineLvl w:val="9"/>
              <w:rPr>
                <w:rFonts w:hint="eastAsia" w:ascii="宋体" w:hAnsi="宋体" w:eastAsia="宋体" w:cs="宋体"/>
                <w:sz w:val="20"/>
                <w:szCs w:val="20"/>
                <w:highlight w:val="none"/>
              </w:rPr>
            </w:pPr>
          </w:p>
        </w:tc>
      </w:tr>
      <w:tr w14:paraId="0716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873CE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94</w:t>
            </w:r>
          </w:p>
        </w:tc>
        <w:tc>
          <w:tcPr>
            <w:tcW w:w="2165" w:type="dxa"/>
            <w:shd w:val="clear" w:color="auto" w:fill="auto"/>
            <w:vAlign w:val="center"/>
          </w:tcPr>
          <w:p w14:paraId="1673D7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多功能手工桌</w:t>
            </w:r>
          </w:p>
        </w:tc>
        <w:tc>
          <w:tcPr>
            <w:tcW w:w="2180" w:type="dxa"/>
            <w:shd w:val="clear" w:color="auto" w:fill="auto"/>
            <w:vAlign w:val="center"/>
          </w:tcPr>
          <w:p w14:paraId="38926B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L120xW120xH78cm</w:t>
            </w:r>
          </w:p>
        </w:tc>
        <w:tc>
          <w:tcPr>
            <w:tcW w:w="834" w:type="dxa"/>
            <w:shd w:val="clear" w:color="auto" w:fill="auto"/>
            <w:vAlign w:val="center"/>
          </w:tcPr>
          <w:p w14:paraId="73537E8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4" w:type="dxa"/>
            <w:shd w:val="clear" w:color="auto" w:fill="auto"/>
            <w:vAlign w:val="center"/>
          </w:tcPr>
          <w:p w14:paraId="6E2A2D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5" w:type="dxa"/>
            <w:vAlign w:val="center"/>
          </w:tcPr>
          <w:p w14:paraId="467B965D">
            <w:pPr>
              <w:spacing w:line="360" w:lineRule="auto"/>
              <w:outlineLvl w:val="9"/>
              <w:rPr>
                <w:rFonts w:hint="eastAsia" w:ascii="宋体" w:hAnsi="宋体" w:eastAsia="宋体" w:cs="宋体"/>
                <w:sz w:val="20"/>
                <w:szCs w:val="20"/>
                <w:highlight w:val="none"/>
              </w:rPr>
            </w:pPr>
          </w:p>
        </w:tc>
        <w:tc>
          <w:tcPr>
            <w:tcW w:w="835" w:type="dxa"/>
            <w:vAlign w:val="center"/>
          </w:tcPr>
          <w:p w14:paraId="27C810D6">
            <w:pPr>
              <w:spacing w:line="360" w:lineRule="auto"/>
              <w:outlineLvl w:val="9"/>
              <w:rPr>
                <w:rFonts w:hint="eastAsia" w:ascii="宋体" w:hAnsi="宋体" w:eastAsia="宋体" w:cs="宋体"/>
                <w:sz w:val="20"/>
                <w:szCs w:val="20"/>
                <w:highlight w:val="none"/>
              </w:rPr>
            </w:pPr>
          </w:p>
        </w:tc>
      </w:tr>
      <w:tr w14:paraId="5C30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577F3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95</w:t>
            </w:r>
          </w:p>
        </w:tc>
        <w:tc>
          <w:tcPr>
            <w:tcW w:w="2165" w:type="dxa"/>
            <w:shd w:val="clear" w:color="auto" w:fill="auto"/>
            <w:vAlign w:val="center"/>
          </w:tcPr>
          <w:p w14:paraId="727F5B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美工椅</w:t>
            </w:r>
          </w:p>
        </w:tc>
        <w:tc>
          <w:tcPr>
            <w:tcW w:w="2180" w:type="dxa"/>
            <w:shd w:val="clear" w:color="auto" w:fill="auto"/>
            <w:vAlign w:val="center"/>
          </w:tcPr>
          <w:p w14:paraId="315F3D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L36xW24xH26cm</w:t>
            </w:r>
          </w:p>
        </w:tc>
        <w:tc>
          <w:tcPr>
            <w:tcW w:w="834" w:type="dxa"/>
            <w:shd w:val="clear" w:color="auto" w:fill="auto"/>
            <w:vAlign w:val="center"/>
          </w:tcPr>
          <w:p w14:paraId="58F7F1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34</w:t>
            </w:r>
          </w:p>
        </w:tc>
        <w:tc>
          <w:tcPr>
            <w:tcW w:w="834" w:type="dxa"/>
            <w:shd w:val="clear" w:color="auto" w:fill="auto"/>
            <w:vAlign w:val="center"/>
          </w:tcPr>
          <w:p w14:paraId="7778B3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7637C7BE">
            <w:pPr>
              <w:spacing w:line="360" w:lineRule="auto"/>
              <w:outlineLvl w:val="9"/>
              <w:rPr>
                <w:rFonts w:hint="eastAsia" w:ascii="宋体" w:hAnsi="宋体" w:eastAsia="宋体" w:cs="宋体"/>
                <w:sz w:val="20"/>
                <w:szCs w:val="20"/>
                <w:highlight w:val="none"/>
              </w:rPr>
            </w:pPr>
          </w:p>
        </w:tc>
        <w:tc>
          <w:tcPr>
            <w:tcW w:w="835" w:type="dxa"/>
            <w:vAlign w:val="center"/>
          </w:tcPr>
          <w:p w14:paraId="5EE9A60B">
            <w:pPr>
              <w:spacing w:line="360" w:lineRule="auto"/>
              <w:outlineLvl w:val="9"/>
              <w:rPr>
                <w:rFonts w:hint="eastAsia" w:ascii="宋体" w:hAnsi="宋体" w:eastAsia="宋体" w:cs="宋体"/>
                <w:sz w:val="20"/>
                <w:szCs w:val="20"/>
                <w:highlight w:val="none"/>
              </w:rPr>
            </w:pPr>
          </w:p>
        </w:tc>
      </w:tr>
      <w:tr w14:paraId="20F3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7314E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96</w:t>
            </w:r>
          </w:p>
        </w:tc>
        <w:tc>
          <w:tcPr>
            <w:tcW w:w="2165" w:type="dxa"/>
            <w:shd w:val="clear" w:color="auto" w:fill="auto"/>
            <w:vAlign w:val="center"/>
          </w:tcPr>
          <w:p w14:paraId="13EDF3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黑白板双面画架</w:t>
            </w:r>
          </w:p>
        </w:tc>
        <w:tc>
          <w:tcPr>
            <w:tcW w:w="2180" w:type="dxa"/>
            <w:shd w:val="clear" w:color="auto" w:fill="auto"/>
            <w:vAlign w:val="center"/>
          </w:tcPr>
          <w:p w14:paraId="2BF753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L62xW67xH120cm</w:t>
            </w:r>
          </w:p>
        </w:tc>
        <w:tc>
          <w:tcPr>
            <w:tcW w:w="834" w:type="dxa"/>
            <w:shd w:val="clear" w:color="auto" w:fill="auto"/>
            <w:vAlign w:val="center"/>
          </w:tcPr>
          <w:p w14:paraId="5E82BB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4" w:type="dxa"/>
            <w:shd w:val="clear" w:color="auto" w:fill="auto"/>
            <w:vAlign w:val="center"/>
          </w:tcPr>
          <w:p w14:paraId="0D93D3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5" w:type="dxa"/>
            <w:vAlign w:val="center"/>
          </w:tcPr>
          <w:p w14:paraId="7E4A0B52">
            <w:pPr>
              <w:spacing w:line="360" w:lineRule="auto"/>
              <w:outlineLvl w:val="9"/>
              <w:rPr>
                <w:rFonts w:hint="eastAsia" w:ascii="宋体" w:hAnsi="宋体" w:eastAsia="宋体" w:cs="宋体"/>
                <w:sz w:val="20"/>
                <w:szCs w:val="20"/>
                <w:highlight w:val="none"/>
              </w:rPr>
            </w:pPr>
          </w:p>
        </w:tc>
        <w:tc>
          <w:tcPr>
            <w:tcW w:w="835" w:type="dxa"/>
            <w:vAlign w:val="center"/>
          </w:tcPr>
          <w:p w14:paraId="656B2FBF">
            <w:pPr>
              <w:spacing w:line="360" w:lineRule="auto"/>
              <w:outlineLvl w:val="9"/>
              <w:rPr>
                <w:rFonts w:hint="eastAsia" w:ascii="宋体" w:hAnsi="宋体" w:eastAsia="宋体" w:cs="宋体"/>
                <w:sz w:val="20"/>
                <w:szCs w:val="20"/>
                <w:highlight w:val="none"/>
              </w:rPr>
            </w:pPr>
          </w:p>
        </w:tc>
      </w:tr>
      <w:tr w14:paraId="2428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C8B33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97</w:t>
            </w:r>
          </w:p>
        </w:tc>
        <w:tc>
          <w:tcPr>
            <w:tcW w:w="2165" w:type="dxa"/>
            <w:shd w:val="clear" w:color="auto" w:fill="auto"/>
            <w:vAlign w:val="center"/>
          </w:tcPr>
          <w:p w14:paraId="5A86B8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蒙泰基6人桌.可调节</w:t>
            </w:r>
          </w:p>
        </w:tc>
        <w:tc>
          <w:tcPr>
            <w:tcW w:w="2180" w:type="dxa"/>
            <w:shd w:val="clear" w:color="auto" w:fill="auto"/>
            <w:vAlign w:val="center"/>
          </w:tcPr>
          <w:p w14:paraId="3A747C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L120xW60xH49/52/55cm可调节高度</w:t>
            </w:r>
          </w:p>
        </w:tc>
        <w:tc>
          <w:tcPr>
            <w:tcW w:w="834" w:type="dxa"/>
            <w:shd w:val="clear" w:color="auto" w:fill="auto"/>
            <w:vAlign w:val="center"/>
          </w:tcPr>
          <w:p w14:paraId="0B26DB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4" w:type="dxa"/>
            <w:shd w:val="clear" w:color="auto" w:fill="auto"/>
            <w:vAlign w:val="center"/>
          </w:tcPr>
          <w:p w14:paraId="06243E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835" w:type="dxa"/>
            <w:vAlign w:val="center"/>
          </w:tcPr>
          <w:p w14:paraId="06CDCD2F">
            <w:pPr>
              <w:spacing w:line="360" w:lineRule="auto"/>
              <w:outlineLvl w:val="9"/>
              <w:rPr>
                <w:rFonts w:hint="eastAsia" w:ascii="宋体" w:hAnsi="宋体" w:eastAsia="宋体" w:cs="宋体"/>
                <w:sz w:val="20"/>
                <w:szCs w:val="20"/>
                <w:highlight w:val="none"/>
              </w:rPr>
            </w:pPr>
          </w:p>
        </w:tc>
        <w:tc>
          <w:tcPr>
            <w:tcW w:w="835" w:type="dxa"/>
            <w:vAlign w:val="center"/>
          </w:tcPr>
          <w:p w14:paraId="44024D67">
            <w:pPr>
              <w:spacing w:line="360" w:lineRule="auto"/>
              <w:outlineLvl w:val="9"/>
              <w:rPr>
                <w:rFonts w:hint="eastAsia" w:ascii="宋体" w:hAnsi="宋体" w:eastAsia="宋体" w:cs="宋体"/>
                <w:sz w:val="20"/>
                <w:szCs w:val="20"/>
                <w:highlight w:val="none"/>
              </w:rPr>
            </w:pPr>
          </w:p>
        </w:tc>
      </w:tr>
      <w:tr w14:paraId="076F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32A73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98</w:t>
            </w:r>
          </w:p>
        </w:tc>
        <w:tc>
          <w:tcPr>
            <w:tcW w:w="2165" w:type="dxa"/>
            <w:shd w:val="clear" w:color="auto" w:fill="auto"/>
            <w:vAlign w:val="center"/>
          </w:tcPr>
          <w:p w14:paraId="77CA87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蒙泰基4人桌.可调节</w:t>
            </w:r>
          </w:p>
        </w:tc>
        <w:tc>
          <w:tcPr>
            <w:tcW w:w="2180" w:type="dxa"/>
            <w:shd w:val="clear" w:color="auto" w:fill="auto"/>
            <w:vAlign w:val="center"/>
          </w:tcPr>
          <w:p w14:paraId="279151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L60xW60xH49/52/55cm可调节高度</w:t>
            </w:r>
          </w:p>
        </w:tc>
        <w:tc>
          <w:tcPr>
            <w:tcW w:w="834" w:type="dxa"/>
            <w:shd w:val="clear" w:color="auto" w:fill="auto"/>
            <w:vAlign w:val="center"/>
          </w:tcPr>
          <w:p w14:paraId="62119B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4" w:type="dxa"/>
            <w:shd w:val="clear" w:color="auto" w:fill="auto"/>
            <w:vAlign w:val="center"/>
          </w:tcPr>
          <w:p w14:paraId="42D466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5" w:type="dxa"/>
            <w:vAlign w:val="center"/>
          </w:tcPr>
          <w:p w14:paraId="1750F28C">
            <w:pPr>
              <w:spacing w:line="360" w:lineRule="auto"/>
              <w:outlineLvl w:val="9"/>
              <w:rPr>
                <w:rFonts w:hint="eastAsia" w:ascii="宋体" w:hAnsi="宋体" w:eastAsia="宋体" w:cs="宋体"/>
                <w:sz w:val="20"/>
                <w:szCs w:val="20"/>
                <w:highlight w:val="none"/>
              </w:rPr>
            </w:pPr>
          </w:p>
        </w:tc>
        <w:tc>
          <w:tcPr>
            <w:tcW w:w="835" w:type="dxa"/>
            <w:vAlign w:val="center"/>
          </w:tcPr>
          <w:p w14:paraId="7AE59912">
            <w:pPr>
              <w:spacing w:line="360" w:lineRule="auto"/>
              <w:outlineLvl w:val="9"/>
              <w:rPr>
                <w:rFonts w:hint="eastAsia" w:ascii="宋体" w:hAnsi="宋体" w:eastAsia="宋体" w:cs="宋体"/>
                <w:sz w:val="20"/>
                <w:szCs w:val="20"/>
                <w:highlight w:val="none"/>
              </w:rPr>
            </w:pPr>
          </w:p>
        </w:tc>
      </w:tr>
      <w:tr w14:paraId="337E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AD44D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99</w:t>
            </w:r>
          </w:p>
        </w:tc>
        <w:tc>
          <w:tcPr>
            <w:tcW w:w="2165" w:type="dxa"/>
            <w:shd w:val="clear" w:color="auto" w:fill="auto"/>
            <w:vAlign w:val="center"/>
          </w:tcPr>
          <w:p w14:paraId="439452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围裙综合收纳架</w:t>
            </w:r>
          </w:p>
        </w:tc>
        <w:tc>
          <w:tcPr>
            <w:tcW w:w="2180" w:type="dxa"/>
            <w:shd w:val="clear" w:color="auto" w:fill="auto"/>
            <w:vAlign w:val="center"/>
          </w:tcPr>
          <w:p w14:paraId="57EA0D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L100xW40xH110cm</w:t>
            </w:r>
          </w:p>
        </w:tc>
        <w:tc>
          <w:tcPr>
            <w:tcW w:w="834" w:type="dxa"/>
            <w:shd w:val="clear" w:color="auto" w:fill="auto"/>
            <w:vAlign w:val="center"/>
          </w:tcPr>
          <w:p w14:paraId="4006C8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7D2485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8365CFD">
            <w:pPr>
              <w:spacing w:line="360" w:lineRule="auto"/>
              <w:outlineLvl w:val="9"/>
              <w:rPr>
                <w:rFonts w:hint="eastAsia" w:ascii="宋体" w:hAnsi="宋体" w:eastAsia="宋体" w:cs="宋体"/>
                <w:sz w:val="20"/>
                <w:szCs w:val="20"/>
                <w:highlight w:val="none"/>
              </w:rPr>
            </w:pPr>
          </w:p>
        </w:tc>
        <w:tc>
          <w:tcPr>
            <w:tcW w:w="835" w:type="dxa"/>
            <w:vAlign w:val="center"/>
          </w:tcPr>
          <w:p w14:paraId="54C9A0AF">
            <w:pPr>
              <w:spacing w:line="360" w:lineRule="auto"/>
              <w:outlineLvl w:val="9"/>
              <w:rPr>
                <w:rFonts w:hint="eastAsia" w:ascii="宋体" w:hAnsi="宋体" w:eastAsia="宋体" w:cs="宋体"/>
                <w:sz w:val="20"/>
                <w:szCs w:val="20"/>
                <w:highlight w:val="none"/>
              </w:rPr>
            </w:pPr>
          </w:p>
        </w:tc>
      </w:tr>
      <w:tr w14:paraId="4211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A4AC5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100</w:t>
            </w:r>
          </w:p>
        </w:tc>
        <w:tc>
          <w:tcPr>
            <w:tcW w:w="2165" w:type="dxa"/>
            <w:shd w:val="clear" w:color="auto" w:fill="auto"/>
            <w:vAlign w:val="center"/>
          </w:tcPr>
          <w:p w14:paraId="10AD0B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美术作品晾干柜</w:t>
            </w:r>
          </w:p>
        </w:tc>
        <w:tc>
          <w:tcPr>
            <w:tcW w:w="2180" w:type="dxa"/>
            <w:shd w:val="clear" w:color="auto" w:fill="auto"/>
            <w:vAlign w:val="center"/>
          </w:tcPr>
          <w:p w14:paraId="15EA5D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L50xW40xH76cm</w:t>
            </w:r>
          </w:p>
        </w:tc>
        <w:tc>
          <w:tcPr>
            <w:tcW w:w="834" w:type="dxa"/>
            <w:shd w:val="clear" w:color="auto" w:fill="auto"/>
            <w:vAlign w:val="center"/>
          </w:tcPr>
          <w:p w14:paraId="2758BA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CDF3B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6948273E">
            <w:pPr>
              <w:spacing w:line="360" w:lineRule="auto"/>
              <w:outlineLvl w:val="9"/>
              <w:rPr>
                <w:rFonts w:hint="eastAsia" w:ascii="宋体" w:hAnsi="宋体" w:eastAsia="宋体" w:cs="宋体"/>
                <w:sz w:val="20"/>
                <w:szCs w:val="20"/>
                <w:highlight w:val="none"/>
              </w:rPr>
            </w:pPr>
          </w:p>
        </w:tc>
        <w:tc>
          <w:tcPr>
            <w:tcW w:w="835" w:type="dxa"/>
            <w:vAlign w:val="center"/>
          </w:tcPr>
          <w:p w14:paraId="2C320602">
            <w:pPr>
              <w:spacing w:line="360" w:lineRule="auto"/>
              <w:outlineLvl w:val="9"/>
              <w:rPr>
                <w:rFonts w:hint="eastAsia" w:ascii="宋体" w:hAnsi="宋体" w:eastAsia="宋体" w:cs="宋体"/>
                <w:sz w:val="20"/>
                <w:szCs w:val="20"/>
                <w:highlight w:val="none"/>
              </w:rPr>
            </w:pPr>
          </w:p>
        </w:tc>
      </w:tr>
      <w:tr w14:paraId="61D3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47FED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101</w:t>
            </w:r>
          </w:p>
        </w:tc>
        <w:tc>
          <w:tcPr>
            <w:tcW w:w="2165" w:type="dxa"/>
            <w:shd w:val="clear" w:color="auto" w:fill="auto"/>
            <w:vAlign w:val="center"/>
          </w:tcPr>
          <w:p w14:paraId="1695C6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美术用品收纳柜</w:t>
            </w:r>
          </w:p>
        </w:tc>
        <w:tc>
          <w:tcPr>
            <w:tcW w:w="2180" w:type="dxa"/>
            <w:shd w:val="clear" w:color="auto" w:fill="auto"/>
            <w:vAlign w:val="center"/>
          </w:tcPr>
          <w:p w14:paraId="356B06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L100xW40xH61.5cm</w:t>
            </w:r>
          </w:p>
        </w:tc>
        <w:tc>
          <w:tcPr>
            <w:tcW w:w="834" w:type="dxa"/>
            <w:shd w:val="clear" w:color="auto" w:fill="auto"/>
            <w:vAlign w:val="center"/>
          </w:tcPr>
          <w:p w14:paraId="4D87DC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503F6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0CB4078E">
            <w:pPr>
              <w:spacing w:line="360" w:lineRule="auto"/>
              <w:outlineLvl w:val="9"/>
              <w:rPr>
                <w:rFonts w:hint="eastAsia" w:ascii="宋体" w:hAnsi="宋体" w:eastAsia="宋体" w:cs="宋体"/>
                <w:sz w:val="20"/>
                <w:szCs w:val="20"/>
                <w:highlight w:val="none"/>
              </w:rPr>
            </w:pPr>
          </w:p>
        </w:tc>
        <w:tc>
          <w:tcPr>
            <w:tcW w:w="835" w:type="dxa"/>
            <w:vAlign w:val="center"/>
          </w:tcPr>
          <w:p w14:paraId="47C17976">
            <w:pPr>
              <w:spacing w:line="360" w:lineRule="auto"/>
              <w:outlineLvl w:val="9"/>
              <w:rPr>
                <w:rFonts w:hint="eastAsia" w:ascii="宋体" w:hAnsi="宋体" w:eastAsia="宋体" w:cs="宋体"/>
                <w:sz w:val="20"/>
                <w:szCs w:val="20"/>
                <w:highlight w:val="none"/>
              </w:rPr>
            </w:pPr>
          </w:p>
        </w:tc>
      </w:tr>
      <w:tr w14:paraId="5405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0E6235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102</w:t>
            </w:r>
          </w:p>
        </w:tc>
        <w:tc>
          <w:tcPr>
            <w:tcW w:w="2165" w:type="dxa"/>
            <w:shd w:val="clear" w:color="auto" w:fill="auto"/>
            <w:vAlign w:val="center"/>
          </w:tcPr>
          <w:p w14:paraId="1F27AF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四层置物架</w:t>
            </w:r>
          </w:p>
        </w:tc>
        <w:tc>
          <w:tcPr>
            <w:tcW w:w="2180" w:type="dxa"/>
            <w:shd w:val="clear" w:color="auto" w:fill="auto"/>
            <w:vAlign w:val="center"/>
          </w:tcPr>
          <w:p w14:paraId="503164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L80×W30×H132cm</w:t>
            </w:r>
          </w:p>
        </w:tc>
        <w:tc>
          <w:tcPr>
            <w:tcW w:w="834" w:type="dxa"/>
            <w:shd w:val="clear" w:color="auto" w:fill="auto"/>
            <w:vAlign w:val="center"/>
          </w:tcPr>
          <w:p w14:paraId="18975F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834" w:type="dxa"/>
            <w:shd w:val="clear" w:color="auto" w:fill="auto"/>
            <w:vAlign w:val="center"/>
          </w:tcPr>
          <w:p w14:paraId="05478A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7630F41E">
            <w:pPr>
              <w:spacing w:line="360" w:lineRule="auto"/>
              <w:outlineLvl w:val="9"/>
              <w:rPr>
                <w:rFonts w:hint="eastAsia" w:ascii="宋体" w:hAnsi="宋体" w:eastAsia="宋体" w:cs="宋体"/>
                <w:sz w:val="20"/>
                <w:szCs w:val="20"/>
                <w:highlight w:val="none"/>
              </w:rPr>
            </w:pPr>
          </w:p>
        </w:tc>
        <w:tc>
          <w:tcPr>
            <w:tcW w:w="835" w:type="dxa"/>
            <w:vAlign w:val="center"/>
          </w:tcPr>
          <w:p w14:paraId="4335F8CE">
            <w:pPr>
              <w:spacing w:line="360" w:lineRule="auto"/>
              <w:outlineLvl w:val="9"/>
              <w:rPr>
                <w:rFonts w:hint="eastAsia" w:ascii="宋体" w:hAnsi="宋体" w:eastAsia="宋体" w:cs="宋体"/>
                <w:sz w:val="20"/>
                <w:szCs w:val="20"/>
                <w:highlight w:val="none"/>
              </w:rPr>
            </w:pPr>
          </w:p>
        </w:tc>
      </w:tr>
      <w:tr w14:paraId="1962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C32B6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103</w:t>
            </w:r>
          </w:p>
        </w:tc>
        <w:tc>
          <w:tcPr>
            <w:tcW w:w="2165" w:type="dxa"/>
            <w:shd w:val="clear" w:color="auto" w:fill="auto"/>
            <w:vAlign w:val="center"/>
          </w:tcPr>
          <w:p w14:paraId="0D19F2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三层置物架</w:t>
            </w:r>
          </w:p>
        </w:tc>
        <w:tc>
          <w:tcPr>
            <w:tcW w:w="2180" w:type="dxa"/>
            <w:shd w:val="clear" w:color="auto" w:fill="auto"/>
            <w:vAlign w:val="center"/>
          </w:tcPr>
          <w:p w14:paraId="2034A8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L80×W30×H104cm</w:t>
            </w:r>
          </w:p>
        </w:tc>
        <w:tc>
          <w:tcPr>
            <w:tcW w:w="834" w:type="dxa"/>
            <w:shd w:val="clear" w:color="auto" w:fill="auto"/>
            <w:vAlign w:val="center"/>
          </w:tcPr>
          <w:p w14:paraId="2D6729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490ED1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461CA0C">
            <w:pPr>
              <w:spacing w:line="360" w:lineRule="auto"/>
              <w:outlineLvl w:val="9"/>
              <w:rPr>
                <w:rFonts w:hint="eastAsia" w:ascii="宋体" w:hAnsi="宋体" w:eastAsia="宋体" w:cs="宋体"/>
                <w:sz w:val="20"/>
                <w:szCs w:val="20"/>
                <w:highlight w:val="none"/>
              </w:rPr>
            </w:pPr>
          </w:p>
        </w:tc>
        <w:tc>
          <w:tcPr>
            <w:tcW w:w="835" w:type="dxa"/>
            <w:vAlign w:val="center"/>
          </w:tcPr>
          <w:p w14:paraId="093D1F08">
            <w:pPr>
              <w:spacing w:line="360" w:lineRule="auto"/>
              <w:outlineLvl w:val="9"/>
              <w:rPr>
                <w:rFonts w:hint="eastAsia" w:ascii="宋体" w:hAnsi="宋体" w:eastAsia="宋体" w:cs="宋体"/>
                <w:sz w:val="20"/>
                <w:szCs w:val="20"/>
                <w:highlight w:val="none"/>
              </w:rPr>
            </w:pPr>
          </w:p>
        </w:tc>
      </w:tr>
      <w:tr w14:paraId="280A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EF49C7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104</w:t>
            </w:r>
          </w:p>
        </w:tc>
        <w:tc>
          <w:tcPr>
            <w:tcW w:w="2165" w:type="dxa"/>
            <w:shd w:val="clear" w:color="auto" w:fill="auto"/>
            <w:vAlign w:val="center"/>
          </w:tcPr>
          <w:p w14:paraId="63462F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木制储物推车</w:t>
            </w:r>
          </w:p>
        </w:tc>
        <w:tc>
          <w:tcPr>
            <w:tcW w:w="2180" w:type="dxa"/>
            <w:shd w:val="clear" w:color="auto" w:fill="auto"/>
            <w:vAlign w:val="center"/>
          </w:tcPr>
          <w:p w14:paraId="0BD93C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L90xW50xH81cm</w:t>
            </w:r>
          </w:p>
        </w:tc>
        <w:tc>
          <w:tcPr>
            <w:tcW w:w="834" w:type="dxa"/>
            <w:shd w:val="clear" w:color="auto" w:fill="auto"/>
            <w:vAlign w:val="center"/>
          </w:tcPr>
          <w:p w14:paraId="65CD85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5BB36CB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107832AC">
            <w:pPr>
              <w:spacing w:line="360" w:lineRule="auto"/>
              <w:outlineLvl w:val="9"/>
              <w:rPr>
                <w:rFonts w:hint="eastAsia" w:ascii="宋体" w:hAnsi="宋体" w:eastAsia="宋体" w:cs="宋体"/>
                <w:sz w:val="20"/>
                <w:szCs w:val="20"/>
                <w:highlight w:val="none"/>
              </w:rPr>
            </w:pPr>
          </w:p>
        </w:tc>
        <w:tc>
          <w:tcPr>
            <w:tcW w:w="835" w:type="dxa"/>
            <w:vAlign w:val="center"/>
          </w:tcPr>
          <w:p w14:paraId="5CF7E977">
            <w:pPr>
              <w:spacing w:line="360" w:lineRule="auto"/>
              <w:outlineLvl w:val="9"/>
              <w:rPr>
                <w:rFonts w:hint="eastAsia" w:ascii="宋体" w:hAnsi="宋体" w:eastAsia="宋体" w:cs="宋体"/>
                <w:sz w:val="20"/>
                <w:szCs w:val="20"/>
                <w:highlight w:val="none"/>
              </w:rPr>
            </w:pPr>
          </w:p>
        </w:tc>
      </w:tr>
      <w:tr w14:paraId="0F7A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2FDB0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105</w:t>
            </w:r>
          </w:p>
        </w:tc>
        <w:tc>
          <w:tcPr>
            <w:tcW w:w="2165" w:type="dxa"/>
            <w:shd w:val="clear" w:color="auto" w:fill="auto"/>
            <w:vAlign w:val="center"/>
          </w:tcPr>
          <w:p w14:paraId="09C078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铁艺收纳展示柜组合</w:t>
            </w:r>
          </w:p>
        </w:tc>
        <w:tc>
          <w:tcPr>
            <w:tcW w:w="2180" w:type="dxa"/>
            <w:shd w:val="clear" w:color="auto" w:fill="auto"/>
            <w:vAlign w:val="center"/>
          </w:tcPr>
          <w:p w14:paraId="2A5259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L246xW41xH126cm</w:t>
            </w:r>
          </w:p>
        </w:tc>
        <w:tc>
          <w:tcPr>
            <w:tcW w:w="834" w:type="dxa"/>
            <w:shd w:val="clear" w:color="auto" w:fill="auto"/>
            <w:vAlign w:val="center"/>
          </w:tcPr>
          <w:p w14:paraId="749D6F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09D064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315EAC23">
            <w:pPr>
              <w:spacing w:line="360" w:lineRule="auto"/>
              <w:outlineLvl w:val="9"/>
              <w:rPr>
                <w:rFonts w:hint="eastAsia" w:ascii="宋体" w:hAnsi="宋体" w:eastAsia="宋体" w:cs="宋体"/>
                <w:sz w:val="20"/>
                <w:szCs w:val="20"/>
                <w:highlight w:val="none"/>
              </w:rPr>
            </w:pPr>
          </w:p>
        </w:tc>
        <w:tc>
          <w:tcPr>
            <w:tcW w:w="835" w:type="dxa"/>
            <w:vAlign w:val="center"/>
          </w:tcPr>
          <w:p w14:paraId="2ECA5911">
            <w:pPr>
              <w:spacing w:line="360" w:lineRule="auto"/>
              <w:outlineLvl w:val="9"/>
              <w:rPr>
                <w:rFonts w:hint="eastAsia" w:ascii="宋体" w:hAnsi="宋体" w:eastAsia="宋体" w:cs="宋体"/>
                <w:sz w:val="20"/>
                <w:szCs w:val="20"/>
                <w:highlight w:val="none"/>
              </w:rPr>
            </w:pPr>
          </w:p>
        </w:tc>
      </w:tr>
      <w:tr w14:paraId="0809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57962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106</w:t>
            </w:r>
          </w:p>
        </w:tc>
        <w:tc>
          <w:tcPr>
            <w:tcW w:w="2165" w:type="dxa"/>
            <w:shd w:val="clear" w:color="auto" w:fill="auto"/>
            <w:vAlign w:val="center"/>
          </w:tcPr>
          <w:p w14:paraId="420E6C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10#丽莎教具篮.卡其色</w:t>
            </w:r>
          </w:p>
        </w:tc>
        <w:tc>
          <w:tcPr>
            <w:tcW w:w="2180" w:type="dxa"/>
            <w:shd w:val="clear" w:color="auto" w:fill="auto"/>
            <w:vAlign w:val="center"/>
          </w:tcPr>
          <w:p w14:paraId="1C895A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L26xW28xH10cm</w:t>
            </w:r>
          </w:p>
        </w:tc>
        <w:tc>
          <w:tcPr>
            <w:tcW w:w="834" w:type="dxa"/>
            <w:shd w:val="clear" w:color="auto" w:fill="auto"/>
            <w:vAlign w:val="center"/>
          </w:tcPr>
          <w:p w14:paraId="18F31E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834" w:type="dxa"/>
            <w:shd w:val="clear" w:color="auto" w:fill="auto"/>
            <w:vAlign w:val="center"/>
          </w:tcPr>
          <w:p w14:paraId="49A2B6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4555327F">
            <w:pPr>
              <w:spacing w:line="360" w:lineRule="auto"/>
              <w:outlineLvl w:val="9"/>
              <w:rPr>
                <w:rFonts w:hint="eastAsia" w:ascii="宋体" w:hAnsi="宋体" w:eastAsia="宋体" w:cs="宋体"/>
                <w:sz w:val="20"/>
                <w:szCs w:val="20"/>
                <w:highlight w:val="none"/>
              </w:rPr>
            </w:pPr>
          </w:p>
        </w:tc>
        <w:tc>
          <w:tcPr>
            <w:tcW w:w="835" w:type="dxa"/>
            <w:vAlign w:val="center"/>
          </w:tcPr>
          <w:p w14:paraId="007A4B58">
            <w:pPr>
              <w:spacing w:line="360" w:lineRule="auto"/>
              <w:outlineLvl w:val="9"/>
              <w:rPr>
                <w:rFonts w:hint="eastAsia" w:ascii="宋体" w:hAnsi="宋体" w:eastAsia="宋体" w:cs="宋体"/>
                <w:sz w:val="20"/>
                <w:szCs w:val="20"/>
                <w:highlight w:val="none"/>
              </w:rPr>
            </w:pPr>
          </w:p>
        </w:tc>
      </w:tr>
      <w:tr w14:paraId="7B42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1F4A0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107</w:t>
            </w:r>
          </w:p>
        </w:tc>
        <w:tc>
          <w:tcPr>
            <w:tcW w:w="2165" w:type="dxa"/>
            <w:shd w:val="clear" w:color="auto" w:fill="auto"/>
            <w:vAlign w:val="center"/>
          </w:tcPr>
          <w:p w14:paraId="434BF2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原木3层矮柜.可调节.无背板</w:t>
            </w:r>
          </w:p>
        </w:tc>
        <w:tc>
          <w:tcPr>
            <w:tcW w:w="2180" w:type="dxa"/>
            <w:shd w:val="clear" w:color="auto" w:fill="auto"/>
            <w:vAlign w:val="center"/>
          </w:tcPr>
          <w:p w14:paraId="0DA7FD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L91.5xW30xH59cm</w:t>
            </w:r>
          </w:p>
        </w:tc>
        <w:tc>
          <w:tcPr>
            <w:tcW w:w="834" w:type="dxa"/>
            <w:shd w:val="clear" w:color="auto" w:fill="auto"/>
            <w:vAlign w:val="center"/>
          </w:tcPr>
          <w:p w14:paraId="1466E1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7BCA2A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3BB79C6B">
            <w:pPr>
              <w:spacing w:line="360" w:lineRule="auto"/>
              <w:outlineLvl w:val="9"/>
              <w:rPr>
                <w:rFonts w:hint="eastAsia" w:ascii="宋体" w:hAnsi="宋体" w:eastAsia="宋体" w:cs="宋体"/>
                <w:sz w:val="20"/>
                <w:szCs w:val="20"/>
                <w:highlight w:val="none"/>
              </w:rPr>
            </w:pPr>
          </w:p>
        </w:tc>
        <w:tc>
          <w:tcPr>
            <w:tcW w:w="835" w:type="dxa"/>
            <w:vAlign w:val="center"/>
          </w:tcPr>
          <w:p w14:paraId="65E6A3AC">
            <w:pPr>
              <w:spacing w:line="360" w:lineRule="auto"/>
              <w:outlineLvl w:val="9"/>
              <w:rPr>
                <w:rFonts w:hint="eastAsia" w:ascii="宋体" w:hAnsi="宋体" w:eastAsia="宋体" w:cs="宋体"/>
                <w:sz w:val="20"/>
                <w:szCs w:val="20"/>
                <w:highlight w:val="none"/>
              </w:rPr>
            </w:pPr>
          </w:p>
        </w:tc>
      </w:tr>
      <w:tr w14:paraId="3AB5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22A1E2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108</w:t>
            </w:r>
          </w:p>
        </w:tc>
        <w:tc>
          <w:tcPr>
            <w:tcW w:w="2165" w:type="dxa"/>
            <w:shd w:val="clear" w:color="auto" w:fill="auto"/>
            <w:vAlign w:val="center"/>
          </w:tcPr>
          <w:p w14:paraId="52C4FD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原木2层矮柜.可调节.无背板</w:t>
            </w:r>
          </w:p>
        </w:tc>
        <w:tc>
          <w:tcPr>
            <w:tcW w:w="2180" w:type="dxa"/>
            <w:shd w:val="clear" w:color="auto" w:fill="auto"/>
            <w:vAlign w:val="center"/>
          </w:tcPr>
          <w:p w14:paraId="798E87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L91.5xW30xH59cm</w:t>
            </w:r>
          </w:p>
        </w:tc>
        <w:tc>
          <w:tcPr>
            <w:tcW w:w="834" w:type="dxa"/>
            <w:shd w:val="clear" w:color="auto" w:fill="auto"/>
            <w:vAlign w:val="center"/>
          </w:tcPr>
          <w:p w14:paraId="5C88CF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131736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137E4B8F">
            <w:pPr>
              <w:spacing w:line="360" w:lineRule="auto"/>
              <w:outlineLvl w:val="9"/>
              <w:rPr>
                <w:rFonts w:hint="eastAsia" w:ascii="宋体" w:hAnsi="宋体" w:eastAsia="宋体" w:cs="宋体"/>
                <w:sz w:val="20"/>
                <w:szCs w:val="20"/>
                <w:highlight w:val="none"/>
              </w:rPr>
            </w:pPr>
          </w:p>
        </w:tc>
        <w:tc>
          <w:tcPr>
            <w:tcW w:w="835" w:type="dxa"/>
            <w:vAlign w:val="center"/>
          </w:tcPr>
          <w:p w14:paraId="51E10C17">
            <w:pPr>
              <w:spacing w:line="360" w:lineRule="auto"/>
              <w:outlineLvl w:val="9"/>
              <w:rPr>
                <w:rFonts w:hint="eastAsia" w:ascii="宋体" w:hAnsi="宋体" w:eastAsia="宋体" w:cs="宋体"/>
                <w:sz w:val="20"/>
                <w:szCs w:val="20"/>
                <w:highlight w:val="none"/>
              </w:rPr>
            </w:pPr>
          </w:p>
        </w:tc>
      </w:tr>
      <w:tr w14:paraId="270E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4AA0AB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109</w:t>
            </w:r>
          </w:p>
        </w:tc>
        <w:tc>
          <w:tcPr>
            <w:tcW w:w="2165" w:type="dxa"/>
            <w:shd w:val="clear" w:color="auto" w:fill="auto"/>
            <w:vAlign w:val="center"/>
          </w:tcPr>
          <w:p w14:paraId="513096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原木3层高柜.全背板</w:t>
            </w:r>
          </w:p>
        </w:tc>
        <w:tc>
          <w:tcPr>
            <w:tcW w:w="2180" w:type="dxa"/>
            <w:shd w:val="clear" w:color="auto" w:fill="auto"/>
            <w:vAlign w:val="center"/>
          </w:tcPr>
          <w:p w14:paraId="00BE32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L91.5xW30xH80cm</w:t>
            </w:r>
          </w:p>
        </w:tc>
        <w:tc>
          <w:tcPr>
            <w:tcW w:w="834" w:type="dxa"/>
            <w:shd w:val="clear" w:color="auto" w:fill="auto"/>
            <w:vAlign w:val="center"/>
          </w:tcPr>
          <w:p w14:paraId="397DA5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w:t>
            </w:r>
          </w:p>
        </w:tc>
        <w:tc>
          <w:tcPr>
            <w:tcW w:w="834" w:type="dxa"/>
            <w:shd w:val="clear" w:color="auto" w:fill="auto"/>
            <w:vAlign w:val="center"/>
          </w:tcPr>
          <w:p w14:paraId="085D2A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6DA3747">
            <w:pPr>
              <w:spacing w:line="360" w:lineRule="auto"/>
              <w:outlineLvl w:val="9"/>
              <w:rPr>
                <w:rFonts w:hint="eastAsia" w:ascii="宋体" w:hAnsi="宋体" w:eastAsia="宋体" w:cs="宋体"/>
                <w:sz w:val="20"/>
                <w:szCs w:val="20"/>
                <w:highlight w:val="none"/>
              </w:rPr>
            </w:pPr>
          </w:p>
        </w:tc>
        <w:tc>
          <w:tcPr>
            <w:tcW w:w="835" w:type="dxa"/>
            <w:vAlign w:val="center"/>
          </w:tcPr>
          <w:p w14:paraId="1EF51168">
            <w:pPr>
              <w:spacing w:line="360" w:lineRule="auto"/>
              <w:outlineLvl w:val="9"/>
              <w:rPr>
                <w:rFonts w:hint="eastAsia" w:ascii="宋体" w:hAnsi="宋体" w:eastAsia="宋体" w:cs="宋体"/>
                <w:sz w:val="20"/>
                <w:szCs w:val="20"/>
                <w:highlight w:val="none"/>
              </w:rPr>
            </w:pPr>
          </w:p>
        </w:tc>
      </w:tr>
      <w:tr w14:paraId="28D0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10FA4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110</w:t>
            </w:r>
          </w:p>
        </w:tc>
        <w:tc>
          <w:tcPr>
            <w:tcW w:w="2165" w:type="dxa"/>
            <w:shd w:val="clear" w:color="auto" w:fill="auto"/>
            <w:vAlign w:val="center"/>
          </w:tcPr>
          <w:p w14:paraId="334B1A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原木3层短柜高柜.半背板</w:t>
            </w:r>
          </w:p>
        </w:tc>
        <w:tc>
          <w:tcPr>
            <w:tcW w:w="2180" w:type="dxa"/>
            <w:shd w:val="clear" w:color="auto" w:fill="auto"/>
            <w:vAlign w:val="center"/>
          </w:tcPr>
          <w:p w14:paraId="697C13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L61.5xW30xH80cm</w:t>
            </w:r>
          </w:p>
        </w:tc>
        <w:tc>
          <w:tcPr>
            <w:tcW w:w="834" w:type="dxa"/>
            <w:shd w:val="clear" w:color="auto" w:fill="auto"/>
            <w:vAlign w:val="center"/>
          </w:tcPr>
          <w:p w14:paraId="5419E4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53B3DA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8BE65DE">
            <w:pPr>
              <w:spacing w:line="360" w:lineRule="auto"/>
              <w:outlineLvl w:val="9"/>
              <w:rPr>
                <w:rFonts w:hint="eastAsia" w:ascii="宋体" w:hAnsi="宋体" w:eastAsia="宋体" w:cs="宋体"/>
                <w:sz w:val="20"/>
                <w:szCs w:val="20"/>
                <w:highlight w:val="none"/>
              </w:rPr>
            </w:pPr>
          </w:p>
        </w:tc>
        <w:tc>
          <w:tcPr>
            <w:tcW w:w="835" w:type="dxa"/>
            <w:vAlign w:val="center"/>
          </w:tcPr>
          <w:p w14:paraId="5F7660A3">
            <w:pPr>
              <w:spacing w:line="360" w:lineRule="auto"/>
              <w:outlineLvl w:val="9"/>
              <w:rPr>
                <w:rFonts w:hint="eastAsia" w:ascii="宋体" w:hAnsi="宋体" w:eastAsia="宋体" w:cs="宋体"/>
                <w:sz w:val="20"/>
                <w:szCs w:val="20"/>
                <w:highlight w:val="none"/>
              </w:rPr>
            </w:pPr>
          </w:p>
        </w:tc>
      </w:tr>
      <w:tr w14:paraId="4FA0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EDCD0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111</w:t>
            </w:r>
          </w:p>
        </w:tc>
        <w:tc>
          <w:tcPr>
            <w:tcW w:w="2165" w:type="dxa"/>
            <w:shd w:val="clear" w:color="auto" w:fill="auto"/>
            <w:vAlign w:val="center"/>
          </w:tcPr>
          <w:p w14:paraId="37EF7B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原木阶梯组合柜.无背板</w:t>
            </w:r>
          </w:p>
        </w:tc>
        <w:tc>
          <w:tcPr>
            <w:tcW w:w="2180" w:type="dxa"/>
            <w:shd w:val="clear" w:color="auto" w:fill="auto"/>
            <w:vAlign w:val="center"/>
          </w:tcPr>
          <w:p w14:paraId="73386E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3层：L30xW30xH80cm</w:t>
            </w:r>
          </w:p>
          <w:p w14:paraId="26ACAA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2层：L30xW30xH59cm</w:t>
            </w:r>
          </w:p>
          <w:p w14:paraId="7A7D33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1层：L30xW30xH34cm</w:t>
            </w:r>
          </w:p>
        </w:tc>
        <w:tc>
          <w:tcPr>
            <w:tcW w:w="834" w:type="dxa"/>
            <w:shd w:val="clear" w:color="auto" w:fill="auto"/>
            <w:vAlign w:val="center"/>
          </w:tcPr>
          <w:p w14:paraId="192628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70AD1F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6FC88447">
            <w:pPr>
              <w:spacing w:line="360" w:lineRule="auto"/>
              <w:outlineLvl w:val="9"/>
              <w:rPr>
                <w:rFonts w:hint="eastAsia" w:ascii="宋体" w:hAnsi="宋体" w:eastAsia="宋体" w:cs="宋体"/>
                <w:sz w:val="20"/>
                <w:szCs w:val="20"/>
                <w:highlight w:val="none"/>
              </w:rPr>
            </w:pPr>
          </w:p>
        </w:tc>
        <w:tc>
          <w:tcPr>
            <w:tcW w:w="835" w:type="dxa"/>
            <w:vAlign w:val="center"/>
          </w:tcPr>
          <w:p w14:paraId="1094319D">
            <w:pPr>
              <w:spacing w:line="360" w:lineRule="auto"/>
              <w:outlineLvl w:val="9"/>
              <w:rPr>
                <w:rFonts w:hint="eastAsia" w:ascii="宋体" w:hAnsi="宋体" w:eastAsia="宋体" w:cs="宋体"/>
                <w:sz w:val="20"/>
                <w:szCs w:val="20"/>
                <w:highlight w:val="none"/>
              </w:rPr>
            </w:pPr>
          </w:p>
        </w:tc>
      </w:tr>
      <w:tr w14:paraId="2C61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516" w:type="dxa"/>
            <w:gridSpan w:val="7"/>
            <w:shd w:val="clear" w:color="auto" w:fill="auto"/>
            <w:vAlign w:val="center"/>
          </w:tcPr>
          <w:p w14:paraId="7C3978C5">
            <w:pPr>
              <w:spacing w:line="360" w:lineRule="auto"/>
              <w:outlineLvl w:val="9"/>
              <w:rPr>
                <w:rFonts w:hint="eastAsia" w:ascii="宋体" w:hAnsi="宋体" w:eastAsia="宋体" w:cs="宋体"/>
                <w:sz w:val="20"/>
                <w:szCs w:val="20"/>
                <w:highlight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阅读室</w:t>
            </w:r>
          </w:p>
        </w:tc>
      </w:tr>
      <w:tr w14:paraId="12DC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9CCDF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112</w:t>
            </w:r>
          </w:p>
        </w:tc>
        <w:tc>
          <w:tcPr>
            <w:tcW w:w="2165" w:type="dxa"/>
            <w:shd w:val="clear" w:color="auto" w:fill="auto"/>
            <w:vAlign w:val="center"/>
          </w:tcPr>
          <w:p w14:paraId="47CDDF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雪松造型阅读桌</w:t>
            </w:r>
          </w:p>
        </w:tc>
        <w:tc>
          <w:tcPr>
            <w:tcW w:w="2180" w:type="dxa"/>
            <w:shd w:val="clear" w:color="auto" w:fill="auto"/>
            <w:vAlign w:val="center"/>
          </w:tcPr>
          <w:p w14:paraId="277AB3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L120xW80xH90cm</w:t>
            </w:r>
          </w:p>
        </w:tc>
        <w:tc>
          <w:tcPr>
            <w:tcW w:w="834" w:type="dxa"/>
            <w:shd w:val="clear" w:color="auto" w:fill="auto"/>
            <w:vAlign w:val="center"/>
          </w:tcPr>
          <w:p w14:paraId="377321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57D363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167107D1">
            <w:pPr>
              <w:spacing w:line="360" w:lineRule="auto"/>
              <w:outlineLvl w:val="9"/>
              <w:rPr>
                <w:rFonts w:hint="eastAsia" w:ascii="宋体" w:hAnsi="宋体" w:eastAsia="宋体" w:cs="宋体"/>
                <w:sz w:val="20"/>
                <w:szCs w:val="20"/>
                <w:highlight w:val="none"/>
              </w:rPr>
            </w:pPr>
          </w:p>
        </w:tc>
        <w:tc>
          <w:tcPr>
            <w:tcW w:w="835" w:type="dxa"/>
            <w:vAlign w:val="center"/>
          </w:tcPr>
          <w:p w14:paraId="391F2615">
            <w:pPr>
              <w:spacing w:line="360" w:lineRule="auto"/>
              <w:outlineLvl w:val="9"/>
              <w:rPr>
                <w:rFonts w:hint="eastAsia" w:ascii="宋体" w:hAnsi="宋体" w:eastAsia="宋体" w:cs="宋体"/>
                <w:sz w:val="20"/>
                <w:szCs w:val="20"/>
                <w:highlight w:val="none"/>
              </w:rPr>
            </w:pPr>
          </w:p>
        </w:tc>
      </w:tr>
      <w:tr w14:paraId="027B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29277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113</w:t>
            </w:r>
          </w:p>
        </w:tc>
        <w:tc>
          <w:tcPr>
            <w:tcW w:w="2165" w:type="dxa"/>
            <w:shd w:val="clear" w:color="auto" w:fill="auto"/>
            <w:vAlign w:val="center"/>
          </w:tcPr>
          <w:p w14:paraId="2C60DC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原木拱桥椅.27cm</w:t>
            </w:r>
          </w:p>
        </w:tc>
        <w:tc>
          <w:tcPr>
            <w:tcW w:w="2180" w:type="dxa"/>
            <w:shd w:val="clear" w:color="auto" w:fill="auto"/>
            <w:vAlign w:val="center"/>
          </w:tcPr>
          <w:p w14:paraId="4E618C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L30xW30xH53cm（座高27cm）</w:t>
            </w:r>
          </w:p>
        </w:tc>
        <w:tc>
          <w:tcPr>
            <w:tcW w:w="834" w:type="dxa"/>
            <w:shd w:val="clear" w:color="auto" w:fill="auto"/>
            <w:vAlign w:val="center"/>
          </w:tcPr>
          <w:p w14:paraId="7B44D7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834" w:type="dxa"/>
            <w:shd w:val="clear" w:color="auto" w:fill="auto"/>
            <w:vAlign w:val="center"/>
          </w:tcPr>
          <w:p w14:paraId="69C38F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10656D48">
            <w:pPr>
              <w:spacing w:line="360" w:lineRule="auto"/>
              <w:outlineLvl w:val="9"/>
              <w:rPr>
                <w:rFonts w:hint="eastAsia" w:ascii="宋体" w:hAnsi="宋体" w:eastAsia="宋体" w:cs="宋体"/>
                <w:sz w:val="20"/>
                <w:szCs w:val="20"/>
                <w:highlight w:val="none"/>
              </w:rPr>
            </w:pPr>
          </w:p>
        </w:tc>
        <w:tc>
          <w:tcPr>
            <w:tcW w:w="835" w:type="dxa"/>
            <w:vAlign w:val="center"/>
          </w:tcPr>
          <w:p w14:paraId="5EBA9433">
            <w:pPr>
              <w:spacing w:line="360" w:lineRule="auto"/>
              <w:outlineLvl w:val="9"/>
              <w:rPr>
                <w:rFonts w:hint="eastAsia" w:ascii="宋体" w:hAnsi="宋体" w:eastAsia="宋体" w:cs="宋体"/>
                <w:sz w:val="20"/>
                <w:szCs w:val="20"/>
                <w:highlight w:val="none"/>
              </w:rPr>
            </w:pPr>
          </w:p>
        </w:tc>
      </w:tr>
      <w:tr w14:paraId="316A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92B1F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114</w:t>
            </w:r>
          </w:p>
        </w:tc>
        <w:tc>
          <w:tcPr>
            <w:tcW w:w="2165" w:type="dxa"/>
            <w:shd w:val="clear" w:color="auto" w:fill="auto"/>
            <w:vAlign w:val="center"/>
          </w:tcPr>
          <w:p w14:paraId="24492A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4层分类书柜</w:t>
            </w:r>
          </w:p>
        </w:tc>
        <w:tc>
          <w:tcPr>
            <w:tcW w:w="2180" w:type="dxa"/>
            <w:shd w:val="clear" w:color="auto" w:fill="auto"/>
            <w:vAlign w:val="center"/>
          </w:tcPr>
          <w:p w14:paraId="103212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L90xW30xH121cm</w:t>
            </w:r>
          </w:p>
        </w:tc>
        <w:tc>
          <w:tcPr>
            <w:tcW w:w="834" w:type="dxa"/>
            <w:shd w:val="clear" w:color="auto" w:fill="auto"/>
            <w:vAlign w:val="center"/>
          </w:tcPr>
          <w:p w14:paraId="0FCCBC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834" w:type="dxa"/>
            <w:shd w:val="clear" w:color="auto" w:fill="auto"/>
            <w:vAlign w:val="center"/>
          </w:tcPr>
          <w:p w14:paraId="007A5B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296A15A0">
            <w:pPr>
              <w:spacing w:line="360" w:lineRule="auto"/>
              <w:outlineLvl w:val="9"/>
              <w:rPr>
                <w:rFonts w:hint="eastAsia" w:ascii="宋体" w:hAnsi="宋体" w:eastAsia="宋体" w:cs="宋体"/>
                <w:sz w:val="20"/>
                <w:szCs w:val="20"/>
                <w:highlight w:val="none"/>
              </w:rPr>
            </w:pPr>
          </w:p>
        </w:tc>
        <w:tc>
          <w:tcPr>
            <w:tcW w:w="835" w:type="dxa"/>
            <w:vAlign w:val="center"/>
          </w:tcPr>
          <w:p w14:paraId="52C1EF21">
            <w:pPr>
              <w:spacing w:line="360" w:lineRule="auto"/>
              <w:outlineLvl w:val="9"/>
              <w:rPr>
                <w:rFonts w:hint="eastAsia" w:ascii="宋体" w:hAnsi="宋体" w:eastAsia="宋体" w:cs="宋体"/>
                <w:sz w:val="20"/>
                <w:szCs w:val="20"/>
                <w:highlight w:val="none"/>
              </w:rPr>
            </w:pPr>
          </w:p>
        </w:tc>
      </w:tr>
      <w:tr w14:paraId="508E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E1C9A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115</w:t>
            </w:r>
          </w:p>
        </w:tc>
        <w:tc>
          <w:tcPr>
            <w:tcW w:w="2165" w:type="dxa"/>
            <w:shd w:val="clear" w:color="auto" w:fill="auto"/>
            <w:vAlign w:val="center"/>
          </w:tcPr>
          <w:p w14:paraId="269FE0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小方桌</w:t>
            </w:r>
          </w:p>
        </w:tc>
        <w:tc>
          <w:tcPr>
            <w:tcW w:w="2180" w:type="dxa"/>
            <w:shd w:val="clear" w:color="auto" w:fill="auto"/>
            <w:vAlign w:val="center"/>
          </w:tcPr>
          <w:p w14:paraId="0D3E69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L60xW60xH30cm</w:t>
            </w:r>
          </w:p>
        </w:tc>
        <w:tc>
          <w:tcPr>
            <w:tcW w:w="834" w:type="dxa"/>
            <w:shd w:val="clear" w:color="auto" w:fill="auto"/>
            <w:vAlign w:val="center"/>
          </w:tcPr>
          <w:p w14:paraId="593876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4" w:type="dxa"/>
            <w:shd w:val="clear" w:color="auto" w:fill="auto"/>
            <w:vAlign w:val="center"/>
          </w:tcPr>
          <w:p w14:paraId="20F6D1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5" w:type="dxa"/>
            <w:vAlign w:val="center"/>
          </w:tcPr>
          <w:p w14:paraId="47F74EF9">
            <w:pPr>
              <w:spacing w:line="360" w:lineRule="auto"/>
              <w:outlineLvl w:val="9"/>
              <w:rPr>
                <w:rFonts w:hint="eastAsia" w:ascii="宋体" w:hAnsi="宋体" w:eastAsia="宋体" w:cs="宋体"/>
                <w:sz w:val="20"/>
                <w:szCs w:val="20"/>
                <w:highlight w:val="none"/>
              </w:rPr>
            </w:pPr>
          </w:p>
        </w:tc>
        <w:tc>
          <w:tcPr>
            <w:tcW w:w="835" w:type="dxa"/>
            <w:vAlign w:val="center"/>
          </w:tcPr>
          <w:p w14:paraId="2BF71D59">
            <w:pPr>
              <w:spacing w:line="360" w:lineRule="auto"/>
              <w:outlineLvl w:val="9"/>
              <w:rPr>
                <w:rFonts w:hint="eastAsia" w:ascii="宋体" w:hAnsi="宋体" w:eastAsia="宋体" w:cs="宋体"/>
                <w:sz w:val="20"/>
                <w:szCs w:val="20"/>
                <w:highlight w:val="none"/>
              </w:rPr>
            </w:pPr>
          </w:p>
        </w:tc>
      </w:tr>
      <w:tr w14:paraId="1980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761BA8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116</w:t>
            </w:r>
          </w:p>
        </w:tc>
        <w:tc>
          <w:tcPr>
            <w:tcW w:w="2165" w:type="dxa"/>
            <w:shd w:val="clear" w:color="auto" w:fill="auto"/>
            <w:vAlign w:val="center"/>
          </w:tcPr>
          <w:p w14:paraId="420C33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巴士造型图书修补桌</w:t>
            </w:r>
          </w:p>
        </w:tc>
        <w:tc>
          <w:tcPr>
            <w:tcW w:w="2180" w:type="dxa"/>
            <w:shd w:val="clear" w:color="auto" w:fill="auto"/>
            <w:vAlign w:val="center"/>
          </w:tcPr>
          <w:p w14:paraId="0AE598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L100xW40xH90cm</w:t>
            </w:r>
          </w:p>
        </w:tc>
        <w:tc>
          <w:tcPr>
            <w:tcW w:w="834" w:type="dxa"/>
            <w:shd w:val="clear" w:color="auto" w:fill="auto"/>
            <w:vAlign w:val="center"/>
          </w:tcPr>
          <w:p w14:paraId="20AF78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4" w:type="dxa"/>
            <w:shd w:val="clear" w:color="auto" w:fill="auto"/>
            <w:vAlign w:val="center"/>
          </w:tcPr>
          <w:p w14:paraId="254A6C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5" w:type="dxa"/>
            <w:vAlign w:val="center"/>
          </w:tcPr>
          <w:p w14:paraId="4FE48DB8">
            <w:pPr>
              <w:spacing w:line="360" w:lineRule="auto"/>
              <w:outlineLvl w:val="9"/>
              <w:rPr>
                <w:rFonts w:hint="eastAsia" w:ascii="宋体" w:hAnsi="宋体" w:eastAsia="宋体" w:cs="宋体"/>
                <w:sz w:val="20"/>
                <w:szCs w:val="20"/>
                <w:highlight w:val="none"/>
              </w:rPr>
            </w:pPr>
          </w:p>
        </w:tc>
        <w:tc>
          <w:tcPr>
            <w:tcW w:w="835" w:type="dxa"/>
            <w:vAlign w:val="center"/>
          </w:tcPr>
          <w:p w14:paraId="1EBD01D4">
            <w:pPr>
              <w:spacing w:line="360" w:lineRule="auto"/>
              <w:outlineLvl w:val="9"/>
              <w:rPr>
                <w:rFonts w:hint="eastAsia" w:ascii="宋体" w:hAnsi="宋体" w:eastAsia="宋体" w:cs="宋体"/>
                <w:sz w:val="20"/>
                <w:szCs w:val="20"/>
                <w:highlight w:val="none"/>
              </w:rPr>
            </w:pPr>
          </w:p>
        </w:tc>
      </w:tr>
      <w:tr w14:paraId="1BEB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34D0FA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117</w:t>
            </w:r>
          </w:p>
        </w:tc>
        <w:tc>
          <w:tcPr>
            <w:tcW w:w="2165" w:type="dxa"/>
            <w:shd w:val="clear" w:color="auto" w:fill="auto"/>
            <w:vAlign w:val="center"/>
          </w:tcPr>
          <w:p w14:paraId="237F39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造型高书柜.圆形镂空</w:t>
            </w:r>
          </w:p>
        </w:tc>
        <w:tc>
          <w:tcPr>
            <w:tcW w:w="2180" w:type="dxa"/>
            <w:shd w:val="clear" w:color="auto" w:fill="auto"/>
            <w:vAlign w:val="center"/>
          </w:tcPr>
          <w:p w14:paraId="520F54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L240xW35xH255cm</w:t>
            </w:r>
          </w:p>
        </w:tc>
        <w:tc>
          <w:tcPr>
            <w:tcW w:w="834" w:type="dxa"/>
            <w:shd w:val="clear" w:color="auto" w:fill="auto"/>
            <w:vAlign w:val="center"/>
          </w:tcPr>
          <w:p w14:paraId="3E59C2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2E4DF5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5F58265F">
            <w:pPr>
              <w:spacing w:line="360" w:lineRule="auto"/>
              <w:outlineLvl w:val="9"/>
              <w:rPr>
                <w:rFonts w:hint="eastAsia" w:ascii="宋体" w:hAnsi="宋体" w:eastAsia="宋体" w:cs="宋体"/>
                <w:sz w:val="20"/>
                <w:szCs w:val="20"/>
                <w:highlight w:val="none"/>
              </w:rPr>
            </w:pPr>
          </w:p>
        </w:tc>
        <w:tc>
          <w:tcPr>
            <w:tcW w:w="835" w:type="dxa"/>
            <w:vAlign w:val="center"/>
          </w:tcPr>
          <w:p w14:paraId="14305D70">
            <w:pPr>
              <w:spacing w:line="360" w:lineRule="auto"/>
              <w:outlineLvl w:val="9"/>
              <w:rPr>
                <w:rFonts w:hint="eastAsia" w:ascii="宋体" w:hAnsi="宋体" w:eastAsia="宋体" w:cs="宋体"/>
                <w:sz w:val="20"/>
                <w:szCs w:val="20"/>
                <w:highlight w:val="none"/>
              </w:rPr>
            </w:pPr>
          </w:p>
        </w:tc>
      </w:tr>
      <w:tr w14:paraId="1AA7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F97A04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118</w:t>
            </w:r>
          </w:p>
        </w:tc>
        <w:tc>
          <w:tcPr>
            <w:tcW w:w="2165" w:type="dxa"/>
            <w:shd w:val="clear" w:color="auto" w:fill="auto"/>
            <w:vAlign w:val="center"/>
          </w:tcPr>
          <w:p w14:paraId="02068C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造型高书柜.方形镂空</w:t>
            </w:r>
          </w:p>
        </w:tc>
        <w:tc>
          <w:tcPr>
            <w:tcW w:w="2180" w:type="dxa"/>
            <w:shd w:val="clear" w:color="auto" w:fill="auto"/>
            <w:vAlign w:val="center"/>
          </w:tcPr>
          <w:p w14:paraId="0AD380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L240xW35xH255cm</w:t>
            </w:r>
          </w:p>
        </w:tc>
        <w:tc>
          <w:tcPr>
            <w:tcW w:w="834" w:type="dxa"/>
            <w:shd w:val="clear" w:color="auto" w:fill="auto"/>
            <w:vAlign w:val="center"/>
          </w:tcPr>
          <w:p w14:paraId="72ACFC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788858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592F9734">
            <w:pPr>
              <w:spacing w:line="360" w:lineRule="auto"/>
              <w:outlineLvl w:val="9"/>
              <w:rPr>
                <w:rFonts w:hint="eastAsia" w:ascii="宋体" w:hAnsi="宋体" w:eastAsia="宋体" w:cs="宋体"/>
                <w:sz w:val="20"/>
                <w:szCs w:val="20"/>
                <w:highlight w:val="none"/>
              </w:rPr>
            </w:pPr>
          </w:p>
        </w:tc>
        <w:tc>
          <w:tcPr>
            <w:tcW w:w="835" w:type="dxa"/>
            <w:vAlign w:val="center"/>
          </w:tcPr>
          <w:p w14:paraId="262CB360">
            <w:pPr>
              <w:spacing w:line="360" w:lineRule="auto"/>
              <w:outlineLvl w:val="9"/>
              <w:rPr>
                <w:rFonts w:hint="eastAsia" w:ascii="宋体" w:hAnsi="宋体" w:eastAsia="宋体" w:cs="宋体"/>
                <w:sz w:val="20"/>
                <w:szCs w:val="20"/>
                <w:highlight w:val="none"/>
              </w:rPr>
            </w:pPr>
          </w:p>
        </w:tc>
      </w:tr>
      <w:tr w14:paraId="6703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019F6A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119</w:t>
            </w:r>
          </w:p>
        </w:tc>
        <w:tc>
          <w:tcPr>
            <w:tcW w:w="2165" w:type="dxa"/>
            <w:shd w:val="clear" w:color="auto" w:fill="auto"/>
            <w:vAlign w:val="center"/>
          </w:tcPr>
          <w:p w14:paraId="54F91E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移动小书架</w:t>
            </w:r>
          </w:p>
        </w:tc>
        <w:tc>
          <w:tcPr>
            <w:tcW w:w="2180" w:type="dxa"/>
            <w:shd w:val="clear" w:color="auto" w:fill="auto"/>
            <w:vAlign w:val="center"/>
          </w:tcPr>
          <w:p w14:paraId="325BAD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L35xW25xH43.5cm</w:t>
            </w:r>
          </w:p>
        </w:tc>
        <w:tc>
          <w:tcPr>
            <w:tcW w:w="834" w:type="dxa"/>
            <w:shd w:val="clear" w:color="auto" w:fill="auto"/>
            <w:vAlign w:val="center"/>
          </w:tcPr>
          <w:p w14:paraId="5873F3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3F038B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E2CCD29">
            <w:pPr>
              <w:spacing w:line="360" w:lineRule="auto"/>
              <w:outlineLvl w:val="9"/>
              <w:rPr>
                <w:rFonts w:hint="eastAsia" w:ascii="宋体" w:hAnsi="宋体" w:eastAsia="宋体" w:cs="宋体"/>
                <w:sz w:val="20"/>
                <w:szCs w:val="20"/>
                <w:highlight w:val="none"/>
              </w:rPr>
            </w:pPr>
          </w:p>
        </w:tc>
        <w:tc>
          <w:tcPr>
            <w:tcW w:w="835" w:type="dxa"/>
            <w:vAlign w:val="center"/>
          </w:tcPr>
          <w:p w14:paraId="5940C9FC">
            <w:pPr>
              <w:spacing w:line="360" w:lineRule="auto"/>
              <w:outlineLvl w:val="9"/>
              <w:rPr>
                <w:rFonts w:hint="eastAsia" w:ascii="宋体" w:hAnsi="宋体" w:eastAsia="宋体" w:cs="宋体"/>
                <w:sz w:val="20"/>
                <w:szCs w:val="20"/>
                <w:highlight w:val="none"/>
              </w:rPr>
            </w:pPr>
          </w:p>
        </w:tc>
      </w:tr>
      <w:tr w14:paraId="027E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A8B1C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120</w:t>
            </w:r>
          </w:p>
        </w:tc>
        <w:tc>
          <w:tcPr>
            <w:tcW w:w="2165" w:type="dxa"/>
            <w:shd w:val="clear" w:color="auto" w:fill="auto"/>
            <w:vAlign w:val="center"/>
          </w:tcPr>
          <w:p w14:paraId="5743D6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简约书架</w:t>
            </w:r>
          </w:p>
        </w:tc>
        <w:tc>
          <w:tcPr>
            <w:tcW w:w="2180" w:type="dxa"/>
            <w:shd w:val="clear" w:color="auto" w:fill="auto"/>
            <w:vAlign w:val="center"/>
          </w:tcPr>
          <w:p w14:paraId="043755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L93xW30xH81cm</w:t>
            </w:r>
          </w:p>
        </w:tc>
        <w:tc>
          <w:tcPr>
            <w:tcW w:w="834" w:type="dxa"/>
            <w:shd w:val="clear" w:color="auto" w:fill="auto"/>
            <w:vAlign w:val="center"/>
          </w:tcPr>
          <w:p w14:paraId="164CC7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834" w:type="dxa"/>
            <w:shd w:val="clear" w:color="auto" w:fill="auto"/>
            <w:vAlign w:val="center"/>
          </w:tcPr>
          <w:p w14:paraId="15BFED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40F44AF0">
            <w:pPr>
              <w:spacing w:line="360" w:lineRule="auto"/>
              <w:outlineLvl w:val="9"/>
              <w:rPr>
                <w:rFonts w:hint="eastAsia" w:ascii="宋体" w:hAnsi="宋体" w:eastAsia="宋体" w:cs="宋体"/>
                <w:sz w:val="20"/>
                <w:szCs w:val="20"/>
                <w:highlight w:val="none"/>
              </w:rPr>
            </w:pPr>
          </w:p>
        </w:tc>
        <w:tc>
          <w:tcPr>
            <w:tcW w:w="835" w:type="dxa"/>
            <w:vAlign w:val="center"/>
          </w:tcPr>
          <w:p w14:paraId="65DECEAF">
            <w:pPr>
              <w:spacing w:line="360" w:lineRule="auto"/>
              <w:outlineLvl w:val="9"/>
              <w:rPr>
                <w:rFonts w:hint="eastAsia" w:ascii="宋体" w:hAnsi="宋体" w:eastAsia="宋体" w:cs="宋体"/>
                <w:sz w:val="20"/>
                <w:szCs w:val="20"/>
                <w:highlight w:val="none"/>
              </w:rPr>
            </w:pPr>
          </w:p>
        </w:tc>
      </w:tr>
      <w:tr w14:paraId="171F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CF5E0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121</w:t>
            </w:r>
          </w:p>
        </w:tc>
        <w:tc>
          <w:tcPr>
            <w:tcW w:w="2165" w:type="dxa"/>
            <w:shd w:val="clear" w:color="auto" w:fill="auto"/>
            <w:vAlign w:val="center"/>
          </w:tcPr>
          <w:p w14:paraId="517705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秘密游戏树洞</w:t>
            </w:r>
          </w:p>
        </w:tc>
        <w:tc>
          <w:tcPr>
            <w:tcW w:w="2180" w:type="dxa"/>
            <w:shd w:val="clear" w:color="auto" w:fill="auto"/>
            <w:vAlign w:val="center"/>
          </w:tcPr>
          <w:p w14:paraId="4CD0C0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L103xW42xH150cm</w:t>
            </w:r>
          </w:p>
        </w:tc>
        <w:tc>
          <w:tcPr>
            <w:tcW w:w="834" w:type="dxa"/>
            <w:shd w:val="clear" w:color="auto" w:fill="auto"/>
            <w:vAlign w:val="center"/>
          </w:tcPr>
          <w:p w14:paraId="0605FB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1D07CE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4DA5E48">
            <w:pPr>
              <w:spacing w:line="360" w:lineRule="auto"/>
              <w:outlineLvl w:val="9"/>
              <w:rPr>
                <w:rFonts w:hint="eastAsia" w:ascii="宋体" w:hAnsi="宋体" w:eastAsia="宋体" w:cs="宋体"/>
                <w:sz w:val="20"/>
                <w:szCs w:val="20"/>
                <w:highlight w:val="none"/>
              </w:rPr>
            </w:pPr>
          </w:p>
        </w:tc>
        <w:tc>
          <w:tcPr>
            <w:tcW w:w="835" w:type="dxa"/>
            <w:vAlign w:val="center"/>
          </w:tcPr>
          <w:p w14:paraId="7399D6AB">
            <w:pPr>
              <w:spacing w:line="360" w:lineRule="auto"/>
              <w:outlineLvl w:val="9"/>
              <w:rPr>
                <w:rFonts w:hint="eastAsia" w:ascii="宋体" w:hAnsi="宋体" w:eastAsia="宋体" w:cs="宋体"/>
                <w:sz w:val="20"/>
                <w:szCs w:val="20"/>
                <w:highlight w:val="none"/>
              </w:rPr>
            </w:pPr>
          </w:p>
        </w:tc>
      </w:tr>
      <w:tr w14:paraId="1D0A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159B2F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122</w:t>
            </w:r>
          </w:p>
        </w:tc>
        <w:tc>
          <w:tcPr>
            <w:tcW w:w="2165" w:type="dxa"/>
            <w:shd w:val="clear" w:color="auto" w:fill="auto"/>
            <w:vAlign w:val="center"/>
          </w:tcPr>
          <w:p w14:paraId="6D2675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怀抱单人布艺沙发.天蓝</w:t>
            </w:r>
          </w:p>
        </w:tc>
        <w:tc>
          <w:tcPr>
            <w:tcW w:w="2180" w:type="dxa"/>
            <w:shd w:val="clear" w:color="auto" w:fill="auto"/>
            <w:vAlign w:val="center"/>
          </w:tcPr>
          <w:p w14:paraId="79C2BB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L60xW50xH61cm</w:t>
            </w:r>
          </w:p>
        </w:tc>
        <w:tc>
          <w:tcPr>
            <w:tcW w:w="834" w:type="dxa"/>
            <w:shd w:val="clear" w:color="auto" w:fill="auto"/>
            <w:vAlign w:val="center"/>
          </w:tcPr>
          <w:p w14:paraId="5A724D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5FBF03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218BCED6">
            <w:pPr>
              <w:spacing w:line="360" w:lineRule="auto"/>
              <w:outlineLvl w:val="9"/>
              <w:rPr>
                <w:rFonts w:hint="eastAsia" w:ascii="宋体" w:hAnsi="宋体" w:eastAsia="宋体" w:cs="宋体"/>
                <w:sz w:val="20"/>
                <w:szCs w:val="20"/>
                <w:highlight w:val="none"/>
              </w:rPr>
            </w:pPr>
          </w:p>
        </w:tc>
        <w:tc>
          <w:tcPr>
            <w:tcW w:w="835" w:type="dxa"/>
            <w:vAlign w:val="center"/>
          </w:tcPr>
          <w:p w14:paraId="59619D12">
            <w:pPr>
              <w:spacing w:line="360" w:lineRule="auto"/>
              <w:outlineLvl w:val="9"/>
              <w:rPr>
                <w:rFonts w:hint="eastAsia" w:ascii="宋体" w:hAnsi="宋体" w:eastAsia="宋体" w:cs="宋体"/>
                <w:sz w:val="20"/>
                <w:szCs w:val="20"/>
                <w:highlight w:val="none"/>
              </w:rPr>
            </w:pPr>
          </w:p>
        </w:tc>
      </w:tr>
      <w:tr w14:paraId="1ADC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A1258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123</w:t>
            </w:r>
          </w:p>
        </w:tc>
        <w:tc>
          <w:tcPr>
            <w:tcW w:w="2165" w:type="dxa"/>
            <w:shd w:val="clear" w:color="auto" w:fill="auto"/>
            <w:vAlign w:val="center"/>
          </w:tcPr>
          <w:p w14:paraId="084599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怀抱双人布艺沙发.天蓝</w:t>
            </w:r>
          </w:p>
        </w:tc>
        <w:tc>
          <w:tcPr>
            <w:tcW w:w="2180" w:type="dxa"/>
            <w:shd w:val="clear" w:color="auto" w:fill="auto"/>
            <w:vAlign w:val="center"/>
          </w:tcPr>
          <w:p w14:paraId="0BD183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L97xW50xH61cm</w:t>
            </w:r>
          </w:p>
        </w:tc>
        <w:tc>
          <w:tcPr>
            <w:tcW w:w="834" w:type="dxa"/>
            <w:shd w:val="clear" w:color="auto" w:fill="auto"/>
            <w:vAlign w:val="center"/>
          </w:tcPr>
          <w:p w14:paraId="12D23B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41C574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w:t>
            </w:r>
          </w:p>
        </w:tc>
        <w:tc>
          <w:tcPr>
            <w:tcW w:w="835" w:type="dxa"/>
            <w:vAlign w:val="center"/>
          </w:tcPr>
          <w:p w14:paraId="1B2D5302">
            <w:pPr>
              <w:spacing w:line="360" w:lineRule="auto"/>
              <w:outlineLvl w:val="9"/>
              <w:rPr>
                <w:rFonts w:hint="eastAsia" w:ascii="宋体" w:hAnsi="宋体" w:eastAsia="宋体" w:cs="宋体"/>
                <w:sz w:val="20"/>
                <w:szCs w:val="20"/>
                <w:highlight w:val="none"/>
              </w:rPr>
            </w:pPr>
          </w:p>
        </w:tc>
        <w:tc>
          <w:tcPr>
            <w:tcW w:w="835" w:type="dxa"/>
            <w:vAlign w:val="center"/>
          </w:tcPr>
          <w:p w14:paraId="7484F692">
            <w:pPr>
              <w:spacing w:line="360" w:lineRule="auto"/>
              <w:outlineLvl w:val="9"/>
              <w:rPr>
                <w:rFonts w:hint="eastAsia" w:ascii="宋体" w:hAnsi="宋体" w:eastAsia="宋体" w:cs="宋体"/>
                <w:sz w:val="20"/>
                <w:szCs w:val="20"/>
                <w:highlight w:val="none"/>
              </w:rPr>
            </w:pPr>
          </w:p>
        </w:tc>
      </w:tr>
      <w:tr w14:paraId="5C9D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2F3F7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124</w:t>
            </w:r>
          </w:p>
        </w:tc>
        <w:tc>
          <w:tcPr>
            <w:tcW w:w="2165" w:type="dxa"/>
            <w:shd w:val="clear" w:color="auto" w:fill="auto"/>
            <w:vAlign w:val="center"/>
          </w:tcPr>
          <w:p w14:paraId="162C48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月亮造型皮沙发组合</w:t>
            </w:r>
          </w:p>
        </w:tc>
        <w:tc>
          <w:tcPr>
            <w:tcW w:w="2180" w:type="dxa"/>
            <w:shd w:val="clear" w:color="auto" w:fill="auto"/>
            <w:vAlign w:val="center"/>
          </w:tcPr>
          <w:p w14:paraId="497E17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Ф35xH26cm（单个）</w:t>
            </w:r>
          </w:p>
        </w:tc>
        <w:tc>
          <w:tcPr>
            <w:tcW w:w="834" w:type="dxa"/>
            <w:shd w:val="clear" w:color="auto" w:fill="auto"/>
            <w:vAlign w:val="center"/>
          </w:tcPr>
          <w:p w14:paraId="371C4F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4" w:type="dxa"/>
            <w:shd w:val="clear" w:color="auto" w:fill="auto"/>
            <w:vAlign w:val="center"/>
          </w:tcPr>
          <w:p w14:paraId="3EEB31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5" w:type="dxa"/>
            <w:vAlign w:val="center"/>
          </w:tcPr>
          <w:p w14:paraId="5432C8F0">
            <w:pPr>
              <w:spacing w:line="360" w:lineRule="auto"/>
              <w:outlineLvl w:val="9"/>
              <w:rPr>
                <w:rFonts w:hint="eastAsia" w:ascii="宋体" w:hAnsi="宋体" w:eastAsia="宋体" w:cs="宋体"/>
                <w:sz w:val="20"/>
                <w:szCs w:val="20"/>
                <w:highlight w:val="none"/>
              </w:rPr>
            </w:pPr>
          </w:p>
        </w:tc>
        <w:tc>
          <w:tcPr>
            <w:tcW w:w="835" w:type="dxa"/>
            <w:vAlign w:val="center"/>
          </w:tcPr>
          <w:p w14:paraId="728B7FFF">
            <w:pPr>
              <w:spacing w:line="360" w:lineRule="auto"/>
              <w:outlineLvl w:val="9"/>
              <w:rPr>
                <w:rFonts w:hint="eastAsia" w:ascii="宋体" w:hAnsi="宋体" w:eastAsia="宋体" w:cs="宋体"/>
                <w:sz w:val="20"/>
                <w:szCs w:val="20"/>
                <w:highlight w:val="none"/>
              </w:rPr>
            </w:pPr>
          </w:p>
        </w:tc>
      </w:tr>
      <w:tr w14:paraId="3536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71404D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125</w:t>
            </w:r>
          </w:p>
        </w:tc>
        <w:tc>
          <w:tcPr>
            <w:tcW w:w="2165" w:type="dxa"/>
            <w:shd w:val="clear" w:color="auto" w:fill="auto"/>
            <w:vAlign w:val="center"/>
          </w:tcPr>
          <w:p w14:paraId="6C4879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森林小草地毯</w:t>
            </w:r>
          </w:p>
        </w:tc>
        <w:tc>
          <w:tcPr>
            <w:tcW w:w="2180" w:type="dxa"/>
            <w:shd w:val="clear" w:color="auto" w:fill="auto"/>
            <w:vAlign w:val="center"/>
          </w:tcPr>
          <w:p w14:paraId="7EC1804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L270xW200cm</w:t>
            </w:r>
          </w:p>
        </w:tc>
        <w:tc>
          <w:tcPr>
            <w:tcW w:w="834" w:type="dxa"/>
            <w:shd w:val="clear" w:color="auto" w:fill="auto"/>
            <w:vAlign w:val="center"/>
          </w:tcPr>
          <w:p w14:paraId="5D9635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块</w:t>
            </w:r>
          </w:p>
        </w:tc>
        <w:tc>
          <w:tcPr>
            <w:tcW w:w="834" w:type="dxa"/>
            <w:shd w:val="clear" w:color="auto" w:fill="auto"/>
            <w:vAlign w:val="center"/>
          </w:tcPr>
          <w:p w14:paraId="33DD5A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5" w:type="dxa"/>
            <w:vAlign w:val="center"/>
          </w:tcPr>
          <w:p w14:paraId="51685D5C">
            <w:pPr>
              <w:spacing w:line="360" w:lineRule="auto"/>
              <w:outlineLvl w:val="9"/>
              <w:rPr>
                <w:rFonts w:hint="eastAsia" w:ascii="宋体" w:hAnsi="宋体" w:eastAsia="宋体" w:cs="宋体"/>
                <w:sz w:val="20"/>
                <w:szCs w:val="20"/>
                <w:highlight w:val="none"/>
              </w:rPr>
            </w:pPr>
          </w:p>
        </w:tc>
        <w:tc>
          <w:tcPr>
            <w:tcW w:w="835" w:type="dxa"/>
            <w:vAlign w:val="center"/>
          </w:tcPr>
          <w:p w14:paraId="10E94DA6">
            <w:pPr>
              <w:spacing w:line="360" w:lineRule="auto"/>
              <w:outlineLvl w:val="9"/>
              <w:rPr>
                <w:rFonts w:hint="eastAsia" w:ascii="宋体" w:hAnsi="宋体" w:eastAsia="宋体" w:cs="宋体"/>
                <w:sz w:val="20"/>
                <w:szCs w:val="20"/>
                <w:highlight w:val="none"/>
              </w:rPr>
            </w:pPr>
          </w:p>
        </w:tc>
      </w:tr>
      <w:tr w14:paraId="5806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6F5925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126</w:t>
            </w:r>
          </w:p>
        </w:tc>
        <w:tc>
          <w:tcPr>
            <w:tcW w:w="2165" w:type="dxa"/>
            <w:shd w:val="clear" w:color="auto" w:fill="auto"/>
            <w:vAlign w:val="center"/>
          </w:tcPr>
          <w:p w14:paraId="6FC688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列车造型书柜ABC</w:t>
            </w:r>
          </w:p>
        </w:tc>
        <w:tc>
          <w:tcPr>
            <w:tcW w:w="2180" w:type="dxa"/>
            <w:shd w:val="clear" w:color="auto" w:fill="auto"/>
            <w:vAlign w:val="center"/>
          </w:tcPr>
          <w:p w14:paraId="3F9AE5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A:L96xW36xH42cm  B:L40xW42xH89cm C:L60xW28xH40cm（含软垫）</w:t>
            </w:r>
          </w:p>
        </w:tc>
        <w:tc>
          <w:tcPr>
            <w:tcW w:w="834" w:type="dxa"/>
            <w:shd w:val="clear" w:color="auto" w:fill="auto"/>
            <w:vAlign w:val="center"/>
          </w:tcPr>
          <w:p w14:paraId="2D583C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59B480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E28FE8D">
            <w:pPr>
              <w:spacing w:line="360" w:lineRule="auto"/>
              <w:outlineLvl w:val="9"/>
              <w:rPr>
                <w:rFonts w:hint="eastAsia" w:ascii="宋体" w:hAnsi="宋体" w:eastAsia="宋体" w:cs="宋体"/>
                <w:sz w:val="20"/>
                <w:szCs w:val="20"/>
                <w:highlight w:val="none"/>
              </w:rPr>
            </w:pPr>
          </w:p>
        </w:tc>
        <w:tc>
          <w:tcPr>
            <w:tcW w:w="835" w:type="dxa"/>
            <w:vAlign w:val="center"/>
          </w:tcPr>
          <w:p w14:paraId="1AD851BD">
            <w:pPr>
              <w:spacing w:line="360" w:lineRule="auto"/>
              <w:outlineLvl w:val="9"/>
              <w:rPr>
                <w:rFonts w:hint="eastAsia" w:ascii="宋体" w:hAnsi="宋体" w:eastAsia="宋体" w:cs="宋体"/>
                <w:sz w:val="20"/>
                <w:szCs w:val="20"/>
                <w:highlight w:val="none"/>
              </w:rPr>
            </w:pPr>
          </w:p>
        </w:tc>
      </w:tr>
      <w:tr w14:paraId="6176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4F154D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127</w:t>
            </w:r>
          </w:p>
        </w:tc>
        <w:tc>
          <w:tcPr>
            <w:tcW w:w="2165" w:type="dxa"/>
            <w:shd w:val="clear" w:color="auto" w:fill="auto"/>
            <w:vAlign w:val="center"/>
          </w:tcPr>
          <w:p w14:paraId="60268C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列车造型书柜.车厢</w:t>
            </w:r>
          </w:p>
        </w:tc>
        <w:tc>
          <w:tcPr>
            <w:tcW w:w="2180" w:type="dxa"/>
            <w:shd w:val="clear" w:color="auto" w:fill="auto"/>
            <w:vAlign w:val="center"/>
          </w:tcPr>
          <w:p w14:paraId="038A55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L60xW28xH40cm（含软垫）</w:t>
            </w:r>
          </w:p>
        </w:tc>
        <w:tc>
          <w:tcPr>
            <w:tcW w:w="834" w:type="dxa"/>
            <w:shd w:val="clear" w:color="auto" w:fill="auto"/>
            <w:vAlign w:val="center"/>
          </w:tcPr>
          <w:p w14:paraId="018859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32C5DD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w:t>
            </w:r>
          </w:p>
        </w:tc>
        <w:tc>
          <w:tcPr>
            <w:tcW w:w="835" w:type="dxa"/>
            <w:vAlign w:val="center"/>
          </w:tcPr>
          <w:p w14:paraId="5A40275E">
            <w:pPr>
              <w:spacing w:line="360" w:lineRule="auto"/>
              <w:outlineLvl w:val="9"/>
              <w:rPr>
                <w:rFonts w:hint="eastAsia" w:ascii="宋体" w:hAnsi="宋体" w:eastAsia="宋体" w:cs="宋体"/>
                <w:sz w:val="20"/>
                <w:szCs w:val="20"/>
                <w:highlight w:val="none"/>
              </w:rPr>
            </w:pPr>
          </w:p>
        </w:tc>
        <w:tc>
          <w:tcPr>
            <w:tcW w:w="835" w:type="dxa"/>
            <w:vAlign w:val="center"/>
          </w:tcPr>
          <w:p w14:paraId="286EF83F">
            <w:pPr>
              <w:spacing w:line="360" w:lineRule="auto"/>
              <w:outlineLvl w:val="9"/>
              <w:rPr>
                <w:rFonts w:hint="eastAsia" w:ascii="宋体" w:hAnsi="宋体" w:eastAsia="宋体" w:cs="宋体"/>
                <w:sz w:val="20"/>
                <w:szCs w:val="20"/>
                <w:highlight w:val="none"/>
              </w:rPr>
            </w:pPr>
          </w:p>
        </w:tc>
      </w:tr>
      <w:tr w14:paraId="1985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33" w:type="dxa"/>
            <w:shd w:val="clear" w:color="auto" w:fill="auto"/>
            <w:vAlign w:val="center"/>
          </w:tcPr>
          <w:p w14:paraId="5C2F41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128</w:t>
            </w:r>
          </w:p>
        </w:tc>
        <w:tc>
          <w:tcPr>
            <w:tcW w:w="2165" w:type="dxa"/>
            <w:shd w:val="clear" w:color="auto" w:fill="auto"/>
            <w:vAlign w:val="center"/>
          </w:tcPr>
          <w:p w14:paraId="379F1E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扇形座椅柜A.有靠背</w:t>
            </w:r>
          </w:p>
        </w:tc>
        <w:tc>
          <w:tcPr>
            <w:tcW w:w="2180" w:type="dxa"/>
            <w:shd w:val="clear" w:color="auto" w:fill="auto"/>
            <w:vAlign w:val="center"/>
          </w:tcPr>
          <w:p w14:paraId="122D3A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L119xW68xH65cm</w:t>
            </w:r>
          </w:p>
        </w:tc>
        <w:tc>
          <w:tcPr>
            <w:tcW w:w="834" w:type="dxa"/>
            <w:shd w:val="clear" w:color="auto" w:fill="auto"/>
            <w:vAlign w:val="center"/>
          </w:tcPr>
          <w:p w14:paraId="11560F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834" w:type="dxa"/>
            <w:shd w:val="clear" w:color="auto" w:fill="auto"/>
            <w:vAlign w:val="center"/>
          </w:tcPr>
          <w:p w14:paraId="60E7D5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354D8D0C">
            <w:pPr>
              <w:spacing w:line="360" w:lineRule="auto"/>
              <w:outlineLvl w:val="9"/>
              <w:rPr>
                <w:rFonts w:hint="eastAsia" w:ascii="宋体" w:hAnsi="宋体" w:eastAsia="宋体" w:cs="宋体"/>
                <w:sz w:val="20"/>
                <w:szCs w:val="20"/>
                <w:highlight w:val="none"/>
              </w:rPr>
            </w:pPr>
          </w:p>
        </w:tc>
        <w:tc>
          <w:tcPr>
            <w:tcW w:w="835" w:type="dxa"/>
            <w:vAlign w:val="center"/>
          </w:tcPr>
          <w:p w14:paraId="3EC26406">
            <w:pPr>
              <w:spacing w:line="360" w:lineRule="auto"/>
              <w:outlineLvl w:val="9"/>
              <w:rPr>
                <w:rFonts w:hint="eastAsia" w:ascii="宋体" w:hAnsi="宋体" w:eastAsia="宋体" w:cs="宋体"/>
                <w:sz w:val="20"/>
                <w:szCs w:val="20"/>
                <w:highlight w:val="none"/>
              </w:rPr>
            </w:pPr>
          </w:p>
        </w:tc>
      </w:tr>
      <w:tr w14:paraId="5BF9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833" w:type="dxa"/>
            <w:shd w:val="clear" w:color="auto" w:fill="auto"/>
            <w:vAlign w:val="center"/>
          </w:tcPr>
          <w:p w14:paraId="4F03A3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129</w:t>
            </w:r>
          </w:p>
        </w:tc>
        <w:tc>
          <w:tcPr>
            <w:tcW w:w="2165" w:type="dxa"/>
            <w:shd w:val="clear" w:color="auto" w:fill="auto"/>
            <w:vAlign w:val="center"/>
          </w:tcPr>
          <w:p w14:paraId="42849F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扇形座椅柜B.有靠背</w:t>
            </w:r>
          </w:p>
        </w:tc>
        <w:tc>
          <w:tcPr>
            <w:tcW w:w="2180" w:type="dxa"/>
            <w:shd w:val="clear" w:color="auto" w:fill="auto"/>
            <w:vAlign w:val="center"/>
          </w:tcPr>
          <w:p w14:paraId="059D34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L119xW68xH65cm</w:t>
            </w:r>
          </w:p>
        </w:tc>
        <w:tc>
          <w:tcPr>
            <w:tcW w:w="834" w:type="dxa"/>
            <w:shd w:val="clear" w:color="auto" w:fill="auto"/>
            <w:vAlign w:val="center"/>
          </w:tcPr>
          <w:p w14:paraId="1D6863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834" w:type="dxa"/>
            <w:shd w:val="clear" w:color="auto" w:fill="auto"/>
            <w:vAlign w:val="center"/>
          </w:tcPr>
          <w:p w14:paraId="2C2FF0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套</w:t>
            </w:r>
          </w:p>
        </w:tc>
        <w:tc>
          <w:tcPr>
            <w:tcW w:w="835" w:type="dxa"/>
            <w:vAlign w:val="center"/>
          </w:tcPr>
          <w:p w14:paraId="660CD3C0">
            <w:pPr>
              <w:spacing w:line="360" w:lineRule="auto"/>
              <w:outlineLvl w:val="9"/>
              <w:rPr>
                <w:rFonts w:hint="eastAsia" w:ascii="宋体" w:hAnsi="宋体" w:eastAsia="宋体" w:cs="宋体"/>
                <w:sz w:val="20"/>
                <w:szCs w:val="20"/>
                <w:highlight w:val="none"/>
              </w:rPr>
            </w:pPr>
          </w:p>
        </w:tc>
        <w:tc>
          <w:tcPr>
            <w:tcW w:w="835" w:type="dxa"/>
            <w:vAlign w:val="center"/>
          </w:tcPr>
          <w:p w14:paraId="4894AE59">
            <w:pPr>
              <w:spacing w:line="360" w:lineRule="auto"/>
              <w:outlineLvl w:val="9"/>
              <w:rPr>
                <w:rFonts w:hint="eastAsia" w:ascii="宋体" w:hAnsi="宋体" w:eastAsia="宋体" w:cs="宋体"/>
                <w:sz w:val="20"/>
                <w:szCs w:val="20"/>
                <w:highlight w:val="none"/>
              </w:rPr>
            </w:pPr>
          </w:p>
        </w:tc>
      </w:tr>
      <w:tr w14:paraId="0AED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516" w:type="dxa"/>
            <w:gridSpan w:val="7"/>
            <w:shd w:val="clear" w:color="auto" w:fill="auto"/>
            <w:vAlign w:val="center"/>
          </w:tcPr>
          <w:p w14:paraId="3DEC7A04">
            <w:pPr>
              <w:spacing w:line="360" w:lineRule="auto"/>
              <w:outlineLvl w:val="9"/>
              <w:rPr>
                <w:rFonts w:hint="eastAsia" w:ascii="宋体" w:hAnsi="宋体" w:eastAsia="宋体" w:cs="宋体"/>
                <w:sz w:val="20"/>
                <w:szCs w:val="20"/>
                <w:highlight w:val="none"/>
              </w:rPr>
            </w:pPr>
            <w:r>
              <w:rPr>
                <w:rFonts w:hint="eastAsia" w:ascii="宋体" w:hAnsi="宋体" w:eastAsia="宋体" w:cs="宋体"/>
                <w:b/>
                <w:sz w:val="24"/>
                <w:highlight w:val="none"/>
              </w:rPr>
              <w:t>合计人民币：大写                               小写</w:t>
            </w:r>
          </w:p>
        </w:tc>
      </w:tr>
    </w:tbl>
    <w:p w14:paraId="4AA633D3">
      <w:pPr>
        <w:spacing w:line="360" w:lineRule="auto"/>
        <w:outlineLvl w:val="9"/>
        <w:rPr>
          <w:rFonts w:hint="eastAsia" w:ascii="宋体" w:hAnsi="宋体" w:eastAsia="宋体" w:cs="宋体"/>
          <w:b/>
          <w:szCs w:val="21"/>
          <w:highlight w:val="none"/>
        </w:rPr>
      </w:pPr>
      <w:r>
        <w:rPr>
          <w:rFonts w:hint="eastAsia" w:ascii="宋体" w:hAnsi="宋体" w:eastAsia="宋体" w:cs="宋体"/>
          <w:b/>
          <w:szCs w:val="21"/>
          <w:highlight w:val="none"/>
        </w:rPr>
        <w:t>要求：</w:t>
      </w:r>
    </w:p>
    <w:p w14:paraId="5DDEFBA7">
      <w:pPr>
        <w:spacing w:line="360" w:lineRule="auto"/>
        <w:ind w:left="435"/>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1. </w:t>
      </w:r>
      <w:r>
        <w:rPr>
          <w:rFonts w:hint="eastAsia" w:ascii="宋体" w:hAnsi="宋体" w:eastAsia="宋体" w:cs="宋体"/>
          <w:b/>
          <w:bCs/>
          <w:color w:val="auto"/>
          <w:szCs w:val="21"/>
          <w:highlight w:val="none"/>
          <w:lang w:val="zh-CN"/>
        </w:rPr>
        <w:t>▲</w:t>
      </w:r>
      <w:r>
        <w:rPr>
          <w:rFonts w:hint="eastAsia" w:ascii="宋体" w:hAnsi="宋体" w:eastAsia="宋体" w:cs="宋体"/>
          <w:b/>
          <w:bCs/>
          <w:color w:val="auto"/>
          <w:szCs w:val="21"/>
          <w:highlight w:val="none"/>
        </w:rPr>
        <w:t>本表为《开标一览表》的报价明细表，如有缺项、漏项</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漏报的</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或单价为零的，均</w:t>
      </w:r>
      <w:r>
        <w:rPr>
          <w:rFonts w:hint="eastAsia" w:ascii="宋体" w:hAnsi="宋体" w:eastAsia="宋体" w:cs="宋体"/>
          <w:b/>
          <w:bCs/>
          <w:color w:val="auto"/>
          <w:szCs w:val="21"/>
          <w:highlight w:val="none"/>
        </w:rPr>
        <w:t>作无效投标处理。</w:t>
      </w:r>
    </w:p>
    <w:p w14:paraId="6A30DCC7">
      <w:pPr>
        <w:spacing w:line="360" w:lineRule="auto"/>
        <w:ind w:left="435"/>
        <w:outlineLvl w:val="9"/>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“报价明细表”中的报价合计应与“开标一览表”中的投标总报价相一致，不一致时，以开标一览表为准。</w:t>
      </w:r>
    </w:p>
    <w:p w14:paraId="4D27364D">
      <w:pPr>
        <w:spacing w:line="360" w:lineRule="auto"/>
        <w:ind w:left="420"/>
        <w:outlineLvl w:val="9"/>
        <w:rPr>
          <w:rFonts w:hint="eastAsia" w:ascii="宋体" w:hAnsi="宋体" w:eastAsia="宋体" w:cs="宋体"/>
          <w:b/>
          <w:bCs/>
          <w:color w:val="auto"/>
          <w:sz w:val="24"/>
          <w:highlight w:val="none"/>
        </w:rPr>
      </w:pPr>
    </w:p>
    <w:p w14:paraId="0DDE722B">
      <w:pPr>
        <w:bidi w:val="0"/>
        <w:spacing w:line="360" w:lineRule="auto"/>
        <w:rPr>
          <w:rFonts w:hint="eastAsia" w:ascii="宋体" w:hAnsi="宋体" w:eastAsia="宋体" w:cs="宋体"/>
          <w:color w:val="FF0000"/>
          <w:spacing w:val="6"/>
          <w:sz w:val="24"/>
          <w:highlight w:val="none"/>
        </w:rPr>
      </w:pPr>
      <w:r>
        <w:rPr>
          <w:rFonts w:hint="eastAsia" w:ascii="宋体" w:hAnsi="宋体" w:eastAsia="宋体" w:cs="宋体"/>
          <w:color w:val="FF0000"/>
          <w:spacing w:val="6"/>
          <w:sz w:val="24"/>
          <w:highlight w:val="none"/>
        </w:rPr>
        <w:t>投标人（公章）：</w:t>
      </w:r>
    </w:p>
    <w:p w14:paraId="7E6F5DE4">
      <w:pPr>
        <w:bidi w:val="0"/>
        <w:spacing w:line="360" w:lineRule="auto"/>
        <w:rPr>
          <w:rFonts w:hint="eastAsia" w:ascii="宋体" w:hAnsi="宋体" w:eastAsia="宋体" w:cs="宋体"/>
          <w:color w:val="FF0000"/>
          <w:spacing w:val="6"/>
          <w:sz w:val="24"/>
          <w:highlight w:val="none"/>
        </w:rPr>
      </w:pPr>
      <w:r>
        <w:rPr>
          <w:rFonts w:hint="eastAsia" w:ascii="宋体" w:hAnsi="宋体" w:eastAsia="宋体" w:cs="宋体"/>
          <w:color w:val="FF0000"/>
          <w:spacing w:val="6"/>
          <w:sz w:val="24"/>
          <w:highlight w:val="none"/>
        </w:rPr>
        <w:t>法定代表人或授权代表签字（签章）：</w:t>
      </w:r>
    </w:p>
    <w:p w14:paraId="7E51E78C">
      <w:pPr>
        <w:bidi w:val="0"/>
        <w:spacing w:line="360" w:lineRule="auto"/>
        <w:rPr>
          <w:rFonts w:hint="default"/>
          <w:highlight w:val="none"/>
          <w:lang w:val="en-US" w:eastAsia="zh-CN"/>
        </w:rPr>
      </w:pPr>
      <w:r>
        <w:rPr>
          <w:rFonts w:hint="eastAsia" w:ascii="宋体" w:hAnsi="宋体" w:eastAsia="宋体" w:cs="宋体"/>
          <w:color w:val="FF0000"/>
          <w:spacing w:val="6"/>
          <w:sz w:val="24"/>
          <w:highlight w:val="none"/>
        </w:rPr>
        <w:t>日期：    年   月   日</w:t>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0C92A">
    <w:pPr>
      <w:pStyle w:val="7"/>
      <w:numPr>
        <w:ilvl w:val="0"/>
        <w:numId w:val="0"/>
      </w:numPr>
      <w:tabs>
        <w:tab w:val="left" w:pos="454"/>
        <w:tab w:val="left" w:pos="720"/>
        <w:tab w:val="left" w:pos="1200"/>
        <w:tab w:val="clear" w:pos="360"/>
      </w:tabs>
      <w:spacing w:after="120"/>
      <w:ind w:left="48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E165D">
    <w:pPr>
      <w:pStyle w:val="7"/>
      <w:framePr w:wrap="around" w:vAnchor="text" w:hAnchor="margin" w:xAlign="center" w:y="1"/>
      <w:tabs>
        <w:tab w:val="left" w:pos="454"/>
        <w:tab w:val="left" w:pos="720"/>
        <w:tab w:val="left" w:pos="1200"/>
      </w:tabs>
      <w:spacing w:after="120"/>
      <w:rPr>
        <w:rStyle w:val="30"/>
      </w:rPr>
    </w:pPr>
    <w:r>
      <w:fldChar w:fldCharType="begin"/>
    </w:r>
    <w:r>
      <w:rPr>
        <w:rStyle w:val="30"/>
      </w:rPr>
      <w:instrText xml:space="preserve">PAGE  </w:instrText>
    </w:r>
    <w:r>
      <w:fldChar w:fldCharType="separate"/>
    </w:r>
    <w:r>
      <w:rPr>
        <w:rStyle w:val="30"/>
      </w:rPr>
      <w:t>10</w:t>
    </w:r>
    <w:r>
      <w:fldChar w:fldCharType="end"/>
    </w:r>
  </w:p>
  <w:p w14:paraId="00DAD1E8">
    <w:pPr>
      <w:pStyle w:val="7"/>
      <w:tabs>
        <w:tab w:val="left" w:pos="454"/>
        <w:tab w:val="left" w:pos="720"/>
        <w:tab w:val="left" w:pos="1200"/>
      </w:tabs>
      <w:spacing w:after="1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DC25">
    <w:pPr>
      <w:pStyle w:val="7"/>
      <w:numPr>
        <w:ilvl w:val="0"/>
        <w:numId w:val="0"/>
      </w:numPr>
      <w:tabs>
        <w:tab w:val="left" w:pos="454"/>
        <w:tab w:val="left" w:pos="720"/>
        <w:tab w:val="left" w:pos="1200"/>
        <w:tab w:val="clear" w:pos="360"/>
      </w:tabs>
      <w:spacing w:after="120"/>
      <w:ind w:left="480"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2B31E">
    <w:pPr>
      <w:pStyle w:val="7"/>
      <w:numPr>
        <w:ilvl w:val="0"/>
        <w:numId w:val="0"/>
      </w:numPr>
      <w:tabs>
        <w:tab w:val="left" w:pos="454"/>
        <w:tab w:val="left" w:pos="720"/>
        <w:tab w:val="left" w:pos="1200"/>
        <w:tab w:val="clear" w:pos="360"/>
      </w:tabs>
      <w:spacing w:after="120"/>
      <w:ind w:left="480" w:right="360"/>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C5E22">
                          <w:pPr>
                            <w:pStyle w:val="18"/>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2C5E22">
                    <w:pPr>
                      <w:pStyle w:val="18"/>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D2D87">
    <w:pPr>
      <w:pStyle w:val="7"/>
      <w:numPr>
        <w:ilvl w:val="0"/>
        <w:numId w:val="0"/>
      </w:numPr>
      <w:tabs>
        <w:tab w:val="left" w:pos="454"/>
        <w:tab w:val="left" w:pos="720"/>
        <w:tab w:val="left" w:pos="1200"/>
        <w:tab w:val="clear" w:pos="360"/>
      </w:tabs>
      <w:spacing w:after="120"/>
      <w:ind w:left="480" w:right="36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49B9C">
                          <w:pPr>
                            <w:pStyle w:val="1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E49B9C">
                    <w:pPr>
                      <w:pStyle w:val="1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9E9CB">
    <w:pPr>
      <w:pStyle w:val="7"/>
      <w:numPr>
        <w:ilvl w:val="0"/>
        <w:numId w:val="0"/>
      </w:numPr>
      <w:tabs>
        <w:tab w:val="left" w:pos="454"/>
        <w:tab w:val="left" w:pos="720"/>
        <w:tab w:val="left" w:pos="1200"/>
        <w:tab w:val="clear" w:pos="360"/>
      </w:tabs>
      <w:spacing w:after="120"/>
      <w:ind w:left="480" w:right="360"/>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87F69">
                          <w:pPr>
                            <w:pStyle w:val="18"/>
                          </w:pPr>
                          <w:r>
                            <w:t xml:space="preserve">第 </w:t>
                          </w:r>
                          <w:r>
                            <w:fldChar w:fldCharType="begin"/>
                          </w:r>
                          <w:r>
                            <w:instrText xml:space="preserve"> PAGE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AC87F69">
                    <w:pPr>
                      <w:pStyle w:val="18"/>
                    </w:pPr>
                    <w:r>
                      <w:t xml:space="preserve">第 </w:t>
                    </w:r>
                    <w:r>
                      <w:fldChar w:fldCharType="begin"/>
                    </w:r>
                    <w:r>
                      <w:instrText xml:space="preserve"> PAGE  \* MERGEFORMAT </w:instrText>
                    </w:r>
                    <w:r>
                      <w:fldChar w:fldCharType="separate"/>
                    </w:r>
                    <w:r>
                      <w:t>75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812D0">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E210F">
                          <w:pPr>
                            <w:pStyle w:val="18"/>
                          </w:pPr>
                          <w:r>
                            <w:t xml:space="preserve">第 </w:t>
                          </w:r>
                          <w:r>
                            <w:fldChar w:fldCharType="begin"/>
                          </w:r>
                          <w:r>
                            <w:instrText xml:space="preserve"> PAGE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FEE210F">
                    <w:pPr>
                      <w:pStyle w:val="18"/>
                    </w:pPr>
                    <w:r>
                      <w:t xml:space="preserve">第 </w:t>
                    </w:r>
                    <w:r>
                      <w:fldChar w:fldCharType="begin"/>
                    </w:r>
                    <w:r>
                      <w:instrText xml:space="preserve"> PAGE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9C5DE">
    <w:pPr>
      <w:spacing w:line="20" w:lineRule="atLeast"/>
      <w:rPr>
        <w:b/>
        <w:color w:val="808080"/>
        <w:w w:val="66"/>
        <w:sz w:val="10"/>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64FFD">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9BFF4D"/>
    <w:multiLevelType w:val="singleLevel"/>
    <w:tmpl w:val="819BFF4D"/>
    <w:lvl w:ilvl="0" w:tentative="0">
      <w:start w:val="1"/>
      <w:numFmt w:val="decimal"/>
      <w:suff w:val="nothing"/>
      <w:lvlText w:val="%1．"/>
      <w:lvlJc w:val="left"/>
      <w:pPr>
        <w:ind w:left="0" w:firstLine="400"/>
      </w:pPr>
      <w:rPr>
        <w:rFonts w:hint="default"/>
      </w:rPr>
    </w:lvl>
  </w:abstractNum>
  <w:abstractNum w:abstractNumId="1">
    <w:nsid w:val="8349B7C1"/>
    <w:multiLevelType w:val="singleLevel"/>
    <w:tmpl w:val="8349B7C1"/>
    <w:lvl w:ilvl="0" w:tentative="0">
      <w:start w:val="1"/>
      <w:numFmt w:val="decimal"/>
      <w:suff w:val="nothing"/>
      <w:lvlText w:val="%1．"/>
      <w:lvlJc w:val="left"/>
      <w:pPr>
        <w:ind w:left="0" w:firstLine="400"/>
      </w:pPr>
      <w:rPr>
        <w:rFonts w:hint="default"/>
      </w:rPr>
    </w:lvl>
  </w:abstractNum>
  <w:abstractNum w:abstractNumId="2">
    <w:nsid w:val="8D802EEE"/>
    <w:multiLevelType w:val="singleLevel"/>
    <w:tmpl w:val="8D802EEE"/>
    <w:lvl w:ilvl="0" w:tentative="0">
      <w:start w:val="1"/>
      <w:numFmt w:val="decimal"/>
      <w:suff w:val="nothing"/>
      <w:lvlText w:val="(%1)"/>
      <w:lvlJc w:val="left"/>
      <w:pPr>
        <w:ind w:left="0" w:leftChars="0" w:firstLine="40" w:firstLineChars="0"/>
      </w:pPr>
      <w:rPr>
        <w:rFonts w:hint="default"/>
      </w:rPr>
    </w:lvl>
  </w:abstractNum>
  <w:abstractNum w:abstractNumId="3">
    <w:nsid w:val="95B39D80"/>
    <w:multiLevelType w:val="singleLevel"/>
    <w:tmpl w:val="95B39D80"/>
    <w:lvl w:ilvl="0" w:tentative="0">
      <w:start w:val="1"/>
      <w:numFmt w:val="decimal"/>
      <w:suff w:val="nothing"/>
      <w:lvlText w:val="%1．"/>
      <w:lvlJc w:val="left"/>
      <w:pPr>
        <w:ind w:left="0" w:firstLine="400"/>
      </w:pPr>
      <w:rPr>
        <w:rFonts w:hint="default"/>
      </w:rPr>
    </w:lvl>
  </w:abstractNum>
  <w:abstractNum w:abstractNumId="4">
    <w:nsid w:val="963CBFC0"/>
    <w:multiLevelType w:val="singleLevel"/>
    <w:tmpl w:val="963CBFC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5">
    <w:nsid w:val="A0D36AA4"/>
    <w:multiLevelType w:val="singleLevel"/>
    <w:tmpl w:val="A0D36AA4"/>
    <w:lvl w:ilvl="0" w:tentative="0">
      <w:start w:val="1"/>
      <w:numFmt w:val="decimal"/>
      <w:suff w:val="nothing"/>
      <w:lvlText w:val="%1．"/>
      <w:lvlJc w:val="left"/>
      <w:pPr>
        <w:ind w:left="0" w:firstLine="400"/>
      </w:pPr>
      <w:rPr>
        <w:rFonts w:hint="default"/>
      </w:rPr>
    </w:lvl>
  </w:abstractNum>
  <w:abstractNum w:abstractNumId="6">
    <w:nsid w:val="A0F7CB26"/>
    <w:multiLevelType w:val="singleLevel"/>
    <w:tmpl w:val="A0F7CB26"/>
    <w:lvl w:ilvl="0" w:tentative="0">
      <w:start w:val="1"/>
      <w:numFmt w:val="decimal"/>
      <w:suff w:val="nothing"/>
      <w:lvlText w:val="%1．"/>
      <w:lvlJc w:val="left"/>
      <w:pPr>
        <w:ind w:left="0" w:firstLine="400"/>
      </w:pPr>
      <w:rPr>
        <w:rFonts w:hint="default"/>
      </w:rPr>
    </w:lvl>
  </w:abstractNum>
  <w:abstractNum w:abstractNumId="7">
    <w:nsid w:val="A1E7AD11"/>
    <w:multiLevelType w:val="singleLevel"/>
    <w:tmpl w:val="A1E7AD11"/>
    <w:lvl w:ilvl="0" w:tentative="0">
      <w:start w:val="1"/>
      <w:numFmt w:val="chineseCounting"/>
      <w:suff w:val="nothing"/>
      <w:lvlText w:val="（%1）"/>
      <w:lvlJc w:val="left"/>
      <w:pPr>
        <w:ind w:left="0" w:firstLine="420"/>
      </w:pPr>
      <w:rPr>
        <w:rFonts w:hint="eastAsia"/>
      </w:rPr>
    </w:lvl>
  </w:abstractNum>
  <w:abstractNum w:abstractNumId="8">
    <w:nsid w:val="A37367D0"/>
    <w:multiLevelType w:val="singleLevel"/>
    <w:tmpl w:val="A37367D0"/>
    <w:lvl w:ilvl="0" w:tentative="0">
      <w:start w:val="1"/>
      <w:numFmt w:val="chineseCounting"/>
      <w:suff w:val="nothing"/>
      <w:lvlText w:val="（%1）"/>
      <w:lvlJc w:val="left"/>
      <w:pPr>
        <w:ind w:left="0" w:firstLine="420"/>
      </w:pPr>
      <w:rPr>
        <w:rFonts w:hint="eastAsia"/>
      </w:rPr>
    </w:lvl>
  </w:abstractNum>
  <w:abstractNum w:abstractNumId="9">
    <w:nsid w:val="A7D446B1"/>
    <w:multiLevelType w:val="singleLevel"/>
    <w:tmpl w:val="A7D446B1"/>
    <w:lvl w:ilvl="0" w:tentative="0">
      <w:start w:val="1"/>
      <w:numFmt w:val="chineseCounting"/>
      <w:suff w:val="nothing"/>
      <w:lvlText w:val="（%1）"/>
      <w:lvlJc w:val="left"/>
      <w:pPr>
        <w:ind w:left="0" w:firstLine="420"/>
      </w:pPr>
      <w:rPr>
        <w:rFonts w:hint="eastAsia"/>
      </w:rPr>
    </w:lvl>
  </w:abstractNum>
  <w:abstractNum w:abstractNumId="10">
    <w:nsid w:val="A98A76F2"/>
    <w:multiLevelType w:val="singleLevel"/>
    <w:tmpl w:val="A98A76F2"/>
    <w:lvl w:ilvl="0" w:tentative="0">
      <w:start w:val="1"/>
      <w:numFmt w:val="chineseCounting"/>
      <w:suff w:val="nothing"/>
      <w:lvlText w:val="（%1）"/>
      <w:lvlJc w:val="left"/>
      <w:pPr>
        <w:ind w:left="0" w:firstLine="420"/>
      </w:pPr>
      <w:rPr>
        <w:rFonts w:hint="eastAsia"/>
      </w:rPr>
    </w:lvl>
  </w:abstractNum>
  <w:abstractNum w:abstractNumId="11">
    <w:nsid w:val="ADAC7E09"/>
    <w:multiLevelType w:val="singleLevel"/>
    <w:tmpl w:val="ADAC7E09"/>
    <w:lvl w:ilvl="0" w:tentative="0">
      <w:start w:val="1"/>
      <w:numFmt w:val="chineseCounting"/>
      <w:suff w:val="nothing"/>
      <w:lvlText w:val="（%1）"/>
      <w:lvlJc w:val="left"/>
      <w:pPr>
        <w:ind w:left="0" w:firstLine="420"/>
      </w:pPr>
      <w:rPr>
        <w:rFonts w:hint="eastAsia"/>
      </w:rPr>
    </w:lvl>
  </w:abstractNum>
  <w:abstractNum w:abstractNumId="12">
    <w:nsid w:val="B33BECA7"/>
    <w:multiLevelType w:val="singleLevel"/>
    <w:tmpl w:val="B33BECA7"/>
    <w:lvl w:ilvl="0" w:tentative="0">
      <w:start w:val="1"/>
      <w:numFmt w:val="decimal"/>
      <w:suff w:val="nothing"/>
      <w:lvlText w:val="%1．"/>
      <w:lvlJc w:val="left"/>
      <w:pPr>
        <w:ind w:left="0" w:firstLine="400"/>
      </w:pPr>
      <w:rPr>
        <w:rFonts w:hint="default"/>
      </w:rPr>
    </w:lvl>
  </w:abstractNum>
  <w:abstractNum w:abstractNumId="13">
    <w:nsid w:val="BC925506"/>
    <w:multiLevelType w:val="singleLevel"/>
    <w:tmpl w:val="BC925506"/>
    <w:lvl w:ilvl="0" w:tentative="0">
      <w:start w:val="1"/>
      <w:numFmt w:val="chineseCounting"/>
      <w:suff w:val="nothing"/>
      <w:lvlText w:val="（%1）"/>
      <w:lvlJc w:val="left"/>
      <w:pPr>
        <w:ind w:left="0" w:firstLine="420"/>
      </w:pPr>
      <w:rPr>
        <w:rFonts w:hint="eastAsia"/>
      </w:rPr>
    </w:lvl>
  </w:abstractNum>
  <w:abstractNum w:abstractNumId="14">
    <w:nsid w:val="C0E2DE5D"/>
    <w:multiLevelType w:val="singleLevel"/>
    <w:tmpl w:val="C0E2DE5D"/>
    <w:lvl w:ilvl="0" w:tentative="0">
      <w:start w:val="1"/>
      <w:numFmt w:val="chineseCounting"/>
      <w:suff w:val="nothing"/>
      <w:lvlText w:val="（%1）"/>
      <w:lvlJc w:val="left"/>
      <w:pPr>
        <w:ind w:left="0" w:firstLine="420"/>
      </w:pPr>
      <w:rPr>
        <w:rFonts w:hint="eastAsia"/>
      </w:rPr>
    </w:lvl>
  </w:abstractNum>
  <w:abstractNum w:abstractNumId="15">
    <w:nsid w:val="C7371701"/>
    <w:multiLevelType w:val="singleLevel"/>
    <w:tmpl w:val="C7371701"/>
    <w:lvl w:ilvl="0" w:tentative="0">
      <w:start w:val="1"/>
      <w:numFmt w:val="decimal"/>
      <w:suff w:val="nothing"/>
      <w:lvlText w:val="%1．"/>
      <w:lvlJc w:val="left"/>
      <w:pPr>
        <w:ind w:left="0" w:firstLine="400"/>
      </w:pPr>
      <w:rPr>
        <w:rFonts w:hint="default"/>
      </w:rPr>
    </w:lvl>
  </w:abstractNum>
  <w:abstractNum w:abstractNumId="16">
    <w:nsid w:val="CA0038D8"/>
    <w:multiLevelType w:val="singleLevel"/>
    <w:tmpl w:val="CA0038D8"/>
    <w:lvl w:ilvl="0" w:tentative="0">
      <w:start w:val="1"/>
      <w:numFmt w:val="decimal"/>
      <w:lvlText w:val="%1)"/>
      <w:lvlJc w:val="left"/>
      <w:pPr>
        <w:ind w:left="425" w:hanging="425"/>
      </w:pPr>
      <w:rPr>
        <w:rFonts w:hint="default"/>
      </w:rPr>
    </w:lvl>
  </w:abstractNum>
  <w:abstractNum w:abstractNumId="17">
    <w:nsid w:val="CAFA28A2"/>
    <w:multiLevelType w:val="singleLevel"/>
    <w:tmpl w:val="CAFA28A2"/>
    <w:lvl w:ilvl="0" w:tentative="0">
      <w:start w:val="1"/>
      <w:numFmt w:val="chineseCounting"/>
      <w:suff w:val="nothing"/>
      <w:lvlText w:val="（%1）"/>
      <w:lvlJc w:val="left"/>
      <w:pPr>
        <w:ind w:left="0" w:firstLine="420"/>
      </w:pPr>
      <w:rPr>
        <w:rFonts w:hint="eastAsia"/>
      </w:rPr>
    </w:lvl>
  </w:abstractNum>
  <w:abstractNum w:abstractNumId="18">
    <w:nsid w:val="CC4F6965"/>
    <w:multiLevelType w:val="singleLevel"/>
    <w:tmpl w:val="CC4F6965"/>
    <w:lvl w:ilvl="0" w:tentative="0">
      <w:start w:val="1"/>
      <w:numFmt w:val="chineseCounting"/>
      <w:suff w:val="nothing"/>
      <w:lvlText w:val="（%1）"/>
      <w:lvlJc w:val="left"/>
      <w:pPr>
        <w:ind w:left="0" w:firstLine="420"/>
      </w:pPr>
      <w:rPr>
        <w:rFonts w:hint="eastAsia"/>
      </w:rPr>
    </w:lvl>
  </w:abstractNum>
  <w:abstractNum w:abstractNumId="19">
    <w:nsid w:val="CC5C2251"/>
    <w:multiLevelType w:val="singleLevel"/>
    <w:tmpl w:val="CC5C2251"/>
    <w:lvl w:ilvl="0" w:tentative="0">
      <w:start w:val="1"/>
      <w:numFmt w:val="decimal"/>
      <w:suff w:val="nothing"/>
      <w:lvlText w:val="%1．"/>
      <w:lvlJc w:val="left"/>
      <w:pPr>
        <w:ind w:left="0" w:firstLine="400"/>
      </w:pPr>
      <w:rPr>
        <w:rFonts w:hint="default"/>
      </w:rPr>
    </w:lvl>
  </w:abstractNum>
  <w:abstractNum w:abstractNumId="20">
    <w:nsid w:val="DF3B772E"/>
    <w:multiLevelType w:val="singleLevel"/>
    <w:tmpl w:val="DF3B772E"/>
    <w:lvl w:ilvl="0" w:tentative="0">
      <w:start w:val="1"/>
      <w:numFmt w:val="decimalEnclosedCircleChinese"/>
      <w:suff w:val="nothing"/>
      <w:lvlText w:val="%1　"/>
      <w:lvlJc w:val="left"/>
      <w:pPr>
        <w:ind w:left="0" w:firstLine="400"/>
      </w:pPr>
      <w:rPr>
        <w:rFonts w:hint="eastAsia"/>
      </w:rPr>
    </w:lvl>
  </w:abstractNum>
  <w:abstractNum w:abstractNumId="21">
    <w:nsid w:val="E08CE0FA"/>
    <w:multiLevelType w:val="singleLevel"/>
    <w:tmpl w:val="E08CE0FA"/>
    <w:lvl w:ilvl="0" w:tentative="0">
      <w:start w:val="1"/>
      <w:numFmt w:val="decimal"/>
      <w:suff w:val="nothing"/>
      <w:lvlText w:val="%1．"/>
      <w:lvlJc w:val="left"/>
      <w:pPr>
        <w:ind w:left="0" w:firstLine="400"/>
      </w:pPr>
      <w:rPr>
        <w:rFonts w:hint="default"/>
      </w:rPr>
    </w:lvl>
  </w:abstractNum>
  <w:abstractNum w:abstractNumId="22">
    <w:nsid w:val="E60EC428"/>
    <w:multiLevelType w:val="singleLevel"/>
    <w:tmpl w:val="E60EC428"/>
    <w:lvl w:ilvl="0" w:tentative="0">
      <w:start w:val="1"/>
      <w:numFmt w:val="decimal"/>
      <w:suff w:val="nothing"/>
      <w:lvlText w:val="%1．"/>
      <w:lvlJc w:val="left"/>
      <w:pPr>
        <w:ind w:left="0" w:firstLine="400"/>
      </w:pPr>
      <w:rPr>
        <w:rFonts w:hint="default"/>
      </w:rPr>
    </w:lvl>
  </w:abstractNum>
  <w:abstractNum w:abstractNumId="23">
    <w:nsid w:val="E7171C12"/>
    <w:multiLevelType w:val="singleLevel"/>
    <w:tmpl w:val="E7171C12"/>
    <w:lvl w:ilvl="0" w:tentative="0">
      <w:start w:val="1"/>
      <w:numFmt w:val="bullet"/>
      <w:pStyle w:val="8"/>
      <w:lvlText w:val=""/>
      <w:lvlJc w:val="left"/>
      <w:pPr>
        <w:tabs>
          <w:tab w:val="left" w:pos="360"/>
        </w:tabs>
        <w:ind w:left="360" w:hanging="360"/>
      </w:pPr>
      <w:rPr>
        <w:rFonts w:hint="default" w:ascii="Wingdings" w:hAnsi="Wingdings"/>
      </w:rPr>
    </w:lvl>
  </w:abstractNum>
  <w:abstractNum w:abstractNumId="24">
    <w:nsid w:val="EA117F7F"/>
    <w:multiLevelType w:val="singleLevel"/>
    <w:tmpl w:val="EA117F7F"/>
    <w:lvl w:ilvl="0" w:tentative="0">
      <w:start w:val="1"/>
      <w:numFmt w:val="decimal"/>
      <w:suff w:val="nothing"/>
      <w:lvlText w:val="%1．"/>
      <w:lvlJc w:val="left"/>
      <w:pPr>
        <w:ind w:left="0" w:firstLine="400"/>
      </w:pPr>
      <w:rPr>
        <w:rFonts w:hint="default"/>
      </w:rPr>
    </w:lvl>
  </w:abstractNum>
  <w:abstractNum w:abstractNumId="25">
    <w:nsid w:val="EDF71254"/>
    <w:multiLevelType w:val="singleLevel"/>
    <w:tmpl w:val="EDF71254"/>
    <w:lvl w:ilvl="0" w:tentative="0">
      <w:start w:val="1"/>
      <w:numFmt w:val="chineseCounting"/>
      <w:suff w:val="nothing"/>
      <w:lvlText w:val="%1、"/>
      <w:lvlJc w:val="left"/>
      <w:pPr>
        <w:ind w:left="0" w:firstLine="420"/>
      </w:pPr>
      <w:rPr>
        <w:rFonts w:hint="eastAsia"/>
      </w:rPr>
    </w:lvl>
  </w:abstractNum>
  <w:abstractNum w:abstractNumId="26">
    <w:nsid w:val="F5530398"/>
    <w:multiLevelType w:val="singleLevel"/>
    <w:tmpl w:val="F5530398"/>
    <w:lvl w:ilvl="0" w:tentative="0">
      <w:start w:val="1"/>
      <w:numFmt w:val="decimal"/>
      <w:suff w:val="nothing"/>
      <w:lvlText w:val="%1．"/>
      <w:lvlJc w:val="left"/>
      <w:pPr>
        <w:ind w:left="0" w:firstLine="400"/>
      </w:pPr>
      <w:rPr>
        <w:rFonts w:hint="default"/>
      </w:rPr>
    </w:lvl>
  </w:abstractNum>
  <w:abstractNum w:abstractNumId="27">
    <w:nsid w:val="F5B787D2"/>
    <w:multiLevelType w:val="singleLevel"/>
    <w:tmpl w:val="F5B787D2"/>
    <w:lvl w:ilvl="0" w:tentative="0">
      <w:start w:val="1"/>
      <w:numFmt w:val="decimal"/>
      <w:suff w:val="nothing"/>
      <w:lvlText w:val="%1．"/>
      <w:lvlJc w:val="left"/>
      <w:pPr>
        <w:ind w:left="0" w:firstLine="400"/>
      </w:pPr>
      <w:rPr>
        <w:rFonts w:hint="default"/>
      </w:rPr>
    </w:lvl>
  </w:abstractNum>
  <w:abstractNum w:abstractNumId="28">
    <w:nsid w:val="F71EEF14"/>
    <w:multiLevelType w:val="singleLevel"/>
    <w:tmpl w:val="F71EEF14"/>
    <w:lvl w:ilvl="0" w:tentative="0">
      <w:start w:val="1"/>
      <w:numFmt w:val="chineseCounting"/>
      <w:suff w:val="nothing"/>
      <w:lvlText w:val="%1、"/>
      <w:lvlJc w:val="left"/>
      <w:pPr>
        <w:ind w:left="0" w:firstLine="420"/>
      </w:pPr>
      <w:rPr>
        <w:rFonts w:hint="eastAsia"/>
      </w:rPr>
    </w:lvl>
  </w:abstractNum>
  <w:abstractNum w:abstractNumId="29">
    <w:nsid w:val="F7E0D11C"/>
    <w:multiLevelType w:val="singleLevel"/>
    <w:tmpl w:val="F7E0D11C"/>
    <w:lvl w:ilvl="0" w:tentative="0">
      <w:start w:val="1"/>
      <w:numFmt w:val="decimal"/>
      <w:suff w:val="nothing"/>
      <w:lvlText w:val="%1．"/>
      <w:lvlJc w:val="left"/>
      <w:pPr>
        <w:ind w:left="0" w:firstLine="400"/>
      </w:pPr>
      <w:rPr>
        <w:rFonts w:hint="default"/>
      </w:rPr>
    </w:lvl>
  </w:abstractNum>
  <w:abstractNum w:abstractNumId="30">
    <w:nsid w:val="FB57CA79"/>
    <w:multiLevelType w:val="singleLevel"/>
    <w:tmpl w:val="FB57CA79"/>
    <w:lvl w:ilvl="0" w:tentative="0">
      <w:start w:val="1"/>
      <w:numFmt w:val="decimal"/>
      <w:lvlText w:val="%1)"/>
      <w:lvlJc w:val="left"/>
      <w:pPr>
        <w:tabs>
          <w:tab w:val="left" w:pos="420"/>
        </w:tabs>
        <w:ind w:left="845" w:hanging="425"/>
      </w:pPr>
      <w:rPr>
        <w:rFonts w:hint="default"/>
      </w:rPr>
    </w:lvl>
  </w:abstractNum>
  <w:abstractNum w:abstractNumId="31">
    <w:nsid w:val="FCE6C46F"/>
    <w:multiLevelType w:val="singleLevel"/>
    <w:tmpl w:val="FCE6C46F"/>
    <w:lvl w:ilvl="0" w:tentative="0">
      <w:start w:val="1"/>
      <w:numFmt w:val="decimal"/>
      <w:suff w:val="nothing"/>
      <w:lvlText w:val="%1．"/>
      <w:lvlJc w:val="left"/>
      <w:pPr>
        <w:ind w:left="0" w:firstLine="400"/>
      </w:pPr>
      <w:rPr>
        <w:rFonts w:hint="default"/>
      </w:rPr>
    </w:lvl>
  </w:abstractNum>
  <w:abstractNum w:abstractNumId="32">
    <w:nsid w:val="FE8FAF44"/>
    <w:multiLevelType w:val="singleLevel"/>
    <w:tmpl w:val="FE8FAF44"/>
    <w:lvl w:ilvl="0" w:tentative="0">
      <w:start w:val="1"/>
      <w:numFmt w:val="chineseCounting"/>
      <w:suff w:val="nothing"/>
      <w:lvlText w:val="（%1）"/>
      <w:lvlJc w:val="left"/>
      <w:pPr>
        <w:ind w:left="0" w:firstLine="420"/>
      </w:pPr>
      <w:rPr>
        <w:rFonts w:hint="eastAsia"/>
      </w:rPr>
    </w:lvl>
  </w:abstractNum>
  <w:abstractNum w:abstractNumId="33">
    <w:nsid w:val="0456069E"/>
    <w:multiLevelType w:val="singleLevel"/>
    <w:tmpl w:val="0456069E"/>
    <w:lvl w:ilvl="0" w:tentative="0">
      <w:start w:val="1"/>
      <w:numFmt w:val="decimalEnclosedCircleChinese"/>
      <w:suff w:val="nothing"/>
      <w:lvlText w:val="%1　"/>
      <w:lvlJc w:val="left"/>
      <w:pPr>
        <w:ind w:left="0" w:firstLine="400"/>
      </w:pPr>
      <w:rPr>
        <w:rFonts w:hint="eastAsia"/>
      </w:rPr>
    </w:lvl>
  </w:abstractNum>
  <w:abstractNum w:abstractNumId="34">
    <w:nsid w:val="04A5EB8F"/>
    <w:multiLevelType w:val="singleLevel"/>
    <w:tmpl w:val="04A5EB8F"/>
    <w:lvl w:ilvl="0" w:tentative="0">
      <w:start w:val="1"/>
      <w:numFmt w:val="decimal"/>
      <w:suff w:val="nothing"/>
      <w:lvlText w:val="%1．"/>
      <w:lvlJc w:val="left"/>
      <w:pPr>
        <w:ind w:left="0" w:firstLine="400"/>
      </w:pPr>
      <w:rPr>
        <w:rFonts w:hint="default"/>
      </w:rPr>
    </w:lvl>
  </w:abstractNum>
  <w:abstractNum w:abstractNumId="35">
    <w:nsid w:val="0645AE4C"/>
    <w:multiLevelType w:val="singleLevel"/>
    <w:tmpl w:val="0645AE4C"/>
    <w:lvl w:ilvl="0" w:tentative="0">
      <w:start w:val="1"/>
      <w:numFmt w:val="decimal"/>
      <w:suff w:val="nothing"/>
      <w:lvlText w:val="%1．"/>
      <w:lvlJc w:val="left"/>
      <w:pPr>
        <w:ind w:left="0" w:firstLine="400"/>
      </w:pPr>
      <w:rPr>
        <w:rFonts w:hint="default"/>
      </w:rPr>
    </w:lvl>
  </w:abstractNum>
  <w:abstractNum w:abstractNumId="36">
    <w:nsid w:val="091C3C3D"/>
    <w:multiLevelType w:val="singleLevel"/>
    <w:tmpl w:val="091C3C3D"/>
    <w:lvl w:ilvl="0" w:tentative="0">
      <w:start w:val="1"/>
      <w:numFmt w:val="chineseCounting"/>
      <w:suff w:val="nothing"/>
      <w:lvlText w:val="（%1）"/>
      <w:lvlJc w:val="left"/>
      <w:pPr>
        <w:ind w:left="0" w:firstLine="420"/>
      </w:pPr>
      <w:rPr>
        <w:rFonts w:hint="eastAsia"/>
      </w:rPr>
    </w:lvl>
  </w:abstractNum>
  <w:abstractNum w:abstractNumId="37">
    <w:nsid w:val="0C5798B9"/>
    <w:multiLevelType w:val="singleLevel"/>
    <w:tmpl w:val="0C5798B9"/>
    <w:lvl w:ilvl="0" w:tentative="0">
      <w:start w:val="1"/>
      <w:numFmt w:val="decimal"/>
      <w:suff w:val="nothing"/>
      <w:lvlText w:val="%1．"/>
      <w:lvlJc w:val="left"/>
      <w:pPr>
        <w:ind w:left="0" w:firstLine="400"/>
      </w:pPr>
      <w:rPr>
        <w:rFonts w:hint="default"/>
      </w:rPr>
    </w:lvl>
  </w:abstractNum>
  <w:abstractNum w:abstractNumId="38">
    <w:nsid w:val="0ED2C79B"/>
    <w:multiLevelType w:val="singleLevel"/>
    <w:tmpl w:val="0ED2C79B"/>
    <w:lvl w:ilvl="0" w:tentative="0">
      <w:start w:val="1"/>
      <w:numFmt w:val="decimal"/>
      <w:pStyle w:val="7"/>
      <w:lvlText w:val="%1."/>
      <w:lvlJc w:val="left"/>
      <w:pPr>
        <w:tabs>
          <w:tab w:val="left" w:pos="360"/>
        </w:tabs>
        <w:ind w:left="360" w:hanging="360"/>
      </w:pPr>
    </w:lvl>
  </w:abstractNum>
  <w:abstractNum w:abstractNumId="39">
    <w:nsid w:val="0F7EBE18"/>
    <w:multiLevelType w:val="singleLevel"/>
    <w:tmpl w:val="0F7EBE18"/>
    <w:lvl w:ilvl="0" w:tentative="0">
      <w:start w:val="1"/>
      <w:numFmt w:val="decimal"/>
      <w:suff w:val="nothing"/>
      <w:lvlText w:val="(%1)"/>
      <w:lvlJc w:val="left"/>
      <w:pPr>
        <w:ind w:left="0" w:leftChars="0" w:firstLine="40" w:firstLineChars="0"/>
      </w:pPr>
      <w:rPr>
        <w:rFonts w:hint="default"/>
      </w:rPr>
    </w:lvl>
  </w:abstractNum>
  <w:abstractNum w:abstractNumId="40">
    <w:nsid w:val="1455207D"/>
    <w:multiLevelType w:val="singleLevel"/>
    <w:tmpl w:val="1455207D"/>
    <w:lvl w:ilvl="0" w:tentative="0">
      <w:start w:val="1"/>
      <w:numFmt w:val="decimal"/>
      <w:suff w:val="nothing"/>
      <w:lvlText w:val="(%1)"/>
      <w:lvlJc w:val="left"/>
      <w:pPr>
        <w:ind w:left="0" w:leftChars="0" w:firstLine="40" w:firstLineChars="0"/>
      </w:pPr>
      <w:rPr>
        <w:rFonts w:hint="default"/>
      </w:rPr>
    </w:lvl>
  </w:abstractNum>
  <w:abstractNum w:abstractNumId="41">
    <w:nsid w:val="14F6629A"/>
    <w:multiLevelType w:val="singleLevel"/>
    <w:tmpl w:val="14F6629A"/>
    <w:lvl w:ilvl="0" w:tentative="0">
      <w:start w:val="1"/>
      <w:numFmt w:val="chineseCounting"/>
      <w:suff w:val="nothing"/>
      <w:lvlText w:val="（%1）"/>
      <w:lvlJc w:val="left"/>
      <w:pPr>
        <w:ind w:left="0" w:firstLine="420"/>
      </w:pPr>
      <w:rPr>
        <w:rFonts w:hint="eastAsia"/>
      </w:rPr>
    </w:lvl>
  </w:abstractNum>
  <w:abstractNum w:abstractNumId="42">
    <w:nsid w:val="191414F2"/>
    <w:multiLevelType w:val="singleLevel"/>
    <w:tmpl w:val="191414F2"/>
    <w:lvl w:ilvl="0" w:tentative="0">
      <w:start w:val="1"/>
      <w:numFmt w:val="chineseCounting"/>
      <w:suff w:val="nothing"/>
      <w:lvlText w:val="（%1）"/>
      <w:lvlJc w:val="left"/>
      <w:pPr>
        <w:ind w:left="0" w:firstLine="420"/>
      </w:pPr>
      <w:rPr>
        <w:rFonts w:hint="eastAsia"/>
      </w:rPr>
    </w:lvl>
  </w:abstractNum>
  <w:abstractNum w:abstractNumId="43">
    <w:nsid w:val="23BC29DC"/>
    <w:multiLevelType w:val="singleLevel"/>
    <w:tmpl w:val="23BC29DC"/>
    <w:lvl w:ilvl="0" w:tentative="0">
      <w:start w:val="1"/>
      <w:numFmt w:val="decimal"/>
      <w:suff w:val="nothing"/>
      <w:lvlText w:val="%1．"/>
      <w:lvlJc w:val="left"/>
      <w:pPr>
        <w:ind w:left="0" w:firstLine="400"/>
      </w:pPr>
      <w:rPr>
        <w:rFonts w:hint="default"/>
      </w:rPr>
    </w:lvl>
  </w:abstractNum>
  <w:abstractNum w:abstractNumId="44">
    <w:nsid w:val="27175640"/>
    <w:multiLevelType w:val="singleLevel"/>
    <w:tmpl w:val="27175640"/>
    <w:lvl w:ilvl="0" w:tentative="0">
      <w:start w:val="1"/>
      <w:numFmt w:val="decimal"/>
      <w:suff w:val="nothing"/>
      <w:lvlText w:val="%1．"/>
      <w:lvlJc w:val="left"/>
      <w:pPr>
        <w:ind w:left="0" w:firstLine="400"/>
      </w:pPr>
      <w:rPr>
        <w:rFonts w:hint="default"/>
      </w:rPr>
    </w:lvl>
  </w:abstractNum>
  <w:abstractNum w:abstractNumId="45">
    <w:nsid w:val="2858AF0A"/>
    <w:multiLevelType w:val="singleLevel"/>
    <w:tmpl w:val="2858AF0A"/>
    <w:lvl w:ilvl="0" w:tentative="0">
      <w:start w:val="1"/>
      <w:numFmt w:val="decimal"/>
      <w:suff w:val="nothing"/>
      <w:lvlText w:val="%1．"/>
      <w:lvlJc w:val="left"/>
      <w:pPr>
        <w:ind w:left="0" w:firstLine="400"/>
      </w:pPr>
      <w:rPr>
        <w:rFonts w:hint="default"/>
      </w:rPr>
    </w:lvl>
  </w:abstractNum>
  <w:abstractNum w:abstractNumId="46">
    <w:nsid w:val="28DE95A7"/>
    <w:multiLevelType w:val="singleLevel"/>
    <w:tmpl w:val="28DE95A7"/>
    <w:lvl w:ilvl="0" w:tentative="0">
      <w:start w:val="1"/>
      <w:numFmt w:val="decimal"/>
      <w:suff w:val="nothing"/>
      <w:lvlText w:val="(%1)"/>
      <w:lvlJc w:val="left"/>
      <w:pPr>
        <w:ind w:left="0" w:leftChars="0" w:firstLine="40" w:firstLineChars="0"/>
      </w:pPr>
      <w:rPr>
        <w:rFonts w:hint="default"/>
      </w:rPr>
    </w:lvl>
  </w:abstractNum>
  <w:abstractNum w:abstractNumId="47">
    <w:nsid w:val="2F745631"/>
    <w:multiLevelType w:val="singleLevel"/>
    <w:tmpl w:val="2F745631"/>
    <w:lvl w:ilvl="0" w:tentative="0">
      <w:start w:val="1"/>
      <w:numFmt w:val="chineseCounting"/>
      <w:suff w:val="nothing"/>
      <w:lvlText w:val="（%1）"/>
      <w:lvlJc w:val="left"/>
      <w:pPr>
        <w:ind w:left="0" w:firstLine="420"/>
      </w:pPr>
      <w:rPr>
        <w:rFonts w:hint="eastAsia"/>
      </w:rPr>
    </w:lvl>
  </w:abstractNum>
  <w:abstractNum w:abstractNumId="48">
    <w:nsid w:val="32900E2B"/>
    <w:multiLevelType w:val="singleLevel"/>
    <w:tmpl w:val="32900E2B"/>
    <w:lvl w:ilvl="0" w:tentative="0">
      <w:start w:val="1"/>
      <w:numFmt w:val="decimal"/>
      <w:lvlText w:val="%1)"/>
      <w:lvlJc w:val="left"/>
      <w:pPr>
        <w:ind w:left="425" w:hanging="425"/>
      </w:pPr>
      <w:rPr>
        <w:rFonts w:hint="default"/>
      </w:rPr>
    </w:lvl>
  </w:abstractNum>
  <w:abstractNum w:abstractNumId="49">
    <w:nsid w:val="33A48DD8"/>
    <w:multiLevelType w:val="singleLevel"/>
    <w:tmpl w:val="33A48DD8"/>
    <w:lvl w:ilvl="0" w:tentative="0">
      <w:start w:val="1"/>
      <w:numFmt w:val="decimal"/>
      <w:suff w:val="nothing"/>
      <w:lvlText w:val="%1．"/>
      <w:lvlJc w:val="left"/>
      <w:pPr>
        <w:ind w:left="0" w:firstLine="400"/>
      </w:pPr>
      <w:rPr>
        <w:rFonts w:hint="default"/>
      </w:rPr>
    </w:lvl>
  </w:abstractNum>
  <w:abstractNum w:abstractNumId="50">
    <w:nsid w:val="34C23DC5"/>
    <w:multiLevelType w:val="singleLevel"/>
    <w:tmpl w:val="34C23DC5"/>
    <w:lvl w:ilvl="0" w:tentative="0">
      <w:start w:val="1"/>
      <w:numFmt w:val="chineseCounting"/>
      <w:suff w:val="nothing"/>
      <w:lvlText w:val="（%1）"/>
      <w:lvlJc w:val="left"/>
      <w:pPr>
        <w:ind w:left="0" w:firstLine="420"/>
      </w:pPr>
      <w:rPr>
        <w:rFonts w:hint="eastAsia"/>
      </w:rPr>
    </w:lvl>
  </w:abstractNum>
  <w:abstractNum w:abstractNumId="51">
    <w:nsid w:val="3555AA31"/>
    <w:multiLevelType w:val="singleLevel"/>
    <w:tmpl w:val="3555AA31"/>
    <w:lvl w:ilvl="0" w:tentative="0">
      <w:start w:val="1"/>
      <w:numFmt w:val="chineseCounting"/>
      <w:suff w:val="nothing"/>
      <w:lvlText w:val="（%1）"/>
      <w:lvlJc w:val="left"/>
      <w:pPr>
        <w:ind w:left="0" w:firstLine="420"/>
      </w:pPr>
      <w:rPr>
        <w:rFonts w:hint="eastAsia"/>
      </w:rPr>
    </w:lvl>
  </w:abstractNum>
  <w:abstractNum w:abstractNumId="52">
    <w:nsid w:val="36F86883"/>
    <w:multiLevelType w:val="singleLevel"/>
    <w:tmpl w:val="36F86883"/>
    <w:lvl w:ilvl="0" w:tentative="0">
      <w:start w:val="1"/>
      <w:numFmt w:val="decimal"/>
      <w:suff w:val="nothing"/>
      <w:lvlText w:val="%1．"/>
      <w:lvlJc w:val="left"/>
      <w:pPr>
        <w:ind w:left="0" w:firstLine="400"/>
      </w:pPr>
      <w:rPr>
        <w:rFonts w:hint="default"/>
      </w:rPr>
    </w:lvl>
  </w:abstractNum>
  <w:abstractNum w:abstractNumId="53">
    <w:nsid w:val="42320B34"/>
    <w:multiLevelType w:val="singleLevel"/>
    <w:tmpl w:val="42320B34"/>
    <w:lvl w:ilvl="0" w:tentative="0">
      <w:start w:val="1"/>
      <w:numFmt w:val="decimal"/>
      <w:lvlText w:val="%1)"/>
      <w:lvlJc w:val="left"/>
      <w:pPr>
        <w:tabs>
          <w:tab w:val="left" w:pos="420"/>
        </w:tabs>
        <w:ind w:left="845" w:hanging="425"/>
      </w:pPr>
      <w:rPr>
        <w:rFonts w:hint="default"/>
      </w:rPr>
    </w:lvl>
  </w:abstractNum>
  <w:abstractNum w:abstractNumId="54">
    <w:nsid w:val="44169477"/>
    <w:multiLevelType w:val="singleLevel"/>
    <w:tmpl w:val="44169477"/>
    <w:lvl w:ilvl="0" w:tentative="0">
      <w:start w:val="1"/>
      <w:numFmt w:val="chineseCounting"/>
      <w:suff w:val="nothing"/>
      <w:lvlText w:val="（%1）"/>
      <w:lvlJc w:val="left"/>
      <w:pPr>
        <w:ind w:left="0" w:firstLine="420"/>
      </w:pPr>
      <w:rPr>
        <w:rFonts w:hint="eastAsia"/>
      </w:rPr>
    </w:lvl>
  </w:abstractNum>
  <w:abstractNum w:abstractNumId="55">
    <w:nsid w:val="461E5E94"/>
    <w:multiLevelType w:val="singleLevel"/>
    <w:tmpl w:val="461E5E94"/>
    <w:lvl w:ilvl="0" w:tentative="0">
      <w:start w:val="2"/>
      <w:numFmt w:val="chineseCounting"/>
      <w:suff w:val="space"/>
      <w:lvlText w:val="第%1章"/>
      <w:lvlJc w:val="left"/>
      <w:rPr>
        <w:rFonts w:hint="eastAsia"/>
      </w:rPr>
    </w:lvl>
  </w:abstractNum>
  <w:abstractNum w:abstractNumId="56">
    <w:nsid w:val="48E74FCB"/>
    <w:multiLevelType w:val="singleLevel"/>
    <w:tmpl w:val="48E74FCB"/>
    <w:lvl w:ilvl="0" w:tentative="0">
      <w:start w:val="1"/>
      <w:numFmt w:val="chineseCounting"/>
      <w:suff w:val="nothing"/>
      <w:lvlText w:val="%1、"/>
      <w:lvlJc w:val="left"/>
      <w:pPr>
        <w:ind w:left="0" w:firstLine="420"/>
      </w:pPr>
      <w:rPr>
        <w:rFonts w:hint="eastAsia"/>
      </w:rPr>
    </w:lvl>
  </w:abstractNum>
  <w:abstractNum w:abstractNumId="57">
    <w:nsid w:val="4A792D76"/>
    <w:multiLevelType w:val="singleLevel"/>
    <w:tmpl w:val="4A792D76"/>
    <w:lvl w:ilvl="0" w:tentative="0">
      <w:start w:val="1"/>
      <w:numFmt w:val="decimal"/>
      <w:suff w:val="nothing"/>
      <w:lvlText w:val="%1．"/>
      <w:lvlJc w:val="left"/>
      <w:pPr>
        <w:ind w:left="0" w:firstLine="400"/>
      </w:pPr>
      <w:rPr>
        <w:rFonts w:hint="default"/>
      </w:rPr>
    </w:lvl>
  </w:abstractNum>
  <w:abstractNum w:abstractNumId="58">
    <w:nsid w:val="5391F251"/>
    <w:multiLevelType w:val="singleLevel"/>
    <w:tmpl w:val="5391F251"/>
    <w:lvl w:ilvl="0" w:tentative="0">
      <w:start w:val="1"/>
      <w:numFmt w:val="decimal"/>
      <w:suff w:val="nothing"/>
      <w:lvlText w:val="%1．"/>
      <w:lvlJc w:val="left"/>
      <w:pPr>
        <w:ind w:left="0" w:firstLine="400"/>
      </w:pPr>
      <w:rPr>
        <w:rFonts w:hint="default"/>
      </w:rPr>
    </w:lvl>
  </w:abstractNum>
  <w:abstractNum w:abstractNumId="59">
    <w:nsid w:val="56E424EE"/>
    <w:multiLevelType w:val="singleLevel"/>
    <w:tmpl w:val="56E424EE"/>
    <w:lvl w:ilvl="0" w:tentative="0">
      <w:start w:val="1"/>
      <w:numFmt w:val="chineseCounting"/>
      <w:suff w:val="nothing"/>
      <w:lvlText w:val="（%1）"/>
      <w:lvlJc w:val="left"/>
      <w:pPr>
        <w:ind w:left="0" w:firstLine="420"/>
      </w:pPr>
      <w:rPr>
        <w:rFonts w:hint="eastAsia"/>
      </w:rPr>
    </w:lvl>
  </w:abstractNum>
  <w:abstractNum w:abstractNumId="60">
    <w:nsid w:val="59195A34"/>
    <w:multiLevelType w:val="singleLevel"/>
    <w:tmpl w:val="59195A34"/>
    <w:lvl w:ilvl="0" w:tentative="0">
      <w:start w:val="1"/>
      <w:numFmt w:val="decimal"/>
      <w:suff w:val="nothing"/>
      <w:lvlText w:val="%1．"/>
      <w:lvlJc w:val="left"/>
      <w:pPr>
        <w:ind w:left="0" w:firstLine="400"/>
      </w:pPr>
      <w:rPr>
        <w:rFonts w:hint="default"/>
      </w:rPr>
    </w:lvl>
  </w:abstractNum>
  <w:abstractNum w:abstractNumId="61">
    <w:nsid w:val="5BE338C7"/>
    <w:multiLevelType w:val="singleLevel"/>
    <w:tmpl w:val="5BE338C7"/>
    <w:lvl w:ilvl="0" w:tentative="0">
      <w:start w:val="1"/>
      <w:numFmt w:val="decimal"/>
      <w:lvlText w:val="%1."/>
      <w:lvlJc w:val="left"/>
      <w:pPr>
        <w:ind w:left="425" w:hanging="425"/>
      </w:pPr>
      <w:rPr>
        <w:rFonts w:hint="default"/>
      </w:rPr>
    </w:lvl>
  </w:abstractNum>
  <w:abstractNum w:abstractNumId="62">
    <w:nsid w:val="5C41548B"/>
    <w:multiLevelType w:val="singleLevel"/>
    <w:tmpl w:val="5C41548B"/>
    <w:lvl w:ilvl="0" w:tentative="0">
      <w:start w:val="1"/>
      <w:numFmt w:val="decimal"/>
      <w:suff w:val="nothing"/>
      <w:lvlText w:val="%1．"/>
      <w:lvlJc w:val="left"/>
      <w:pPr>
        <w:ind w:left="0" w:firstLine="400"/>
      </w:pPr>
      <w:rPr>
        <w:rFonts w:hint="default"/>
      </w:rPr>
    </w:lvl>
  </w:abstractNum>
  <w:abstractNum w:abstractNumId="63">
    <w:nsid w:val="5E2E0718"/>
    <w:multiLevelType w:val="singleLevel"/>
    <w:tmpl w:val="5E2E0718"/>
    <w:lvl w:ilvl="0" w:tentative="0">
      <w:start w:val="1"/>
      <w:numFmt w:val="decimal"/>
      <w:suff w:val="nothing"/>
      <w:lvlText w:val="%1．"/>
      <w:lvlJc w:val="left"/>
      <w:pPr>
        <w:ind w:left="0" w:firstLine="400"/>
      </w:pPr>
      <w:rPr>
        <w:rFonts w:hint="default"/>
      </w:rPr>
    </w:lvl>
  </w:abstractNum>
  <w:abstractNum w:abstractNumId="64">
    <w:nsid w:val="636567A2"/>
    <w:multiLevelType w:val="multilevel"/>
    <w:tmpl w:val="636567A2"/>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65">
    <w:nsid w:val="647D2A7E"/>
    <w:multiLevelType w:val="singleLevel"/>
    <w:tmpl w:val="647D2A7E"/>
    <w:lvl w:ilvl="0" w:tentative="0">
      <w:start w:val="1"/>
      <w:numFmt w:val="chineseCounting"/>
      <w:suff w:val="nothing"/>
      <w:lvlText w:val="（%1）"/>
      <w:lvlJc w:val="left"/>
      <w:pPr>
        <w:ind w:left="0" w:firstLine="420"/>
      </w:pPr>
      <w:rPr>
        <w:rFonts w:hint="eastAsia"/>
      </w:rPr>
    </w:lvl>
  </w:abstractNum>
  <w:abstractNum w:abstractNumId="66">
    <w:nsid w:val="66DDD653"/>
    <w:multiLevelType w:val="singleLevel"/>
    <w:tmpl w:val="66DDD653"/>
    <w:lvl w:ilvl="0" w:tentative="0">
      <w:start w:val="1"/>
      <w:numFmt w:val="chineseCounting"/>
      <w:suff w:val="space"/>
      <w:lvlText w:val="第%1章"/>
      <w:lvlJc w:val="left"/>
      <w:rPr>
        <w:rFonts w:hint="eastAsia"/>
      </w:rPr>
    </w:lvl>
  </w:abstractNum>
  <w:abstractNum w:abstractNumId="67">
    <w:nsid w:val="69959515"/>
    <w:multiLevelType w:val="singleLevel"/>
    <w:tmpl w:val="69959515"/>
    <w:lvl w:ilvl="0" w:tentative="0">
      <w:start w:val="1"/>
      <w:numFmt w:val="decimal"/>
      <w:suff w:val="nothing"/>
      <w:lvlText w:val="%1．"/>
      <w:lvlJc w:val="left"/>
      <w:pPr>
        <w:ind w:left="0" w:firstLine="400"/>
      </w:pPr>
      <w:rPr>
        <w:rFonts w:hint="default"/>
      </w:rPr>
    </w:lvl>
  </w:abstractNum>
  <w:abstractNum w:abstractNumId="68">
    <w:nsid w:val="69F7834E"/>
    <w:multiLevelType w:val="singleLevel"/>
    <w:tmpl w:val="69F7834E"/>
    <w:lvl w:ilvl="0" w:tentative="0">
      <w:start w:val="1"/>
      <w:numFmt w:val="decimal"/>
      <w:lvlText w:val="%1)"/>
      <w:lvlJc w:val="left"/>
      <w:pPr>
        <w:ind w:left="425" w:hanging="425"/>
      </w:pPr>
      <w:rPr>
        <w:rFonts w:hint="default"/>
      </w:rPr>
    </w:lvl>
  </w:abstractNum>
  <w:abstractNum w:abstractNumId="69">
    <w:nsid w:val="7499F99D"/>
    <w:multiLevelType w:val="singleLevel"/>
    <w:tmpl w:val="7499F99D"/>
    <w:lvl w:ilvl="0" w:tentative="0">
      <w:start w:val="1"/>
      <w:numFmt w:val="decimal"/>
      <w:suff w:val="nothing"/>
      <w:lvlText w:val="%1．"/>
      <w:lvlJc w:val="left"/>
      <w:pPr>
        <w:ind w:left="0" w:firstLine="400"/>
      </w:pPr>
      <w:rPr>
        <w:rFonts w:hint="default"/>
      </w:rPr>
    </w:lvl>
  </w:abstractNum>
  <w:abstractNum w:abstractNumId="70">
    <w:nsid w:val="7B0962F7"/>
    <w:multiLevelType w:val="singleLevel"/>
    <w:tmpl w:val="7B0962F7"/>
    <w:lvl w:ilvl="0" w:tentative="0">
      <w:start w:val="1"/>
      <w:numFmt w:val="chineseCounting"/>
      <w:suff w:val="nothing"/>
      <w:lvlText w:val="%1、"/>
      <w:lvlJc w:val="left"/>
      <w:pPr>
        <w:ind w:left="0" w:firstLine="420"/>
      </w:pPr>
      <w:rPr>
        <w:rFonts w:hint="eastAsia"/>
      </w:rPr>
    </w:lvl>
  </w:abstractNum>
  <w:abstractNum w:abstractNumId="71">
    <w:nsid w:val="7C2DBB70"/>
    <w:multiLevelType w:val="singleLevel"/>
    <w:tmpl w:val="7C2DBB70"/>
    <w:lvl w:ilvl="0" w:tentative="0">
      <w:start w:val="1"/>
      <w:numFmt w:val="decimal"/>
      <w:suff w:val="nothing"/>
      <w:lvlText w:val="%1．"/>
      <w:lvlJc w:val="left"/>
      <w:pPr>
        <w:ind w:left="0" w:firstLine="400"/>
      </w:pPr>
      <w:rPr>
        <w:rFonts w:hint="default"/>
      </w:rPr>
    </w:lvl>
  </w:abstractNum>
  <w:abstractNum w:abstractNumId="72">
    <w:nsid w:val="7C7C45DA"/>
    <w:multiLevelType w:val="singleLevel"/>
    <w:tmpl w:val="7C7C45DA"/>
    <w:lvl w:ilvl="0" w:tentative="0">
      <w:start w:val="1"/>
      <w:numFmt w:val="chineseCounting"/>
      <w:suff w:val="nothing"/>
      <w:lvlText w:val="%1、"/>
      <w:lvlJc w:val="left"/>
      <w:pPr>
        <w:ind w:left="0" w:firstLine="420"/>
      </w:pPr>
      <w:rPr>
        <w:rFonts w:hint="eastAsia"/>
      </w:rPr>
    </w:lvl>
  </w:abstractNum>
  <w:abstractNum w:abstractNumId="73">
    <w:nsid w:val="7CBAA9D9"/>
    <w:multiLevelType w:val="singleLevel"/>
    <w:tmpl w:val="7CBAA9D9"/>
    <w:lvl w:ilvl="0" w:tentative="0">
      <w:start w:val="1"/>
      <w:numFmt w:val="decimal"/>
      <w:lvlText w:val="%1."/>
      <w:lvlJc w:val="left"/>
      <w:pPr>
        <w:ind w:left="425" w:hanging="425"/>
      </w:pPr>
      <w:rPr>
        <w:rFonts w:hint="default"/>
      </w:rPr>
    </w:lvl>
  </w:abstractNum>
  <w:abstractNum w:abstractNumId="74">
    <w:nsid w:val="7F5DB43A"/>
    <w:multiLevelType w:val="singleLevel"/>
    <w:tmpl w:val="7F5DB43A"/>
    <w:lvl w:ilvl="0" w:tentative="0">
      <w:start w:val="1"/>
      <w:numFmt w:val="decimalEnclosedCircleChinese"/>
      <w:suff w:val="nothing"/>
      <w:lvlText w:val="%1　"/>
      <w:lvlJc w:val="left"/>
      <w:pPr>
        <w:ind w:left="0" w:firstLine="400"/>
      </w:pPr>
      <w:rPr>
        <w:rFonts w:hint="eastAsia"/>
      </w:rPr>
    </w:lvl>
  </w:abstractNum>
  <w:num w:numId="1">
    <w:abstractNumId w:val="64"/>
  </w:num>
  <w:num w:numId="2">
    <w:abstractNumId w:val="38"/>
  </w:num>
  <w:num w:numId="3">
    <w:abstractNumId w:val="23"/>
  </w:num>
  <w:num w:numId="4">
    <w:abstractNumId w:val="4"/>
  </w:num>
  <w:num w:numId="5">
    <w:abstractNumId w:val="66"/>
  </w:num>
  <w:num w:numId="6">
    <w:abstractNumId w:val="25"/>
  </w:num>
  <w:num w:numId="7">
    <w:abstractNumId w:val="65"/>
  </w:num>
  <w:num w:numId="8">
    <w:abstractNumId w:val="9"/>
  </w:num>
  <w:num w:numId="9">
    <w:abstractNumId w:val="50"/>
  </w:num>
  <w:num w:numId="10">
    <w:abstractNumId w:val="54"/>
  </w:num>
  <w:num w:numId="11">
    <w:abstractNumId w:val="32"/>
  </w:num>
  <w:num w:numId="12">
    <w:abstractNumId w:val="60"/>
  </w:num>
  <w:num w:numId="13">
    <w:abstractNumId w:val="33"/>
  </w:num>
  <w:num w:numId="14">
    <w:abstractNumId w:val="20"/>
  </w:num>
  <w:num w:numId="15">
    <w:abstractNumId w:val="57"/>
  </w:num>
  <w:num w:numId="16">
    <w:abstractNumId w:val="13"/>
  </w:num>
  <w:num w:numId="17">
    <w:abstractNumId w:val="55"/>
  </w:num>
  <w:num w:numId="18">
    <w:abstractNumId w:val="28"/>
  </w:num>
  <w:num w:numId="19">
    <w:abstractNumId w:val="73"/>
  </w:num>
  <w:num w:numId="20">
    <w:abstractNumId w:val="10"/>
  </w:num>
  <w:num w:numId="21">
    <w:abstractNumId w:val="29"/>
  </w:num>
  <w:num w:numId="22">
    <w:abstractNumId w:val="71"/>
  </w:num>
  <w:num w:numId="23">
    <w:abstractNumId w:val="34"/>
  </w:num>
  <w:num w:numId="24">
    <w:abstractNumId w:val="44"/>
  </w:num>
  <w:num w:numId="25">
    <w:abstractNumId w:val="42"/>
  </w:num>
  <w:num w:numId="26">
    <w:abstractNumId w:val="51"/>
  </w:num>
  <w:num w:numId="27">
    <w:abstractNumId w:val="45"/>
  </w:num>
  <w:num w:numId="28">
    <w:abstractNumId w:val="40"/>
  </w:num>
  <w:num w:numId="29">
    <w:abstractNumId w:val="46"/>
  </w:num>
  <w:num w:numId="30">
    <w:abstractNumId w:val="2"/>
  </w:num>
  <w:num w:numId="31">
    <w:abstractNumId w:val="52"/>
  </w:num>
  <w:num w:numId="32">
    <w:abstractNumId w:val="24"/>
  </w:num>
  <w:num w:numId="33">
    <w:abstractNumId w:val="58"/>
  </w:num>
  <w:num w:numId="34">
    <w:abstractNumId w:val="36"/>
  </w:num>
  <w:num w:numId="35">
    <w:abstractNumId w:val="5"/>
  </w:num>
  <w:num w:numId="36">
    <w:abstractNumId w:val="53"/>
  </w:num>
  <w:num w:numId="37">
    <w:abstractNumId w:val="48"/>
  </w:num>
  <w:num w:numId="38">
    <w:abstractNumId w:val="26"/>
  </w:num>
  <w:num w:numId="39">
    <w:abstractNumId w:val="8"/>
  </w:num>
  <w:num w:numId="40">
    <w:abstractNumId w:val="67"/>
  </w:num>
  <w:num w:numId="41">
    <w:abstractNumId w:val="7"/>
  </w:num>
  <w:num w:numId="42">
    <w:abstractNumId w:val="69"/>
  </w:num>
  <w:num w:numId="43">
    <w:abstractNumId w:val="30"/>
  </w:num>
  <w:num w:numId="44">
    <w:abstractNumId w:val="56"/>
  </w:num>
  <w:num w:numId="45">
    <w:abstractNumId w:val="47"/>
  </w:num>
  <w:num w:numId="46">
    <w:abstractNumId w:val="70"/>
  </w:num>
  <w:num w:numId="47">
    <w:abstractNumId w:val="59"/>
  </w:num>
  <w:num w:numId="48">
    <w:abstractNumId w:val="41"/>
  </w:num>
  <w:num w:numId="49">
    <w:abstractNumId w:val="35"/>
  </w:num>
  <w:num w:numId="50">
    <w:abstractNumId w:val="31"/>
  </w:num>
  <w:num w:numId="51">
    <w:abstractNumId w:val="17"/>
  </w:num>
  <w:num w:numId="52">
    <w:abstractNumId w:val="27"/>
  </w:num>
  <w:num w:numId="53">
    <w:abstractNumId w:val="18"/>
  </w:num>
  <w:num w:numId="54">
    <w:abstractNumId w:val="11"/>
  </w:num>
  <w:num w:numId="55">
    <w:abstractNumId w:val="14"/>
  </w:num>
  <w:num w:numId="56">
    <w:abstractNumId w:val="43"/>
  </w:num>
  <w:num w:numId="57">
    <w:abstractNumId w:val="68"/>
  </w:num>
  <w:num w:numId="58">
    <w:abstractNumId w:val="16"/>
  </w:num>
  <w:num w:numId="59">
    <w:abstractNumId w:val="39"/>
  </w:num>
  <w:num w:numId="60">
    <w:abstractNumId w:val="74"/>
  </w:num>
  <w:num w:numId="61">
    <w:abstractNumId w:val="72"/>
  </w:num>
  <w:num w:numId="62">
    <w:abstractNumId w:val="12"/>
  </w:num>
  <w:num w:numId="63">
    <w:abstractNumId w:val="37"/>
  </w:num>
  <w:num w:numId="64">
    <w:abstractNumId w:val="21"/>
  </w:num>
  <w:num w:numId="65">
    <w:abstractNumId w:val="3"/>
  </w:num>
  <w:num w:numId="66">
    <w:abstractNumId w:val="1"/>
  </w:num>
  <w:num w:numId="67">
    <w:abstractNumId w:val="63"/>
  </w:num>
  <w:num w:numId="68">
    <w:abstractNumId w:val="19"/>
  </w:num>
  <w:num w:numId="69">
    <w:abstractNumId w:val="15"/>
  </w:num>
  <w:num w:numId="70">
    <w:abstractNumId w:val="49"/>
  </w:num>
  <w:num w:numId="71">
    <w:abstractNumId w:val="61"/>
  </w:num>
  <w:num w:numId="72">
    <w:abstractNumId w:val="22"/>
  </w:num>
  <w:num w:numId="73">
    <w:abstractNumId w:val="0"/>
  </w:num>
  <w:num w:numId="74">
    <w:abstractNumId w:val="62"/>
  </w:num>
  <w:num w:numId="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lNzliOTc2MTE2MWJhNTU3YjU5MjE4MDVkMGEwZDYifQ=="/>
  </w:docVars>
  <w:rsids>
    <w:rsidRoot w:val="685F2B0C"/>
    <w:rsid w:val="00001822"/>
    <w:rsid w:val="0000676C"/>
    <w:rsid w:val="000154B2"/>
    <w:rsid w:val="000220D4"/>
    <w:rsid w:val="000221EE"/>
    <w:rsid w:val="00030D77"/>
    <w:rsid w:val="00047C71"/>
    <w:rsid w:val="00063432"/>
    <w:rsid w:val="00067EBE"/>
    <w:rsid w:val="00071BA1"/>
    <w:rsid w:val="000740FA"/>
    <w:rsid w:val="00077950"/>
    <w:rsid w:val="0008211B"/>
    <w:rsid w:val="000839F2"/>
    <w:rsid w:val="00085621"/>
    <w:rsid w:val="00086AFA"/>
    <w:rsid w:val="00096A85"/>
    <w:rsid w:val="000A2B60"/>
    <w:rsid w:val="000B40AC"/>
    <w:rsid w:val="000B5655"/>
    <w:rsid w:val="000E4514"/>
    <w:rsid w:val="000F3BA6"/>
    <w:rsid w:val="001018F6"/>
    <w:rsid w:val="00102B98"/>
    <w:rsid w:val="001146EF"/>
    <w:rsid w:val="0011667D"/>
    <w:rsid w:val="00117F4A"/>
    <w:rsid w:val="001417A1"/>
    <w:rsid w:val="00145361"/>
    <w:rsid w:val="00147BA8"/>
    <w:rsid w:val="00153321"/>
    <w:rsid w:val="0015483F"/>
    <w:rsid w:val="00161CFF"/>
    <w:rsid w:val="00162814"/>
    <w:rsid w:val="00165EE9"/>
    <w:rsid w:val="0018393D"/>
    <w:rsid w:val="00186236"/>
    <w:rsid w:val="00194429"/>
    <w:rsid w:val="001951CA"/>
    <w:rsid w:val="001A746E"/>
    <w:rsid w:val="001B0177"/>
    <w:rsid w:val="001C6E10"/>
    <w:rsid w:val="001E3609"/>
    <w:rsid w:val="001F2BB7"/>
    <w:rsid w:val="00242E17"/>
    <w:rsid w:val="00255983"/>
    <w:rsid w:val="00291503"/>
    <w:rsid w:val="002A3D6E"/>
    <w:rsid w:val="002B1FBA"/>
    <w:rsid w:val="002F332C"/>
    <w:rsid w:val="00313AA9"/>
    <w:rsid w:val="00315916"/>
    <w:rsid w:val="0033459A"/>
    <w:rsid w:val="0033653F"/>
    <w:rsid w:val="00345785"/>
    <w:rsid w:val="00346D34"/>
    <w:rsid w:val="003617C1"/>
    <w:rsid w:val="00394AF1"/>
    <w:rsid w:val="003966CB"/>
    <w:rsid w:val="00397B4C"/>
    <w:rsid w:val="00397CA4"/>
    <w:rsid w:val="003C1122"/>
    <w:rsid w:val="003C4B41"/>
    <w:rsid w:val="003E7E4B"/>
    <w:rsid w:val="003F7037"/>
    <w:rsid w:val="003F7B6C"/>
    <w:rsid w:val="00401BB4"/>
    <w:rsid w:val="00402294"/>
    <w:rsid w:val="0040416F"/>
    <w:rsid w:val="00414893"/>
    <w:rsid w:val="00463728"/>
    <w:rsid w:val="00492D29"/>
    <w:rsid w:val="0049548B"/>
    <w:rsid w:val="004B2B21"/>
    <w:rsid w:val="004C1DEC"/>
    <w:rsid w:val="004C66BE"/>
    <w:rsid w:val="004D0F07"/>
    <w:rsid w:val="004D1BD8"/>
    <w:rsid w:val="004D436F"/>
    <w:rsid w:val="004F3491"/>
    <w:rsid w:val="00520055"/>
    <w:rsid w:val="005617DF"/>
    <w:rsid w:val="005727F6"/>
    <w:rsid w:val="0059431D"/>
    <w:rsid w:val="005B07E9"/>
    <w:rsid w:val="005C58B3"/>
    <w:rsid w:val="005D0DD1"/>
    <w:rsid w:val="005E7F5A"/>
    <w:rsid w:val="005F2A0C"/>
    <w:rsid w:val="00605C1B"/>
    <w:rsid w:val="00635DA5"/>
    <w:rsid w:val="0065048B"/>
    <w:rsid w:val="006620A8"/>
    <w:rsid w:val="00667357"/>
    <w:rsid w:val="0068223A"/>
    <w:rsid w:val="006825F8"/>
    <w:rsid w:val="00685525"/>
    <w:rsid w:val="006B119E"/>
    <w:rsid w:val="006D5C96"/>
    <w:rsid w:val="006D66AC"/>
    <w:rsid w:val="006F3843"/>
    <w:rsid w:val="00700776"/>
    <w:rsid w:val="00712BFA"/>
    <w:rsid w:val="00736F7D"/>
    <w:rsid w:val="0074420C"/>
    <w:rsid w:val="007477AD"/>
    <w:rsid w:val="00753AE0"/>
    <w:rsid w:val="00770A08"/>
    <w:rsid w:val="00794BBF"/>
    <w:rsid w:val="007B7BC7"/>
    <w:rsid w:val="007C3931"/>
    <w:rsid w:val="007C5DB8"/>
    <w:rsid w:val="007D2F69"/>
    <w:rsid w:val="007E144D"/>
    <w:rsid w:val="007E2BA8"/>
    <w:rsid w:val="007E4849"/>
    <w:rsid w:val="007F6447"/>
    <w:rsid w:val="00801D0B"/>
    <w:rsid w:val="00817A3B"/>
    <w:rsid w:val="008248FA"/>
    <w:rsid w:val="0084648D"/>
    <w:rsid w:val="00850346"/>
    <w:rsid w:val="00855F76"/>
    <w:rsid w:val="00873EC4"/>
    <w:rsid w:val="008856B6"/>
    <w:rsid w:val="0089019B"/>
    <w:rsid w:val="00897D8A"/>
    <w:rsid w:val="008A1232"/>
    <w:rsid w:val="008A3A13"/>
    <w:rsid w:val="008C4C8B"/>
    <w:rsid w:val="008C57E4"/>
    <w:rsid w:val="008E5B9C"/>
    <w:rsid w:val="008F059D"/>
    <w:rsid w:val="00905DA1"/>
    <w:rsid w:val="0091302F"/>
    <w:rsid w:val="009145F5"/>
    <w:rsid w:val="00945E5D"/>
    <w:rsid w:val="00962122"/>
    <w:rsid w:val="00987EDA"/>
    <w:rsid w:val="00990D69"/>
    <w:rsid w:val="00993BE7"/>
    <w:rsid w:val="009A0B24"/>
    <w:rsid w:val="009A1D63"/>
    <w:rsid w:val="009A44C5"/>
    <w:rsid w:val="009B5C47"/>
    <w:rsid w:val="009D46C4"/>
    <w:rsid w:val="009D6A9E"/>
    <w:rsid w:val="009E0B23"/>
    <w:rsid w:val="009E3FF8"/>
    <w:rsid w:val="009E4E54"/>
    <w:rsid w:val="009F3832"/>
    <w:rsid w:val="00A200F5"/>
    <w:rsid w:val="00A24D72"/>
    <w:rsid w:val="00A34D80"/>
    <w:rsid w:val="00A362B9"/>
    <w:rsid w:val="00A40A0F"/>
    <w:rsid w:val="00A51E78"/>
    <w:rsid w:val="00A5256C"/>
    <w:rsid w:val="00A52936"/>
    <w:rsid w:val="00A66D14"/>
    <w:rsid w:val="00A77741"/>
    <w:rsid w:val="00A85AC9"/>
    <w:rsid w:val="00A921FD"/>
    <w:rsid w:val="00A95853"/>
    <w:rsid w:val="00AA503A"/>
    <w:rsid w:val="00AB072A"/>
    <w:rsid w:val="00AB1596"/>
    <w:rsid w:val="00AB49B7"/>
    <w:rsid w:val="00AC6C12"/>
    <w:rsid w:val="00AD5F42"/>
    <w:rsid w:val="00AD724D"/>
    <w:rsid w:val="00AE5521"/>
    <w:rsid w:val="00AE66EB"/>
    <w:rsid w:val="00AF3DE0"/>
    <w:rsid w:val="00B020CF"/>
    <w:rsid w:val="00B03224"/>
    <w:rsid w:val="00B043C5"/>
    <w:rsid w:val="00B10199"/>
    <w:rsid w:val="00B12DF7"/>
    <w:rsid w:val="00B16FA7"/>
    <w:rsid w:val="00B2639F"/>
    <w:rsid w:val="00B3161E"/>
    <w:rsid w:val="00B34B47"/>
    <w:rsid w:val="00B47E53"/>
    <w:rsid w:val="00B72890"/>
    <w:rsid w:val="00BD1A27"/>
    <w:rsid w:val="00BE26CA"/>
    <w:rsid w:val="00C010CD"/>
    <w:rsid w:val="00C02BBA"/>
    <w:rsid w:val="00C061A0"/>
    <w:rsid w:val="00C124A2"/>
    <w:rsid w:val="00C16B68"/>
    <w:rsid w:val="00C21118"/>
    <w:rsid w:val="00C25A79"/>
    <w:rsid w:val="00C3129E"/>
    <w:rsid w:val="00C40128"/>
    <w:rsid w:val="00C50B60"/>
    <w:rsid w:val="00C51716"/>
    <w:rsid w:val="00C52A0D"/>
    <w:rsid w:val="00C55713"/>
    <w:rsid w:val="00C81C9D"/>
    <w:rsid w:val="00C8723C"/>
    <w:rsid w:val="00CA0697"/>
    <w:rsid w:val="00CA12F3"/>
    <w:rsid w:val="00CA2C6C"/>
    <w:rsid w:val="00CA728C"/>
    <w:rsid w:val="00CC4021"/>
    <w:rsid w:val="00CD0A72"/>
    <w:rsid w:val="00D0009A"/>
    <w:rsid w:val="00D14AD5"/>
    <w:rsid w:val="00D246D4"/>
    <w:rsid w:val="00D325EC"/>
    <w:rsid w:val="00D40771"/>
    <w:rsid w:val="00D64FC1"/>
    <w:rsid w:val="00D655A0"/>
    <w:rsid w:val="00D66731"/>
    <w:rsid w:val="00D81728"/>
    <w:rsid w:val="00DB1553"/>
    <w:rsid w:val="00DB4DE5"/>
    <w:rsid w:val="00DF0325"/>
    <w:rsid w:val="00DF7A01"/>
    <w:rsid w:val="00E029D9"/>
    <w:rsid w:val="00E10F08"/>
    <w:rsid w:val="00E11356"/>
    <w:rsid w:val="00E42018"/>
    <w:rsid w:val="00E45207"/>
    <w:rsid w:val="00E51C18"/>
    <w:rsid w:val="00E51E92"/>
    <w:rsid w:val="00EA3C27"/>
    <w:rsid w:val="00EC7618"/>
    <w:rsid w:val="00ED3BD8"/>
    <w:rsid w:val="00EE16CE"/>
    <w:rsid w:val="00EE453C"/>
    <w:rsid w:val="00F1568D"/>
    <w:rsid w:val="00F21898"/>
    <w:rsid w:val="00F33C9E"/>
    <w:rsid w:val="00F447A7"/>
    <w:rsid w:val="00F543F9"/>
    <w:rsid w:val="00F548C4"/>
    <w:rsid w:val="00F7155E"/>
    <w:rsid w:val="00F8124B"/>
    <w:rsid w:val="00F8666D"/>
    <w:rsid w:val="00F86AB9"/>
    <w:rsid w:val="00F92A7E"/>
    <w:rsid w:val="00FA6B35"/>
    <w:rsid w:val="00FB14A1"/>
    <w:rsid w:val="00FC05F2"/>
    <w:rsid w:val="00FC1E7F"/>
    <w:rsid w:val="00FC5C25"/>
    <w:rsid w:val="00FE5F42"/>
    <w:rsid w:val="00FF0C0B"/>
    <w:rsid w:val="00FF7A94"/>
    <w:rsid w:val="010742D5"/>
    <w:rsid w:val="010F7B98"/>
    <w:rsid w:val="01270A4D"/>
    <w:rsid w:val="01574761"/>
    <w:rsid w:val="016D3648"/>
    <w:rsid w:val="017E2A82"/>
    <w:rsid w:val="01851778"/>
    <w:rsid w:val="01A729ED"/>
    <w:rsid w:val="01AE11E6"/>
    <w:rsid w:val="01B729F0"/>
    <w:rsid w:val="01E96BCD"/>
    <w:rsid w:val="01F53A09"/>
    <w:rsid w:val="01FC105B"/>
    <w:rsid w:val="020A3DE7"/>
    <w:rsid w:val="020B511D"/>
    <w:rsid w:val="02222883"/>
    <w:rsid w:val="02A01370"/>
    <w:rsid w:val="02C62BA9"/>
    <w:rsid w:val="030A7540"/>
    <w:rsid w:val="034C79A8"/>
    <w:rsid w:val="035E327D"/>
    <w:rsid w:val="03624C71"/>
    <w:rsid w:val="037171B2"/>
    <w:rsid w:val="03723D7D"/>
    <w:rsid w:val="03A55E37"/>
    <w:rsid w:val="04071573"/>
    <w:rsid w:val="04357EE7"/>
    <w:rsid w:val="043E0AAC"/>
    <w:rsid w:val="044F2C90"/>
    <w:rsid w:val="04604D98"/>
    <w:rsid w:val="04762FE4"/>
    <w:rsid w:val="048361AE"/>
    <w:rsid w:val="048962DE"/>
    <w:rsid w:val="04C403D8"/>
    <w:rsid w:val="04DA625A"/>
    <w:rsid w:val="04EF476C"/>
    <w:rsid w:val="0528054A"/>
    <w:rsid w:val="05287815"/>
    <w:rsid w:val="052D2D41"/>
    <w:rsid w:val="0538232A"/>
    <w:rsid w:val="05445D91"/>
    <w:rsid w:val="0552233D"/>
    <w:rsid w:val="05782C43"/>
    <w:rsid w:val="057E335E"/>
    <w:rsid w:val="05903056"/>
    <w:rsid w:val="05B01B1D"/>
    <w:rsid w:val="05E17C80"/>
    <w:rsid w:val="05E55725"/>
    <w:rsid w:val="05E5760D"/>
    <w:rsid w:val="06066F04"/>
    <w:rsid w:val="06134407"/>
    <w:rsid w:val="06231BA7"/>
    <w:rsid w:val="0639353C"/>
    <w:rsid w:val="06474E34"/>
    <w:rsid w:val="06484055"/>
    <w:rsid w:val="065949DD"/>
    <w:rsid w:val="06653EC4"/>
    <w:rsid w:val="0699402C"/>
    <w:rsid w:val="069C64C8"/>
    <w:rsid w:val="06A0112C"/>
    <w:rsid w:val="06A81BEC"/>
    <w:rsid w:val="06D53145"/>
    <w:rsid w:val="06DC60DB"/>
    <w:rsid w:val="06F44F8B"/>
    <w:rsid w:val="06F84851"/>
    <w:rsid w:val="06FB0045"/>
    <w:rsid w:val="077360FE"/>
    <w:rsid w:val="077B362D"/>
    <w:rsid w:val="079A6E72"/>
    <w:rsid w:val="079F3EE7"/>
    <w:rsid w:val="07AA1AB7"/>
    <w:rsid w:val="07B7075F"/>
    <w:rsid w:val="07C51164"/>
    <w:rsid w:val="07DF5164"/>
    <w:rsid w:val="07E50580"/>
    <w:rsid w:val="07EE133F"/>
    <w:rsid w:val="08065B86"/>
    <w:rsid w:val="08274ACF"/>
    <w:rsid w:val="08310251"/>
    <w:rsid w:val="084703F0"/>
    <w:rsid w:val="086230FE"/>
    <w:rsid w:val="08696EDC"/>
    <w:rsid w:val="08705B4A"/>
    <w:rsid w:val="087A7753"/>
    <w:rsid w:val="08814CE3"/>
    <w:rsid w:val="088811CB"/>
    <w:rsid w:val="08884C10"/>
    <w:rsid w:val="08986544"/>
    <w:rsid w:val="08BB6846"/>
    <w:rsid w:val="08D55A74"/>
    <w:rsid w:val="08DC3175"/>
    <w:rsid w:val="08E052CE"/>
    <w:rsid w:val="08FB2C0B"/>
    <w:rsid w:val="08FD3C48"/>
    <w:rsid w:val="08FF6B9F"/>
    <w:rsid w:val="09161D47"/>
    <w:rsid w:val="093D3ABC"/>
    <w:rsid w:val="09714B90"/>
    <w:rsid w:val="09976943"/>
    <w:rsid w:val="09CE19BC"/>
    <w:rsid w:val="09E70A54"/>
    <w:rsid w:val="09E84CCD"/>
    <w:rsid w:val="0A051115"/>
    <w:rsid w:val="0A3A5C5D"/>
    <w:rsid w:val="0A555245"/>
    <w:rsid w:val="0A8528D5"/>
    <w:rsid w:val="0A8A0A3A"/>
    <w:rsid w:val="0AB52BD8"/>
    <w:rsid w:val="0AC30901"/>
    <w:rsid w:val="0AD56F1F"/>
    <w:rsid w:val="0AEA3C8C"/>
    <w:rsid w:val="0B1E0CF0"/>
    <w:rsid w:val="0B1E2894"/>
    <w:rsid w:val="0B3A637F"/>
    <w:rsid w:val="0B420671"/>
    <w:rsid w:val="0B616B0F"/>
    <w:rsid w:val="0B651F10"/>
    <w:rsid w:val="0BCE1370"/>
    <w:rsid w:val="0BCF240A"/>
    <w:rsid w:val="0BD84E5C"/>
    <w:rsid w:val="0BE34CD8"/>
    <w:rsid w:val="0BE83010"/>
    <w:rsid w:val="0BF47D4E"/>
    <w:rsid w:val="0BF86799"/>
    <w:rsid w:val="0C377F1F"/>
    <w:rsid w:val="0C516743"/>
    <w:rsid w:val="0C5D1BDB"/>
    <w:rsid w:val="0C7E2237"/>
    <w:rsid w:val="0C9C3187"/>
    <w:rsid w:val="0CA34118"/>
    <w:rsid w:val="0CA758F8"/>
    <w:rsid w:val="0CCD457A"/>
    <w:rsid w:val="0CD50236"/>
    <w:rsid w:val="0CED2959"/>
    <w:rsid w:val="0CEF3BF8"/>
    <w:rsid w:val="0D000761"/>
    <w:rsid w:val="0D3F7F2E"/>
    <w:rsid w:val="0D6344EC"/>
    <w:rsid w:val="0D705EC6"/>
    <w:rsid w:val="0D7446FA"/>
    <w:rsid w:val="0D870C14"/>
    <w:rsid w:val="0D8D29CB"/>
    <w:rsid w:val="0DB14507"/>
    <w:rsid w:val="0DB757B9"/>
    <w:rsid w:val="0DE545F3"/>
    <w:rsid w:val="0DE7555E"/>
    <w:rsid w:val="0E0316BF"/>
    <w:rsid w:val="0E072513"/>
    <w:rsid w:val="0E7007ED"/>
    <w:rsid w:val="0E932086"/>
    <w:rsid w:val="0F0D0D2C"/>
    <w:rsid w:val="0F385060"/>
    <w:rsid w:val="0F4D0444"/>
    <w:rsid w:val="0F58781F"/>
    <w:rsid w:val="0F5D7625"/>
    <w:rsid w:val="0F6147A2"/>
    <w:rsid w:val="0F86061B"/>
    <w:rsid w:val="0F8E2A37"/>
    <w:rsid w:val="0FC27645"/>
    <w:rsid w:val="0FD4645C"/>
    <w:rsid w:val="1007199F"/>
    <w:rsid w:val="101A3630"/>
    <w:rsid w:val="102C199B"/>
    <w:rsid w:val="103927E7"/>
    <w:rsid w:val="104542C5"/>
    <w:rsid w:val="105576A8"/>
    <w:rsid w:val="10AA4274"/>
    <w:rsid w:val="10BE1B05"/>
    <w:rsid w:val="10C64B9C"/>
    <w:rsid w:val="10CB7C05"/>
    <w:rsid w:val="10CF3933"/>
    <w:rsid w:val="10FD1FE7"/>
    <w:rsid w:val="110D3124"/>
    <w:rsid w:val="11344EBE"/>
    <w:rsid w:val="115B5C4F"/>
    <w:rsid w:val="117C20D6"/>
    <w:rsid w:val="118A244C"/>
    <w:rsid w:val="11A2124C"/>
    <w:rsid w:val="11B42FB1"/>
    <w:rsid w:val="11C20C82"/>
    <w:rsid w:val="11C8536C"/>
    <w:rsid w:val="11D0460B"/>
    <w:rsid w:val="11D230A2"/>
    <w:rsid w:val="11DE5C79"/>
    <w:rsid w:val="11E810CF"/>
    <w:rsid w:val="120B2B1C"/>
    <w:rsid w:val="12101447"/>
    <w:rsid w:val="121E5D7B"/>
    <w:rsid w:val="12215961"/>
    <w:rsid w:val="125F1817"/>
    <w:rsid w:val="128D04EC"/>
    <w:rsid w:val="12AA2320"/>
    <w:rsid w:val="12C61AC1"/>
    <w:rsid w:val="12DB53B1"/>
    <w:rsid w:val="12E81B94"/>
    <w:rsid w:val="13257C63"/>
    <w:rsid w:val="133707C2"/>
    <w:rsid w:val="13441C72"/>
    <w:rsid w:val="134C77A5"/>
    <w:rsid w:val="13731B39"/>
    <w:rsid w:val="13732205"/>
    <w:rsid w:val="137F0CE3"/>
    <w:rsid w:val="13B66833"/>
    <w:rsid w:val="13C30E6E"/>
    <w:rsid w:val="13C5138B"/>
    <w:rsid w:val="13FD01F3"/>
    <w:rsid w:val="140A0889"/>
    <w:rsid w:val="140C3E1C"/>
    <w:rsid w:val="141B13D5"/>
    <w:rsid w:val="141C741E"/>
    <w:rsid w:val="14234B06"/>
    <w:rsid w:val="145558C5"/>
    <w:rsid w:val="149D3DC9"/>
    <w:rsid w:val="149E1778"/>
    <w:rsid w:val="14AD4839"/>
    <w:rsid w:val="14DF5342"/>
    <w:rsid w:val="14E92EF8"/>
    <w:rsid w:val="14EA3450"/>
    <w:rsid w:val="14F22EE3"/>
    <w:rsid w:val="14F767B6"/>
    <w:rsid w:val="14F905C9"/>
    <w:rsid w:val="151A5FDD"/>
    <w:rsid w:val="151F76DA"/>
    <w:rsid w:val="15287486"/>
    <w:rsid w:val="15552317"/>
    <w:rsid w:val="15840A84"/>
    <w:rsid w:val="15AF033B"/>
    <w:rsid w:val="15B64E1F"/>
    <w:rsid w:val="15C012BB"/>
    <w:rsid w:val="15EA61EF"/>
    <w:rsid w:val="16031113"/>
    <w:rsid w:val="160C1329"/>
    <w:rsid w:val="16332D75"/>
    <w:rsid w:val="16502A53"/>
    <w:rsid w:val="16725D01"/>
    <w:rsid w:val="16777B9F"/>
    <w:rsid w:val="168F227C"/>
    <w:rsid w:val="169A575C"/>
    <w:rsid w:val="16AD5C51"/>
    <w:rsid w:val="16C11894"/>
    <w:rsid w:val="16C377D3"/>
    <w:rsid w:val="16E6609C"/>
    <w:rsid w:val="16FF7324"/>
    <w:rsid w:val="171F0861"/>
    <w:rsid w:val="1731374B"/>
    <w:rsid w:val="173B1F0E"/>
    <w:rsid w:val="173D243C"/>
    <w:rsid w:val="17534ECF"/>
    <w:rsid w:val="17DC7BF0"/>
    <w:rsid w:val="180053F0"/>
    <w:rsid w:val="18011D29"/>
    <w:rsid w:val="181011F1"/>
    <w:rsid w:val="185F5F75"/>
    <w:rsid w:val="186F483E"/>
    <w:rsid w:val="1870253F"/>
    <w:rsid w:val="188227EF"/>
    <w:rsid w:val="189220EE"/>
    <w:rsid w:val="189E4B47"/>
    <w:rsid w:val="18E36CFC"/>
    <w:rsid w:val="19000C71"/>
    <w:rsid w:val="19100701"/>
    <w:rsid w:val="192A06DB"/>
    <w:rsid w:val="193028F8"/>
    <w:rsid w:val="19800DAF"/>
    <w:rsid w:val="198218DD"/>
    <w:rsid w:val="198D1B84"/>
    <w:rsid w:val="198E4D52"/>
    <w:rsid w:val="19923F06"/>
    <w:rsid w:val="19AF2729"/>
    <w:rsid w:val="19E51688"/>
    <w:rsid w:val="19EE2A8B"/>
    <w:rsid w:val="19EE41FA"/>
    <w:rsid w:val="1A1830B1"/>
    <w:rsid w:val="1A2F4589"/>
    <w:rsid w:val="1A4C1D4A"/>
    <w:rsid w:val="1A587B66"/>
    <w:rsid w:val="1A5A6066"/>
    <w:rsid w:val="1A5B78E2"/>
    <w:rsid w:val="1A647FAE"/>
    <w:rsid w:val="1A777345"/>
    <w:rsid w:val="1A813E1F"/>
    <w:rsid w:val="1A8357FC"/>
    <w:rsid w:val="1A9F2503"/>
    <w:rsid w:val="1AA3486A"/>
    <w:rsid w:val="1ACE692C"/>
    <w:rsid w:val="1AE33064"/>
    <w:rsid w:val="1AF357C2"/>
    <w:rsid w:val="1B3B15AA"/>
    <w:rsid w:val="1B612DA1"/>
    <w:rsid w:val="1B6A3FBF"/>
    <w:rsid w:val="1B6E5D82"/>
    <w:rsid w:val="1B8C6B7B"/>
    <w:rsid w:val="1B9E29B4"/>
    <w:rsid w:val="1BB43FB4"/>
    <w:rsid w:val="1BBF65FB"/>
    <w:rsid w:val="1BC2281C"/>
    <w:rsid w:val="1BF657FB"/>
    <w:rsid w:val="1C374515"/>
    <w:rsid w:val="1C4235A6"/>
    <w:rsid w:val="1C4F222F"/>
    <w:rsid w:val="1CA4277D"/>
    <w:rsid w:val="1CA86A15"/>
    <w:rsid w:val="1CBB4247"/>
    <w:rsid w:val="1CFA7EEF"/>
    <w:rsid w:val="1CFB1146"/>
    <w:rsid w:val="1D1338EC"/>
    <w:rsid w:val="1D37062D"/>
    <w:rsid w:val="1D3B199E"/>
    <w:rsid w:val="1D5B6D2E"/>
    <w:rsid w:val="1D7414B2"/>
    <w:rsid w:val="1DBA2C3C"/>
    <w:rsid w:val="1DC84F72"/>
    <w:rsid w:val="1DEC270F"/>
    <w:rsid w:val="1DF10281"/>
    <w:rsid w:val="1E0672A1"/>
    <w:rsid w:val="1E0D3D46"/>
    <w:rsid w:val="1E206F43"/>
    <w:rsid w:val="1E331E3B"/>
    <w:rsid w:val="1E370C0B"/>
    <w:rsid w:val="1E4E212D"/>
    <w:rsid w:val="1E561B49"/>
    <w:rsid w:val="1E5A2895"/>
    <w:rsid w:val="1E5B5B74"/>
    <w:rsid w:val="1E847B39"/>
    <w:rsid w:val="1E860C88"/>
    <w:rsid w:val="1E870645"/>
    <w:rsid w:val="1E9F5B8B"/>
    <w:rsid w:val="1EAD27E8"/>
    <w:rsid w:val="1EC35424"/>
    <w:rsid w:val="1EC9573B"/>
    <w:rsid w:val="1ED462A6"/>
    <w:rsid w:val="1ED514ED"/>
    <w:rsid w:val="1ED734FA"/>
    <w:rsid w:val="1EDB21B2"/>
    <w:rsid w:val="1EE21D29"/>
    <w:rsid w:val="1EE72005"/>
    <w:rsid w:val="1F2B54B6"/>
    <w:rsid w:val="1F2F246F"/>
    <w:rsid w:val="1F3E1D5D"/>
    <w:rsid w:val="1F6E3177"/>
    <w:rsid w:val="1F6F04BA"/>
    <w:rsid w:val="1F8129BD"/>
    <w:rsid w:val="1FF72257"/>
    <w:rsid w:val="20027E74"/>
    <w:rsid w:val="2024650C"/>
    <w:rsid w:val="204663FA"/>
    <w:rsid w:val="20624FA2"/>
    <w:rsid w:val="206A1137"/>
    <w:rsid w:val="20835E3C"/>
    <w:rsid w:val="2084196D"/>
    <w:rsid w:val="2091237A"/>
    <w:rsid w:val="20AA1825"/>
    <w:rsid w:val="20BB1EB1"/>
    <w:rsid w:val="21144C23"/>
    <w:rsid w:val="212A75E7"/>
    <w:rsid w:val="214E67BA"/>
    <w:rsid w:val="21593740"/>
    <w:rsid w:val="215C6880"/>
    <w:rsid w:val="215E5736"/>
    <w:rsid w:val="2163612C"/>
    <w:rsid w:val="217039C6"/>
    <w:rsid w:val="21754AF5"/>
    <w:rsid w:val="217E7700"/>
    <w:rsid w:val="218158E0"/>
    <w:rsid w:val="218F0080"/>
    <w:rsid w:val="21BA53F5"/>
    <w:rsid w:val="21E169EA"/>
    <w:rsid w:val="220B781D"/>
    <w:rsid w:val="2211254C"/>
    <w:rsid w:val="2220525E"/>
    <w:rsid w:val="2231758A"/>
    <w:rsid w:val="224449F5"/>
    <w:rsid w:val="225D16C1"/>
    <w:rsid w:val="2266010D"/>
    <w:rsid w:val="226E674C"/>
    <w:rsid w:val="226F619C"/>
    <w:rsid w:val="22712A0D"/>
    <w:rsid w:val="22734646"/>
    <w:rsid w:val="22B609EC"/>
    <w:rsid w:val="22C23296"/>
    <w:rsid w:val="22CF4727"/>
    <w:rsid w:val="22E35CB6"/>
    <w:rsid w:val="22EA1840"/>
    <w:rsid w:val="22F91025"/>
    <w:rsid w:val="231A5582"/>
    <w:rsid w:val="23280561"/>
    <w:rsid w:val="2330019D"/>
    <w:rsid w:val="2333163C"/>
    <w:rsid w:val="235E2799"/>
    <w:rsid w:val="23666663"/>
    <w:rsid w:val="23693289"/>
    <w:rsid w:val="23795972"/>
    <w:rsid w:val="239147E1"/>
    <w:rsid w:val="23BB34F7"/>
    <w:rsid w:val="23CB333E"/>
    <w:rsid w:val="23F91B39"/>
    <w:rsid w:val="242E5E97"/>
    <w:rsid w:val="243A5F83"/>
    <w:rsid w:val="244702BD"/>
    <w:rsid w:val="247E0687"/>
    <w:rsid w:val="24A20628"/>
    <w:rsid w:val="24B45D14"/>
    <w:rsid w:val="24C90F76"/>
    <w:rsid w:val="24D557D5"/>
    <w:rsid w:val="24FE0E05"/>
    <w:rsid w:val="25025E1D"/>
    <w:rsid w:val="25171BA0"/>
    <w:rsid w:val="251B18C1"/>
    <w:rsid w:val="25222461"/>
    <w:rsid w:val="25501E67"/>
    <w:rsid w:val="25524FA6"/>
    <w:rsid w:val="25532EC3"/>
    <w:rsid w:val="25925077"/>
    <w:rsid w:val="25AF3989"/>
    <w:rsid w:val="25B24E51"/>
    <w:rsid w:val="25C73339"/>
    <w:rsid w:val="25C86149"/>
    <w:rsid w:val="25CD69F4"/>
    <w:rsid w:val="25D62822"/>
    <w:rsid w:val="25F16B68"/>
    <w:rsid w:val="260663DB"/>
    <w:rsid w:val="262F0558"/>
    <w:rsid w:val="263522B0"/>
    <w:rsid w:val="26546373"/>
    <w:rsid w:val="26841C6E"/>
    <w:rsid w:val="26934343"/>
    <w:rsid w:val="26B424FB"/>
    <w:rsid w:val="26B73D93"/>
    <w:rsid w:val="26D23F28"/>
    <w:rsid w:val="26E62133"/>
    <w:rsid w:val="277F68D2"/>
    <w:rsid w:val="27870FB2"/>
    <w:rsid w:val="278D459E"/>
    <w:rsid w:val="278F0AAA"/>
    <w:rsid w:val="27B84345"/>
    <w:rsid w:val="27CB7A47"/>
    <w:rsid w:val="27CF31D6"/>
    <w:rsid w:val="27E53B63"/>
    <w:rsid w:val="27F52A10"/>
    <w:rsid w:val="280E4470"/>
    <w:rsid w:val="283A36C6"/>
    <w:rsid w:val="283E405F"/>
    <w:rsid w:val="28C127F0"/>
    <w:rsid w:val="28D9203E"/>
    <w:rsid w:val="295B4620"/>
    <w:rsid w:val="295E1181"/>
    <w:rsid w:val="298330BD"/>
    <w:rsid w:val="29B00B02"/>
    <w:rsid w:val="29B661A7"/>
    <w:rsid w:val="29DB1483"/>
    <w:rsid w:val="29DC3277"/>
    <w:rsid w:val="29FA460F"/>
    <w:rsid w:val="2A057B9E"/>
    <w:rsid w:val="2A0B6D48"/>
    <w:rsid w:val="2A397DF9"/>
    <w:rsid w:val="2A4411C6"/>
    <w:rsid w:val="2A7C5019"/>
    <w:rsid w:val="2A8E3410"/>
    <w:rsid w:val="2A95425F"/>
    <w:rsid w:val="2ABE55CE"/>
    <w:rsid w:val="2AC017A8"/>
    <w:rsid w:val="2B127E2F"/>
    <w:rsid w:val="2B3677A4"/>
    <w:rsid w:val="2B7F5D7B"/>
    <w:rsid w:val="2B830867"/>
    <w:rsid w:val="2B9073EB"/>
    <w:rsid w:val="2BAD682D"/>
    <w:rsid w:val="2BC41873"/>
    <w:rsid w:val="2BC45AC1"/>
    <w:rsid w:val="2BEE5A9C"/>
    <w:rsid w:val="2C275720"/>
    <w:rsid w:val="2C64232C"/>
    <w:rsid w:val="2C6B41B7"/>
    <w:rsid w:val="2CAF7AE9"/>
    <w:rsid w:val="2CB550EC"/>
    <w:rsid w:val="2CBB7012"/>
    <w:rsid w:val="2CDD6C94"/>
    <w:rsid w:val="2CF947D9"/>
    <w:rsid w:val="2CFA06CC"/>
    <w:rsid w:val="2D3F090C"/>
    <w:rsid w:val="2D473273"/>
    <w:rsid w:val="2D814A75"/>
    <w:rsid w:val="2D8167C0"/>
    <w:rsid w:val="2D9C1D44"/>
    <w:rsid w:val="2DAB174B"/>
    <w:rsid w:val="2DAC3053"/>
    <w:rsid w:val="2DB40F04"/>
    <w:rsid w:val="2DB55317"/>
    <w:rsid w:val="2DD04A2C"/>
    <w:rsid w:val="2DE81100"/>
    <w:rsid w:val="2E073EDF"/>
    <w:rsid w:val="2E1A2D69"/>
    <w:rsid w:val="2E1C2312"/>
    <w:rsid w:val="2E450C2F"/>
    <w:rsid w:val="2E617376"/>
    <w:rsid w:val="2E925B8D"/>
    <w:rsid w:val="2ED13170"/>
    <w:rsid w:val="2F011E82"/>
    <w:rsid w:val="2F415E64"/>
    <w:rsid w:val="2F60404A"/>
    <w:rsid w:val="2F6858EF"/>
    <w:rsid w:val="2F7674B4"/>
    <w:rsid w:val="2FC51659"/>
    <w:rsid w:val="2FCB2DE8"/>
    <w:rsid w:val="30082C17"/>
    <w:rsid w:val="301A6B35"/>
    <w:rsid w:val="30385048"/>
    <w:rsid w:val="30400DE6"/>
    <w:rsid w:val="3046030C"/>
    <w:rsid w:val="30577166"/>
    <w:rsid w:val="307048B1"/>
    <w:rsid w:val="307153DD"/>
    <w:rsid w:val="30A8450A"/>
    <w:rsid w:val="30B147B2"/>
    <w:rsid w:val="30FE64F4"/>
    <w:rsid w:val="310D00D7"/>
    <w:rsid w:val="314A5A0E"/>
    <w:rsid w:val="31673989"/>
    <w:rsid w:val="31682139"/>
    <w:rsid w:val="319957F6"/>
    <w:rsid w:val="31C036D0"/>
    <w:rsid w:val="31C81974"/>
    <w:rsid w:val="31C90302"/>
    <w:rsid w:val="31D953B1"/>
    <w:rsid w:val="31EC1741"/>
    <w:rsid w:val="31EF6CF0"/>
    <w:rsid w:val="31F7619B"/>
    <w:rsid w:val="321F0CAE"/>
    <w:rsid w:val="321F3505"/>
    <w:rsid w:val="322B0318"/>
    <w:rsid w:val="32494369"/>
    <w:rsid w:val="324C0B81"/>
    <w:rsid w:val="32507DBD"/>
    <w:rsid w:val="32517D1E"/>
    <w:rsid w:val="329B0438"/>
    <w:rsid w:val="32B261A3"/>
    <w:rsid w:val="32B63AAA"/>
    <w:rsid w:val="32DC6B74"/>
    <w:rsid w:val="33091096"/>
    <w:rsid w:val="33232830"/>
    <w:rsid w:val="3341533E"/>
    <w:rsid w:val="335D5C6D"/>
    <w:rsid w:val="33843CA1"/>
    <w:rsid w:val="33881ABE"/>
    <w:rsid w:val="33945FB2"/>
    <w:rsid w:val="33FD2CF5"/>
    <w:rsid w:val="341A30B7"/>
    <w:rsid w:val="3443530F"/>
    <w:rsid w:val="344D764F"/>
    <w:rsid w:val="34690455"/>
    <w:rsid w:val="347248DD"/>
    <w:rsid w:val="347E631A"/>
    <w:rsid w:val="34886784"/>
    <w:rsid w:val="34A90E05"/>
    <w:rsid w:val="34AA1765"/>
    <w:rsid w:val="34AA6BD7"/>
    <w:rsid w:val="34D7618A"/>
    <w:rsid w:val="34FE589B"/>
    <w:rsid w:val="3529493E"/>
    <w:rsid w:val="35330B48"/>
    <w:rsid w:val="353B29E7"/>
    <w:rsid w:val="354E7EDA"/>
    <w:rsid w:val="355D4407"/>
    <w:rsid w:val="3562042D"/>
    <w:rsid w:val="3577582E"/>
    <w:rsid w:val="35776DE5"/>
    <w:rsid w:val="35850AE6"/>
    <w:rsid w:val="35A74497"/>
    <w:rsid w:val="35A74E2B"/>
    <w:rsid w:val="35A94199"/>
    <w:rsid w:val="35B05630"/>
    <w:rsid w:val="35C33EC5"/>
    <w:rsid w:val="35C81BD5"/>
    <w:rsid w:val="35CF6801"/>
    <w:rsid w:val="35DE1818"/>
    <w:rsid w:val="35ED404E"/>
    <w:rsid w:val="36243C2B"/>
    <w:rsid w:val="363F2605"/>
    <w:rsid w:val="36475152"/>
    <w:rsid w:val="365674EF"/>
    <w:rsid w:val="366E5884"/>
    <w:rsid w:val="367134DE"/>
    <w:rsid w:val="367729D2"/>
    <w:rsid w:val="36787E34"/>
    <w:rsid w:val="3692435D"/>
    <w:rsid w:val="36D0238C"/>
    <w:rsid w:val="36D16DB7"/>
    <w:rsid w:val="36F35ECC"/>
    <w:rsid w:val="36FC06E4"/>
    <w:rsid w:val="370B0055"/>
    <w:rsid w:val="373B5B82"/>
    <w:rsid w:val="374976F8"/>
    <w:rsid w:val="37533A9C"/>
    <w:rsid w:val="375D2DED"/>
    <w:rsid w:val="377E15B0"/>
    <w:rsid w:val="37821544"/>
    <w:rsid w:val="3787676D"/>
    <w:rsid w:val="37953793"/>
    <w:rsid w:val="37977E1F"/>
    <w:rsid w:val="37A53093"/>
    <w:rsid w:val="37E702EC"/>
    <w:rsid w:val="38727414"/>
    <w:rsid w:val="38AF4648"/>
    <w:rsid w:val="38B3392D"/>
    <w:rsid w:val="38B37C06"/>
    <w:rsid w:val="38CF5396"/>
    <w:rsid w:val="38E50A97"/>
    <w:rsid w:val="391E370A"/>
    <w:rsid w:val="392F5095"/>
    <w:rsid w:val="393C7ED6"/>
    <w:rsid w:val="39465433"/>
    <w:rsid w:val="39581B4E"/>
    <w:rsid w:val="395B6912"/>
    <w:rsid w:val="396271DB"/>
    <w:rsid w:val="39A56F77"/>
    <w:rsid w:val="39BE4A11"/>
    <w:rsid w:val="39EB4452"/>
    <w:rsid w:val="3A27520A"/>
    <w:rsid w:val="3A3F6C87"/>
    <w:rsid w:val="3A40527C"/>
    <w:rsid w:val="3A465FD4"/>
    <w:rsid w:val="3A956A72"/>
    <w:rsid w:val="3AD70862"/>
    <w:rsid w:val="3ADE5B44"/>
    <w:rsid w:val="3AE76311"/>
    <w:rsid w:val="3AF4740A"/>
    <w:rsid w:val="3B1109C9"/>
    <w:rsid w:val="3B2552D7"/>
    <w:rsid w:val="3B3F7D03"/>
    <w:rsid w:val="3B714455"/>
    <w:rsid w:val="3B844B5E"/>
    <w:rsid w:val="3B970D6B"/>
    <w:rsid w:val="3BDD7DCA"/>
    <w:rsid w:val="3BE51125"/>
    <w:rsid w:val="3BE90506"/>
    <w:rsid w:val="3BEB6832"/>
    <w:rsid w:val="3BF178CC"/>
    <w:rsid w:val="3BF27269"/>
    <w:rsid w:val="3BFA2E9E"/>
    <w:rsid w:val="3C40766B"/>
    <w:rsid w:val="3C476B61"/>
    <w:rsid w:val="3C583A62"/>
    <w:rsid w:val="3C813EBD"/>
    <w:rsid w:val="3C92223A"/>
    <w:rsid w:val="3C925C0E"/>
    <w:rsid w:val="3CA24375"/>
    <w:rsid w:val="3CB702EA"/>
    <w:rsid w:val="3CBD35C8"/>
    <w:rsid w:val="3CC24029"/>
    <w:rsid w:val="3CCF0F73"/>
    <w:rsid w:val="3CE437F4"/>
    <w:rsid w:val="3D386985"/>
    <w:rsid w:val="3D3906B1"/>
    <w:rsid w:val="3D425FEC"/>
    <w:rsid w:val="3D584E9B"/>
    <w:rsid w:val="3D880E45"/>
    <w:rsid w:val="3D9C69C1"/>
    <w:rsid w:val="3DA0424A"/>
    <w:rsid w:val="3DA419D7"/>
    <w:rsid w:val="3DDA6370"/>
    <w:rsid w:val="3DDD2C1B"/>
    <w:rsid w:val="3DFF5060"/>
    <w:rsid w:val="3E136870"/>
    <w:rsid w:val="3E5D5F3B"/>
    <w:rsid w:val="3E615282"/>
    <w:rsid w:val="3E811CC0"/>
    <w:rsid w:val="3E8429B9"/>
    <w:rsid w:val="3E886F46"/>
    <w:rsid w:val="3EBE7D18"/>
    <w:rsid w:val="3ECC547A"/>
    <w:rsid w:val="3EE01AD6"/>
    <w:rsid w:val="3EE5303E"/>
    <w:rsid w:val="3F1A1718"/>
    <w:rsid w:val="3F2A2A20"/>
    <w:rsid w:val="3F4E5041"/>
    <w:rsid w:val="3F506818"/>
    <w:rsid w:val="3FE36C1C"/>
    <w:rsid w:val="3FEB19D5"/>
    <w:rsid w:val="3FF15ABF"/>
    <w:rsid w:val="40340044"/>
    <w:rsid w:val="404E6731"/>
    <w:rsid w:val="40661E5E"/>
    <w:rsid w:val="406E45AD"/>
    <w:rsid w:val="407C0CAD"/>
    <w:rsid w:val="40924D64"/>
    <w:rsid w:val="40963A57"/>
    <w:rsid w:val="40B652F6"/>
    <w:rsid w:val="40D16C5D"/>
    <w:rsid w:val="40DA296D"/>
    <w:rsid w:val="4105404B"/>
    <w:rsid w:val="410A3110"/>
    <w:rsid w:val="41310CA2"/>
    <w:rsid w:val="417E2272"/>
    <w:rsid w:val="41893506"/>
    <w:rsid w:val="419915A4"/>
    <w:rsid w:val="41A82FD1"/>
    <w:rsid w:val="41C35995"/>
    <w:rsid w:val="41CF7D38"/>
    <w:rsid w:val="41FC4A89"/>
    <w:rsid w:val="41FD742F"/>
    <w:rsid w:val="420F1D94"/>
    <w:rsid w:val="422C362E"/>
    <w:rsid w:val="423E5ED2"/>
    <w:rsid w:val="424441F1"/>
    <w:rsid w:val="425E0F00"/>
    <w:rsid w:val="426D5149"/>
    <w:rsid w:val="4277631F"/>
    <w:rsid w:val="427E3E3A"/>
    <w:rsid w:val="42832864"/>
    <w:rsid w:val="428917B7"/>
    <w:rsid w:val="42B93A3B"/>
    <w:rsid w:val="42D50618"/>
    <w:rsid w:val="42F1595A"/>
    <w:rsid w:val="42F45676"/>
    <w:rsid w:val="430B7DA4"/>
    <w:rsid w:val="430D4AC0"/>
    <w:rsid w:val="43121ED0"/>
    <w:rsid w:val="431E047F"/>
    <w:rsid w:val="431E65EF"/>
    <w:rsid w:val="43416FE9"/>
    <w:rsid w:val="435A4BBF"/>
    <w:rsid w:val="436A6565"/>
    <w:rsid w:val="437A019F"/>
    <w:rsid w:val="43891F34"/>
    <w:rsid w:val="43B21221"/>
    <w:rsid w:val="43C63987"/>
    <w:rsid w:val="43FB7AE7"/>
    <w:rsid w:val="4400649E"/>
    <w:rsid w:val="441426C6"/>
    <w:rsid w:val="441466E5"/>
    <w:rsid w:val="441E3A5B"/>
    <w:rsid w:val="4421734C"/>
    <w:rsid w:val="44437D45"/>
    <w:rsid w:val="44460A9F"/>
    <w:rsid w:val="4478624B"/>
    <w:rsid w:val="4493367B"/>
    <w:rsid w:val="44A72843"/>
    <w:rsid w:val="44AB74B4"/>
    <w:rsid w:val="44B2771E"/>
    <w:rsid w:val="44B8368E"/>
    <w:rsid w:val="452905F3"/>
    <w:rsid w:val="4531085A"/>
    <w:rsid w:val="456A35B3"/>
    <w:rsid w:val="457A09BE"/>
    <w:rsid w:val="459E711B"/>
    <w:rsid w:val="45A45439"/>
    <w:rsid w:val="45B4675B"/>
    <w:rsid w:val="45CA7348"/>
    <w:rsid w:val="45CB72CE"/>
    <w:rsid w:val="461F4864"/>
    <w:rsid w:val="462B6DAB"/>
    <w:rsid w:val="46977D08"/>
    <w:rsid w:val="469B5592"/>
    <w:rsid w:val="46A5400A"/>
    <w:rsid w:val="46C67C71"/>
    <w:rsid w:val="46DB6342"/>
    <w:rsid w:val="46F207EA"/>
    <w:rsid w:val="46F40267"/>
    <w:rsid w:val="46F87058"/>
    <w:rsid w:val="47283388"/>
    <w:rsid w:val="473355C0"/>
    <w:rsid w:val="4750618B"/>
    <w:rsid w:val="4771556D"/>
    <w:rsid w:val="477A20CD"/>
    <w:rsid w:val="47C35102"/>
    <w:rsid w:val="47C90408"/>
    <w:rsid w:val="47CA3491"/>
    <w:rsid w:val="47DE0285"/>
    <w:rsid w:val="47EA0372"/>
    <w:rsid w:val="47F77566"/>
    <w:rsid w:val="48131737"/>
    <w:rsid w:val="481C1F20"/>
    <w:rsid w:val="482932B2"/>
    <w:rsid w:val="48353471"/>
    <w:rsid w:val="48452D6C"/>
    <w:rsid w:val="48490177"/>
    <w:rsid w:val="48547396"/>
    <w:rsid w:val="48734131"/>
    <w:rsid w:val="487B1A21"/>
    <w:rsid w:val="48801F0A"/>
    <w:rsid w:val="488F069E"/>
    <w:rsid w:val="489C4879"/>
    <w:rsid w:val="489C7EA5"/>
    <w:rsid w:val="49276E58"/>
    <w:rsid w:val="494B4338"/>
    <w:rsid w:val="497C5511"/>
    <w:rsid w:val="49A779DD"/>
    <w:rsid w:val="49B65DC9"/>
    <w:rsid w:val="4A131AB1"/>
    <w:rsid w:val="4A191CD0"/>
    <w:rsid w:val="4A200F8B"/>
    <w:rsid w:val="4A34760C"/>
    <w:rsid w:val="4A64259A"/>
    <w:rsid w:val="4AA4128B"/>
    <w:rsid w:val="4AA658AC"/>
    <w:rsid w:val="4AAA7028"/>
    <w:rsid w:val="4AD50D4A"/>
    <w:rsid w:val="4ADC75C4"/>
    <w:rsid w:val="4B2977E3"/>
    <w:rsid w:val="4B3A3263"/>
    <w:rsid w:val="4B404F96"/>
    <w:rsid w:val="4B4D6D80"/>
    <w:rsid w:val="4B5F395F"/>
    <w:rsid w:val="4BB73A13"/>
    <w:rsid w:val="4BE22955"/>
    <w:rsid w:val="4C491FB6"/>
    <w:rsid w:val="4C60411D"/>
    <w:rsid w:val="4C8E383F"/>
    <w:rsid w:val="4C9743B6"/>
    <w:rsid w:val="4CA56DBD"/>
    <w:rsid w:val="4CCD70EB"/>
    <w:rsid w:val="4CD15334"/>
    <w:rsid w:val="4CD60F91"/>
    <w:rsid w:val="4CDC2AC2"/>
    <w:rsid w:val="4CDE204D"/>
    <w:rsid w:val="4CEF194A"/>
    <w:rsid w:val="4D123D13"/>
    <w:rsid w:val="4D4473CA"/>
    <w:rsid w:val="4D594184"/>
    <w:rsid w:val="4D670A85"/>
    <w:rsid w:val="4D80617B"/>
    <w:rsid w:val="4D806473"/>
    <w:rsid w:val="4DB87F6B"/>
    <w:rsid w:val="4DC608A6"/>
    <w:rsid w:val="4DEC516B"/>
    <w:rsid w:val="4DF85FC0"/>
    <w:rsid w:val="4E1074C8"/>
    <w:rsid w:val="4E2B1D2E"/>
    <w:rsid w:val="4E527CB0"/>
    <w:rsid w:val="4E6F1EF6"/>
    <w:rsid w:val="4E7B029B"/>
    <w:rsid w:val="4E9C2A45"/>
    <w:rsid w:val="4EC1086C"/>
    <w:rsid w:val="4ECB07EA"/>
    <w:rsid w:val="4EDA18B9"/>
    <w:rsid w:val="4F216F20"/>
    <w:rsid w:val="4F486B2E"/>
    <w:rsid w:val="4F573543"/>
    <w:rsid w:val="4F6366D6"/>
    <w:rsid w:val="4F6D467A"/>
    <w:rsid w:val="4F6F04ED"/>
    <w:rsid w:val="4F8A573F"/>
    <w:rsid w:val="4FA710E2"/>
    <w:rsid w:val="4FC13833"/>
    <w:rsid w:val="4FCC63B9"/>
    <w:rsid w:val="4FED507D"/>
    <w:rsid w:val="4FFB62E9"/>
    <w:rsid w:val="501C4E89"/>
    <w:rsid w:val="502B325D"/>
    <w:rsid w:val="505D795E"/>
    <w:rsid w:val="50630959"/>
    <w:rsid w:val="50D37CC2"/>
    <w:rsid w:val="50DD3BA3"/>
    <w:rsid w:val="50E61CAB"/>
    <w:rsid w:val="50E8074E"/>
    <w:rsid w:val="5132754D"/>
    <w:rsid w:val="513564CC"/>
    <w:rsid w:val="514E3A09"/>
    <w:rsid w:val="517C3AF1"/>
    <w:rsid w:val="51915B3D"/>
    <w:rsid w:val="519F5121"/>
    <w:rsid w:val="51EC25C1"/>
    <w:rsid w:val="5229273F"/>
    <w:rsid w:val="52547228"/>
    <w:rsid w:val="5261700D"/>
    <w:rsid w:val="52794D53"/>
    <w:rsid w:val="529432E6"/>
    <w:rsid w:val="529C40E3"/>
    <w:rsid w:val="52A8026E"/>
    <w:rsid w:val="52C56B9D"/>
    <w:rsid w:val="52EC7710"/>
    <w:rsid w:val="52F24D5C"/>
    <w:rsid w:val="532C197B"/>
    <w:rsid w:val="534C6115"/>
    <w:rsid w:val="53526154"/>
    <w:rsid w:val="53561F88"/>
    <w:rsid w:val="536B5C40"/>
    <w:rsid w:val="53A41C0C"/>
    <w:rsid w:val="53BC34C4"/>
    <w:rsid w:val="53CE29B7"/>
    <w:rsid w:val="53E93F16"/>
    <w:rsid w:val="53F04BF7"/>
    <w:rsid w:val="53F0606D"/>
    <w:rsid w:val="540337E7"/>
    <w:rsid w:val="54142032"/>
    <w:rsid w:val="54143B82"/>
    <w:rsid w:val="54451376"/>
    <w:rsid w:val="5445275B"/>
    <w:rsid w:val="54680986"/>
    <w:rsid w:val="54776BE8"/>
    <w:rsid w:val="547B2C44"/>
    <w:rsid w:val="547F7066"/>
    <w:rsid w:val="548C0083"/>
    <w:rsid w:val="54AB5420"/>
    <w:rsid w:val="54AE7C72"/>
    <w:rsid w:val="54BC10AE"/>
    <w:rsid w:val="54DE257B"/>
    <w:rsid w:val="54F82DE2"/>
    <w:rsid w:val="55091415"/>
    <w:rsid w:val="55124B31"/>
    <w:rsid w:val="5533415E"/>
    <w:rsid w:val="553D5A1E"/>
    <w:rsid w:val="555B4C1C"/>
    <w:rsid w:val="55665E4B"/>
    <w:rsid w:val="557564F8"/>
    <w:rsid w:val="557C6AE7"/>
    <w:rsid w:val="55823A64"/>
    <w:rsid w:val="55A0704C"/>
    <w:rsid w:val="55A923B9"/>
    <w:rsid w:val="55D37E92"/>
    <w:rsid w:val="55D70990"/>
    <w:rsid w:val="55DD38ED"/>
    <w:rsid w:val="55E72D6A"/>
    <w:rsid w:val="561A3EA2"/>
    <w:rsid w:val="56231E5E"/>
    <w:rsid w:val="56262642"/>
    <w:rsid w:val="56434C8D"/>
    <w:rsid w:val="568A68D9"/>
    <w:rsid w:val="56A438D4"/>
    <w:rsid w:val="56BA5C7F"/>
    <w:rsid w:val="56BD3534"/>
    <w:rsid w:val="56D0338C"/>
    <w:rsid w:val="56D50ABF"/>
    <w:rsid w:val="56E841ED"/>
    <w:rsid w:val="56EA1F97"/>
    <w:rsid w:val="570F0FFB"/>
    <w:rsid w:val="574E065D"/>
    <w:rsid w:val="575B7C13"/>
    <w:rsid w:val="576E7E03"/>
    <w:rsid w:val="576F3950"/>
    <w:rsid w:val="578A5B09"/>
    <w:rsid w:val="579B0E0D"/>
    <w:rsid w:val="57AA49F3"/>
    <w:rsid w:val="57AA5D1A"/>
    <w:rsid w:val="57BE32DB"/>
    <w:rsid w:val="57D631F8"/>
    <w:rsid w:val="58082218"/>
    <w:rsid w:val="581028EA"/>
    <w:rsid w:val="582C3ED1"/>
    <w:rsid w:val="58344161"/>
    <w:rsid w:val="585D0DF7"/>
    <w:rsid w:val="587316C8"/>
    <w:rsid w:val="58AD641D"/>
    <w:rsid w:val="58B420E4"/>
    <w:rsid w:val="58F92391"/>
    <w:rsid w:val="59135C67"/>
    <w:rsid w:val="593C1329"/>
    <w:rsid w:val="59451BA4"/>
    <w:rsid w:val="595A34E9"/>
    <w:rsid w:val="595B7937"/>
    <w:rsid w:val="597C7365"/>
    <w:rsid w:val="597F7369"/>
    <w:rsid w:val="59895153"/>
    <w:rsid w:val="59997155"/>
    <w:rsid w:val="59A2414B"/>
    <w:rsid w:val="59BE586F"/>
    <w:rsid w:val="59F550B2"/>
    <w:rsid w:val="59FE08FA"/>
    <w:rsid w:val="5A060D86"/>
    <w:rsid w:val="5A886394"/>
    <w:rsid w:val="5A9F6060"/>
    <w:rsid w:val="5ACF7403"/>
    <w:rsid w:val="5B0F4E22"/>
    <w:rsid w:val="5B46719F"/>
    <w:rsid w:val="5B5437AD"/>
    <w:rsid w:val="5B737DCF"/>
    <w:rsid w:val="5BA42A14"/>
    <w:rsid w:val="5BB47CCC"/>
    <w:rsid w:val="5BD05B9D"/>
    <w:rsid w:val="5BD343E6"/>
    <w:rsid w:val="5BD77F69"/>
    <w:rsid w:val="5BE00F61"/>
    <w:rsid w:val="5BFB5206"/>
    <w:rsid w:val="5CB61872"/>
    <w:rsid w:val="5CB65A64"/>
    <w:rsid w:val="5CD26BB3"/>
    <w:rsid w:val="5CEB063E"/>
    <w:rsid w:val="5D0B0214"/>
    <w:rsid w:val="5D1A0A42"/>
    <w:rsid w:val="5D4F1710"/>
    <w:rsid w:val="5D704C15"/>
    <w:rsid w:val="5D71045F"/>
    <w:rsid w:val="5D740167"/>
    <w:rsid w:val="5D7B7702"/>
    <w:rsid w:val="5DA55EAC"/>
    <w:rsid w:val="5DAC626B"/>
    <w:rsid w:val="5DB778E4"/>
    <w:rsid w:val="5DC133FE"/>
    <w:rsid w:val="5E146811"/>
    <w:rsid w:val="5E3F1622"/>
    <w:rsid w:val="5E3F1ED0"/>
    <w:rsid w:val="5E4A015A"/>
    <w:rsid w:val="5E4E1E2F"/>
    <w:rsid w:val="5E7E280E"/>
    <w:rsid w:val="5E7F4FEA"/>
    <w:rsid w:val="5EA343F9"/>
    <w:rsid w:val="5EE34D8A"/>
    <w:rsid w:val="5F164D5E"/>
    <w:rsid w:val="5F25309F"/>
    <w:rsid w:val="5F2D2E3D"/>
    <w:rsid w:val="5F511649"/>
    <w:rsid w:val="5F741C71"/>
    <w:rsid w:val="5F884475"/>
    <w:rsid w:val="5F940261"/>
    <w:rsid w:val="5FAC17B4"/>
    <w:rsid w:val="5FBE713C"/>
    <w:rsid w:val="5FDA399F"/>
    <w:rsid w:val="5FFA79ED"/>
    <w:rsid w:val="60255941"/>
    <w:rsid w:val="60350249"/>
    <w:rsid w:val="603D79F1"/>
    <w:rsid w:val="606D0EF6"/>
    <w:rsid w:val="60806A99"/>
    <w:rsid w:val="60B442A8"/>
    <w:rsid w:val="60FD7810"/>
    <w:rsid w:val="61013040"/>
    <w:rsid w:val="61075284"/>
    <w:rsid w:val="610E310A"/>
    <w:rsid w:val="611C35B8"/>
    <w:rsid w:val="611D1C0E"/>
    <w:rsid w:val="614D09BF"/>
    <w:rsid w:val="61A25580"/>
    <w:rsid w:val="61AE7556"/>
    <w:rsid w:val="61C55F7F"/>
    <w:rsid w:val="61CA3612"/>
    <w:rsid w:val="61D41854"/>
    <w:rsid w:val="61F46458"/>
    <w:rsid w:val="62282B27"/>
    <w:rsid w:val="623E360E"/>
    <w:rsid w:val="625A6442"/>
    <w:rsid w:val="62C31135"/>
    <w:rsid w:val="62C76106"/>
    <w:rsid w:val="62CC474C"/>
    <w:rsid w:val="62FF72FE"/>
    <w:rsid w:val="630C2BBF"/>
    <w:rsid w:val="632C3261"/>
    <w:rsid w:val="63491372"/>
    <w:rsid w:val="637B0B27"/>
    <w:rsid w:val="63874046"/>
    <w:rsid w:val="638B4892"/>
    <w:rsid w:val="639A766B"/>
    <w:rsid w:val="63A61BF3"/>
    <w:rsid w:val="63BB45AD"/>
    <w:rsid w:val="63C73E6D"/>
    <w:rsid w:val="63DD4529"/>
    <w:rsid w:val="63FC0611"/>
    <w:rsid w:val="64010633"/>
    <w:rsid w:val="641222ED"/>
    <w:rsid w:val="642B5582"/>
    <w:rsid w:val="644878A5"/>
    <w:rsid w:val="64516BFF"/>
    <w:rsid w:val="64643953"/>
    <w:rsid w:val="64963CFA"/>
    <w:rsid w:val="649A62D1"/>
    <w:rsid w:val="64B31A3E"/>
    <w:rsid w:val="64BB7086"/>
    <w:rsid w:val="64C036C0"/>
    <w:rsid w:val="64DF720B"/>
    <w:rsid w:val="64FB2F8F"/>
    <w:rsid w:val="6502750F"/>
    <w:rsid w:val="655769D7"/>
    <w:rsid w:val="658C66C4"/>
    <w:rsid w:val="65B76CC0"/>
    <w:rsid w:val="65C256AD"/>
    <w:rsid w:val="65C86337"/>
    <w:rsid w:val="65DC6542"/>
    <w:rsid w:val="65FE3124"/>
    <w:rsid w:val="66407375"/>
    <w:rsid w:val="66475BEE"/>
    <w:rsid w:val="66921396"/>
    <w:rsid w:val="669A00A1"/>
    <w:rsid w:val="669A0A1D"/>
    <w:rsid w:val="66C77EC3"/>
    <w:rsid w:val="66CD32EE"/>
    <w:rsid w:val="66EF31C1"/>
    <w:rsid w:val="67286643"/>
    <w:rsid w:val="67340A1D"/>
    <w:rsid w:val="67415D12"/>
    <w:rsid w:val="674F0663"/>
    <w:rsid w:val="67645CC5"/>
    <w:rsid w:val="679D0438"/>
    <w:rsid w:val="679F14A6"/>
    <w:rsid w:val="67A7594A"/>
    <w:rsid w:val="67DA14DE"/>
    <w:rsid w:val="67F71CAA"/>
    <w:rsid w:val="6833136E"/>
    <w:rsid w:val="68374646"/>
    <w:rsid w:val="6851003F"/>
    <w:rsid w:val="68532F31"/>
    <w:rsid w:val="685D1197"/>
    <w:rsid w:val="685F2B0C"/>
    <w:rsid w:val="686A5890"/>
    <w:rsid w:val="686E4CA0"/>
    <w:rsid w:val="6870598D"/>
    <w:rsid w:val="68882FAE"/>
    <w:rsid w:val="68B25FB7"/>
    <w:rsid w:val="68CD56D6"/>
    <w:rsid w:val="68CE0878"/>
    <w:rsid w:val="68DF3F07"/>
    <w:rsid w:val="68E14DD2"/>
    <w:rsid w:val="68FF17F8"/>
    <w:rsid w:val="69136B06"/>
    <w:rsid w:val="691F6273"/>
    <w:rsid w:val="69316D4E"/>
    <w:rsid w:val="6938799E"/>
    <w:rsid w:val="697221B5"/>
    <w:rsid w:val="697A4875"/>
    <w:rsid w:val="69875626"/>
    <w:rsid w:val="69A773FE"/>
    <w:rsid w:val="69AC4EE2"/>
    <w:rsid w:val="69B15060"/>
    <w:rsid w:val="69B72806"/>
    <w:rsid w:val="69BB4E8B"/>
    <w:rsid w:val="69C21FC2"/>
    <w:rsid w:val="69CB7528"/>
    <w:rsid w:val="69CC031D"/>
    <w:rsid w:val="69CC0832"/>
    <w:rsid w:val="69CC5602"/>
    <w:rsid w:val="69DE1C53"/>
    <w:rsid w:val="69DF0F70"/>
    <w:rsid w:val="69F431E5"/>
    <w:rsid w:val="69FB05D9"/>
    <w:rsid w:val="69FD59EA"/>
    <w:rsid w:val="6A21429B"/>
    <w:rsid w:val="6A317FEC"/>
    <w:rsid w:val="6A395739"/>
    <w:rsid w:val="6A5D1615"/>
    <w:rsid w:val="6A667351"/>
    <w:rsid w:val="6A690452"/>
    <w:rsid w:val="6AA01E24"/>
    <w:rsid w:val="6AC86B5F"/>
    <w:rsid w:val="6AD5470C"/>
    <w:rsid w:val="6AF1512E"/>
    <w:rsid w:val="6B047BC0"/>
    <w:rsid w:val="6B372870"/>
    <w:rsid w:val="6B401962"/>
    <w:rsid w:val="6B4C78DC"/>
    <w:rsid w:val="6B6D4BD4"/>
    <w:rsid w:val="6B736C65"/>
    <w:rsid w:val="6B884223"/>
    <w:rsid w:val="6BAB5034"/>
    <w:rsid w:val="6BCC6A33"/>
    <w:rsid w:val="6BE94680"/>
    <w:rsid w:val="6C1648A2"/>
    <w:rsid w:val="6C180827"/>
    <w:rsid w:val="6C2B5B56"/>
    <w:rsid w:val="6C405A24"/>
    <w:rsid w:val="6C4C1DDE"/>
    <w:rsid w:val="6C733663"/>
    <w:rsid w:val="6C7360A2"/>
    <w:rsid w:val="6C98271E"/>
    <w:rsid w:val="6CB357D4"/>
    <w:rsid w:val="6CD6095A"/>
    <w:rsid w:val="6CED0DFC"/>
    <w:rsid w:val="6D09664F"/>
    <w:rsid w:val="6D192771"/>
    <w:rsid w:val="6D1A3ED2"/>
    <w:rsid w:val="6D1C5D45"/>
    <w:rsid w:val="6D2052F1"/>
    <w:rsid w:val="6D2A1AE4"/>
    <w:rsid w:val="6D2C0363"/>
    <w:rsid w:val="6D420584"/>
    <w:rsid w:val="6D4556BC"/>
    <w:rsid w:val="6D7C6B86"/>
    <w:rsid w:val="6D886D51"/>
    <w:rsid w:val="6D98425A"/>
    <w:rsid w:val="6D9C4CB2"/>
    <w:rsid w:val="6DAC52D8"/>
    <w:rsid w:val="6DCC4C0D"/>
    <w:rsid w:val="6DE52F24"/>
    <w:rsid w:val="6E0D5193"/>
    <w:rsid w:val="6E2B38B7"/>
    <w:rsid w:val="6E42100A"/>
    <w:rsid w:val="6E4341AC"/>
    <w:rsid w:val="6E647424"/>
    <w:rsid w:val="6E9D5BDB"/>
    <w:rsid w:val="6EBF2095"/>
    <w:rsid w:val="6ED668E5"/>
    <w:rsid w:val="6EDA5C94"/>
    <w:rsid w:val="6F0F66B1"/>
    <w:rsid w:val="6F436F8F"/>
    <w:rsid w:val="6F4D5562"/>
    <w:rsid w:val="6F663712"/>
    <w:rsid w:val="6F69285A"/>
    <w:rsid w:val="6F6D69E8"/>
    <w:rsid w:val="6F7874E2"/>
    <w:rsid w:val="6F8B29B5"/>
    <w:rsid w:val="6F9B0752"/>
    <w:rsid w:val="6FD156E3"/>
    <w:rsid w:val="6FED75FB"/>
    <w:rsid w:val="6FFA27F6"/>
    <w:rsid w:val="70041560"/>
    <w:rsid w:val="700B47EE"/>
    <w:rsid w:val="700F0193"/>
    <w:rsid w:val="703467FC"/>
    <w:rsid w:val="7040732E"/>
    <w:rsid w:val="707123D3"/>
    <w:rsid w:val="7086364B"/>
    <w:rsid w:val="70A42103"/>
    <w:rsid w:val="70D6110F"/>
    <w:rsid w:val="70FA2DBF"/>
    <w:rsid w:val="71096990"/>
    <w:rsid w:val="710B27AB"/>
    <w:rsid w:val="712C6F85"/>
    <w:rsid w:val="712F2C7A"/>
    <w:rsid w:val="71320E55"/>
    <w:rsid w:val="71321C7C"/>
    <w:rsid w:val="71340B64"/>
    <w:rsid w:val="713C30E4"/>
    <w:rsid w:val="714D7437"/>
    <w:rsid w:val="71546F0E"/>
    <w:rsid w:val="7170146E"/>
    <w:rsid w:val="717268C8"/>
    <w:rsid w:val="71802D0E"/>
    <w:rsid w:val="71895CF5"/>
    <w:rsid w:val="718F5890"/>
    <w:rsid w:val="719323BF"/>
    <w:rsid w:val="71BF5087"/>
    <w:rsid w:val="71C23C59"/>
    <w:rsid w:val="71C57971"/>
    <w:rsid w:val="71EC11CD"/>
    <w:rsid w:val="720506A4"/>
    <w:rsid w:val="72143E26"/>
    <w:rsid w:val="722B6EAC"/>
    <w:rsid w:val="7235573F"/>
    <w:rsid w:val="723629FF"/>
    <w:rsid w:val="726C56B8"/>
    <w:rsid w:val="7288771C"/>
    <w:rsid w:val="728D4961"/>
    <w:rsid w:val="72911F34"/>
    <w:rsid w:val="729D380E"/>
    <w:rsid w:val="72A458E1"/>
    <w:rsid w:val="72CD1565"/>
    <w:rsid w:val="72CE592F"/>
    <w:rsid w:val="72F5541E"/>
    <w:rsid w:val="72F838AA"/>
    <w:rsid w:val="73134385"/>
    <w:rsid w:val="731726EC"/>
    <w:rsid w:val="73197AE0"/>
    <w:rsid w:val="73221860"/>
    <w:rsid w:val="7338174B"/>
    <w:rsid w:val="733A4EF6"/>
    <w:rsid w:val="733D0234"/>
    <w:rsid w:val="733E33D3"/>
    <w:rsid w:val="733F0360"/>
    <w:rsid w:val="73773239"/>
    <w:rsid w:val="73835DC4"/>
    <w:rsid w:val="73C761B5"/>
    <w:rsid w:val="73C97C37"/>
    <w:rsid w:val="73D872D7"/>
    <w:rsid w:val="73F956D4"/>
    <w:rsid w:val="73F97190"/>
    <w:rsid w:val="73FA14E3"/>
    <w:rsid w:val="740A7F35"/>
    <w:rsid w:val="742D4CA1"/>
    <w:rsid w:val="74336AF3"/>
    <w:rsid w:val="74613585"/>
    <w:rsid w:val="747D3462"/>
    <w:rsid w:val="74812030"/>
    <w:rsid w:val="74886161"/>
    <w:rsid w:val="74923E43"/>
    <w:rsid w:val="74A039B1"/>
    <w:rsid w:val="74E66F49"/>
    <w:rsid w:val="74EB245C"/>
    <w:rsid w:val="750D41EB"/>
    <w:rsid w:val="753C15BB"/>
    <w:rsid w:val="75585493"/>
    <w:rsid w:val="755E6626"/>
    <w:rsid w:val="75841DF5"/>
    <w:rsid w:val="758A071C"/>
    <w:rsid w:val="758C4CA2"/>
    <w:rsid w:val="75A03D67"/>
    <w:rsid w:val="75C45800"/>
    <w:rsid w:val="75D40046"/>
    <w:rsid w:val="75D96E3B"/>
    <w:rsid w:val="75EE53E9"/>
    <w:rsid w:val="762F29E5"/>
    <w:rsid w:val="764374F1"/>
    <w:rsid w:val="76944E76"/>
    <w:rsid w:val="769A26CA"/>
    <w:rsid w:val="769E07AD"/>
    <w:rsid w:val="76AB3C70"/>
    <w:rsid w:val="76C34928"/>
    <w:rsid w:val="76C54EFF"/>
    <w:rsid w:val="76D17FE1"/>
    <w:rsid w:val="76DF15B8"/>
    <w:rsid w:val="76FB601C"/>
    <w:rsid w:val="7708778F"/>
    <w:rsid w:val="770B7BD2"/>
    <w:rsid w:val="778364BE"/>
    <w:rsid w:val="7799548D"/>
    <w:rsid w:val="779E65C5"/>
    <w:rsid w:val="77B77D93"/>
    <w:rsid w:val="77C81353"/>
    <w:rsid w:val="77ED1FBE"/>
    <w:rsid w:val="78023A5D"/>
    <w:rsid w:val="782A3DBC"/>
    <w:rsid w:val="785B3F75"/>
    <w:rsid w:val="787764A6"/>
    <w:rsid w:val="78867CFB"/>
    <w:rsid w:val="78AE1EE3"/>
    <w:rsid w:val="78CE32F1"/>
    <w:rsid w:val="78CE3C30"/>
    <w:rsid w:val="78D06FA5"/>
    <w:rsid w:val="78F044C0"/>
    <w:rsid w:val="793D3D59"/>
    <w:rsid w:val="795F47C4"/>
    <w:rsid w:val="795F4B87"/>
    <w:rsid w:val="7964594B"/>
    <w:rsid w:val="799447B2"/>
    <w:rsid w:val="79993DEC"/>
    <w:rsid w:val="79CD1CC3"/>
    <w:rsid w:val="79D33A4B"/>
    <w:rsid w:val="79E02F00"/>
    <w:rsid w:val="79EA1578"/>
    <w:rsid w:val="79F9227E"/>
    <w:rsid w:val="7A03141B"/>
    <w:rsid w:val="7A2F68CB"/>
    <w:rsid w:val="7A532F6D"/>
    <w:rsid w:val="7A9E603E"/>
    <w:rsid w:val="7AA163B3"/>
    <w:rsid w:val="7AB01F3D"/>
    <w:rsid w:val="7ABB7712"/>
    <w:rsid w:val="7ACE4950"/>
    <w:rsid w:val="7ADB04CF"/>
    <w:rsid w:val="7ADD1DF2"/>
    <w:rsid w:val="7AFE0D18"/>
    <w:rsid w:val="7B2A08CC"/>
    <w:rsid w:val="7B4B5341"/>
    <w:rsid w:val="7B5B1A0B"/>
    <w:rsid w:val="7B70050C"/>
    <w:rsid w:val="7B856E03"/>
    <w:rsid w:val="7BB31608"/>
    <w:rsid w:val="7BD95DD9"/>
    <w:rsid w:val="7BE50BC8"/>
    <w:rsid w:val="7BF9716D"/>
    <w:rsid w:val="7C077508"/>
    <w:rsid w:val="7C1F4334"/>
    <w:rsid w:val="7C42078B"/>
    <w:rsid w:val="7C5713BA"/>
    <w:rsid w:val="7C695398"/>
    <w:rsid w:val="7C6D2C5C"/>
    <w:rsid w:val="7C867073"/>
    <w:rsid w:val="7C8D2D58"/>
    <w:rsid w:val="7CA503F5"/>
    <w:rsid w:val="7CB302CB"/>
    <w:rsid w:val="7CBB4389"/>
    <w:rsid w:val="7CCA1F6A"/>
    <w:rsid w:val="7CD349F7"/>
    <w:rsid w:val="7D1948FD"/>
    <w:rsid w:val="7D2C6F9F"/>
    <w:rsid w:val="7D543264"/>
    <w:rsid w:val="7D5B2CA1"/>
    <w:rsid w:val="7D6D7156"/>
    <w:rsid w:val="7D7115AD"/>
    <w:rsid w:val="7DAE4568"/>
    <w:rsid w:val="7DC85A4E"/>
    <w:rsid w:val="7DF11E99"/>
    <w:rsid w:val="7DF550BA"/>
    <w:rsid w:val="7E531FFF"/>
    <w:rsid w:val="7E5E764B"/>
    <w:rsid w:val="7E7029A2"/>
    <w:rsid w:val="7EA44BEF"/>
    <w:rsid w:val="7ECB55B8"/>
    <w:rsid w:val="7EE626A2"/>
    <w:rsid w:val="7EEC63E7"/>
    <w:rsid w:val="7EF54C4F"/>
    <w:rsid w:val="7EFB3937"/>
    <w:rsid w:val="7F020EC4"/>
    <w:rsid w:val="7F1E0F62"/>
    <w:rsid w:val="7F1F3426"/>
    <w:rsid w:val="7F381A2F"/>
    <w:rsid w:val="7F5957B0"/>
    <w:rsid w:val="7F6D786A"/>
    <w:rsid w:val="7F6F2116"/>
    <w:rsid w:val="7F9846AE"/>
    <w:rsid w:val="7F9A7F46"/>
    <w:rsid w:val="7FAA2CDD"/>
    <w:rsid w:val="7FAD0277"/>
    <w:rsid w:val="7FBD28C5"/>
    <w:rsid w:val="7FC16C32"/>
    <w:rsid w:val="7FC50214"/>
    <w:rsid w:val="7FEF7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
    <w:pPr>
      <w:keepNext/>
      <w:keepLines/>
      <w:numPr>
        <w:ilvl w:val="0"/>
        <w:numId w:val="1"/>
      </w:numPr>
      <w:spacing w:before="60" w:after="60"/>
      <w:ind w:firstLine="0"/>
      <w:jc w:val="center"/>
      <w:outlineLvl w:val="0"/>
    </w:pPr>
    <w:rPr>
      <w:b/>
      <w:bCs/>
      <w:kern w:val="44"/>
      <w:sz w:val="44"/>
      <w:szCs w:val="44"/>
    </w:rPr>
  </w:style>
  <w:style w:type="paragraph" w:styleId="4">
    <w:name w:val="heading 2"/>
    <w:basedOn w:val="1"/>
    <w:next w:val="1"/>
    <w:autoRedefine/>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5">
    <w:name w:val="heading 3"/>
    <w:basedOn w:val="1"/>
    <w:next w:val="6"/>
    <w:autoRedefine/>
    <w:semiHidden/>
    <w:unhideWhenUsed/>
    <w:qFormat/>
    <w:uiPriority w:val="0"/>
    <w:pPr>
      <w:keepNext/>
      <w:keepLines/>
      <w:tabs>
        <w:tab w:val="left" w:pos="8280"/>
      </w:tabs>
      <w:spacing w:before="260" w:after="260" w:line="416" w:lineRule="auto"/>
      <w:outlineLvl w:val="2"/>
    </w:pPr>
    <w:rPr>
      <w:bCs/>
      <w:szCs w:val="32"/>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customStyle="1" w:styleId="2">
    <w:name w:val="_Style 3"/>
    <w:autoRedefine/>
    <w:qFormat/>
    <w:uiPriority w:val="99"/>
    <w:pPr>
      <w:widowControl w:val="0"/>
      <w:jc w:val="both"/>
    </w:pPr>
    <w:rPr>
      <w:rFonts w:ascii="Calibri" w:hAnsi="Calibri" w:eastAsia="宋体" w:cs="Times New Roman"/>
      <w:kern w:val="2"/>
      <w:sz w:val="21"/>
      <w:szCs w:val="22"/>
      <w:lang w:val="en-US" w:eastAsia="zh-CN" w:bidi="ar-SA"/>
    </w:rPr>
  </w:style>
  <w:style w:type="paragraph" w:styleId="6">
    <w:name w:val="Normal Indent"/>
    <w:basedOn w:val="1"/>
    <w:autoRedefine/>
    <w:qFormat/>
    <w:uiPriority w:val="0"/>
    <w:pPr>
      <w:ind w:firstLine="420"/>
    </w:pPr>
    <w:rPr>
      <w:szCs w:val="20"/>
    </w:rPr>
  </w:style>
  <w:style w:type="paragraph" w:styleId="7">
    <w:name w:val="List Number"/>
    <w:basedOn w:val="1"/>
    <w:autoRedefine/>
    <w:qFormat/>
    <w:uiPriority w:val="0"/>
    <w:pPr>
      <w:numPr>
        <w:ilvl w:val="0"/>
        <w:numId w:val="2"/>
      </w:numPr>
    </w:pPr>
  </w:style>
  <w:style w:type="paragraph" w:styleId="8">
    <w:name w:val="List Bullet"/>
    <w:basedOn w:val="1"/>
    <w:next w:val="1"/>
    <w:autoRedefine/>
    <w:qFormat/>
    <w:uiPriority w:val="0"/>
    <w:pPr>
      <w:numPr>
        <w:ilvl w:val="0"/>
        <w:numId w:val="3"/>
      </w:numPr>
    </w:pPr>
  </w:style>
  <w:style w:type="paragraph" w:styleId="9">
    <w:name w:val="annotation text"/>
    <w:basedOn w:val="1"/>
    <w:link w:val="77"/>
    <w:autoRedefine/>
    <w:qFormat/>
    <w:uiPriority w:val="0"/>
    <w:pPr>
      <w:jc w:val="left"/>
    </w:pPr>
  </w:style>
  <w:style w:type="paragraph" w:styleId="10">
    <w:name w:val="Body Text"/>
    <w:basedOn w:val="1"/>
    <w:next w:val="11"/>
    <w:autoRedefine/>
    <w:qFormat/>
    <w:uiPriority w:val="0"/>
    <w:pPr>
      <w:spacing w:line="360" w:lineRule="exact"/>
    </w:pPr>
    <w:rPr>
      <w:sz w:val="24"/>
    </w:rPr>
  </w:style>
  <w:style w:type="paragraph" w:styleId="11">
    <w:name w:val="Body Text First Indent"/>
    <w:basedOn w:val="10"/>
    <w:next w:val="12"/>
    <w:link w:val="79"/>
    <w:autoRedefine/>
    <w:qFormat/>
    <w:uiPriority w:val="0"/>
    <w:pPr>
      <w:ind w:firstLine="200" w:firstLineChars="200"/>
    </w:pPr>
  </w:style>
  <w:style w:type="paragraph" w:styleId="12">
    <w:name w:val="toc 6"/>
    <w:basedOn w:val="1"/>
    <w:next w:val="1"/>
    <w:autoRedefine/>
    <w:unhideWhenUsed/>
    <w:qFormat/>
    <w:uiPriority w:val="39"/>
    <w:pPr>
      <w:ind w:left="2100" w:leftChars="1000"/>
    </w:pPr>
    <w:rPr>
      <w:rFonts w:ascii="Calibri" w:hAnsi="Calibri"/>
    </w:rPr>
  </w:style>
  <w:style w:type="paragraph" w:styleId="13">
    <w:name w:val="Body Text Indent"/>
    <w:basedOn w:val="1"/>
    <w:next w:val="1"/>
    <w:autoRedefine/>
    <w:qFormat/>
    <w:uiPriority w:val="0"/>
    <w:pPr>
      <w:spacing w:after="120"/>
      <w:ind w:left="420" w:leftChars="200"/>
    </w:pPr>
  </w:style>
  <w:style w:type="paragraph" w:styleId="14">
    <w:name w:val="List Bullet 2"/>
    <w:basedOn w:val="1"/>
    <w:next w:val="8"/>
    <w:autoRedefine/>
    <w:qFormat/>
    <w:uiPriority w:val="0"/>
    <w:pPr>
      <w:numPr>
        <w:ilvl w:val="0"/>
        <w:numId w:val="4"/>
      </w:numPr>
    </w:pPr>
  </w:style>
  <w:style w:type="paragraph" w:styleId="15">
    <w:name w:val="Plain Text"/>
    <w:basedOn w:val="1"/>
    <w:link w:val="69"/>
    <w:autoRedefine/>
    <w:qFormat/>
    <w:uiPriority w:val="0"/>
    <w:rPr>
      <w:rFonts w:ascii="宋体" w:hAnsi="Courier New" w:cstheme="minorBidi"/>
    </w:rPr>
  </w:style>
  <w:style w:type="paragraph" w:styleId="16">
    <w:name w:val="Date"/>
    <w:basedOn w:val="1"/>
    <w:next w:val="1"/>
    <w:autoRedefine/>
    <w:qFormat/>
    <w:uiPriority w:val="0"/>
    <w:pPr>
      <w:ind w:left="2500" w:leftChars="2500"/>
    </w:pPr>
    <w:rPr>
      <w:rFonts w:eastAsia="楷体_GB2312" w:asciiTheme="minorHAnsi" w:hAnsiTheme="minorHAnsi" w:cstheme="minorBidi"/>
      <w:sz w:val="32"/>
      <w:szCs w:val="22"/>
    </w:rPr>
  </w:style>
  <w:style w:type="paragraph" w:styleId="17">
    <w:name w:val="Balloon Text"/>
    <w:basedOn w:val="1"/>
    <w:link w:val="59"/>
    <w:autoRedefine/>
    <w:qFormat/>
    <w:uiPriority w:val="0"/>
    <w:rPr>
      <w:sz w:val="18"/>
      <w:szCs w:val="18"/>
    </w:rPr>
  </w:style>
  <w:style w:type="paragraph" w:styleId="18">
    <w:name w:val="footer"/>
    <w:basedOn w:val="1"/>
    <w:autoRedefine/>
    <w:qFormat/>
    <w:uiPriority w:val="0"/>
    <w:pPr>
      <w:tabs>
        <w:tab w:val="center" w:pos="4153"/>
        <w:tab w:val="right" w:pos="8306"/>
      </w:tabs>
      <w:snapToGrid w:val="0"/>
      <w:jc w:val="left"/>
    </w:pPr>
    <w:rPr>
      <w:sz w:val="18"/>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autoRedefine/>
    <w:qFormat/>
    <w:uiPriority w:val="39"/>
    <w:pPr>
      <w:spacing w:line="360" w:lineRule="auto"/>
      <w:ind w:left="420" w:leftChars="200" w:right="420" w:rightChars="200"/>
    </w:pPr>
    <w:rPr>
      <w:rFonts w:asciiTheme="minorEastAsia" w:hAnsiTheme="minorEastAsia"/>
      <w:sz w:val="24"/>
    </w:rPr>
  </w:style>
  <w:style w:type="paragraph" w:styleId="21">
    <w:name w:val="toc 4"/>
    <w:basedOn w:val="1"/>
    <w:next w:val="1"/>
    <w:autoRedefine/>
    <w:qFormat/>
    <w:uiPriority w:val="0"/>
    <w:pPr>
      <w:ind w:left="630"/>
      <w:jc w:val="left"/>
    </w:pPr>
    <w:rPr>
      <w:sz w:val="18"/>
      <w:szCs w:val="18"/>
    </w:rPr>
  </w:style>
  <w:style w:type="paragraph" w:styleId="22">
    <w:name w:val="toc 2"/>
    <w:basedOn w:val="1"/>
    <w:next w:val="1"/>
    <w:autoRedefine/>
    <w:qFormat/>
    <w:uiPriority w:val="39"/>
    <w:pPr>
      <w:ind w:left="420" w:leftChars="200"/>
    </w:pPr>
  </w:style>
  <w:style w:type="paragraph" w:styleId="23">
    <w:name w:val="Normal (Web)"/>
    <w:basedOn w:val="1"/>
    <w:autoRedefine/>
    <w:qFormat/>
    <w:uiPriority w:val="0"/>
    <w:pPr>
      <w:widowControl/>
      <w:spacing w:before="100" w:beforeAutospacing="1" w:after="100" w:afterAutospacing="1"/>
      <w:jc w:val="left"/>
    </w:pPr>
    <w:rPr>
      <w:rFonts w:hint="eastAsia" w:ascii="宋体" w:hAnsi="宋体"/>
      <w:kern w:val="0"/>
      <w:sz w:val="24"/>
    </w:rPr>
  </w:style>
  <w:style w:type="paragraph" w:styleId="24">
    <w:name w:val="Title"/>
    <w:basedOn w:val="1"/>
    <w:next w:val="1"/>
    <w:autoRedefine/>
    <w:qFormat/>
    <w:uiPriority w:val="0"/>
    <w:pPr>
      <w:spacing w:before="240" w:after="60"/>
      <w:jc w:val="center"/>
      <w:outlineLvl w:val="0"/>
    </w:pPr>
    <w:rPr>
      <w:rFonts w:ascii="Cambria" w:hAnsi="Cambria"/>
      <w:b/>
      <w:bCs/>
      <w:kern w:val="0"/>
      <w:sz w:val="32"/>
      <w:szCs w:val="32"/>
    </w:rPr>
  </w:style>
  <w:style w:type="paragraph" w:styleId="25">
    <w:name w:val="annotation subject"/>
    <w:basedOn w:val="9"/>
    <w:next w:val="9"/>
    <w:link w:val="78"/>
    <w:autoRedefine/>
    <w:qFormat/>
    <w:uiPriority w:val="0"/>
    <w:rPr>
      <w:b/>
      <w:bCs/>
    </w:rPr>
  </w:style>
  <w:style w:type="paragraph" w:styleId="26">
    <w:name w:val="Body Text First Indent 2"/>
    <w:basedOn w:val="13"/>
    <w:autoRedefine/>
    <w:qFormat/>
    <w:uiPriority w:val="0"/>
    <w:pPr>
      <w:ind w:firstLine="420"/>
    </w:pPr>
  </w:style>
  <w:style w:type="table" w:styleId="28">
    <w:name w:val="Table Grid"/>
    <w:basedOn w:val="27"/>
    <w:autoRedefine/>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style>
  <w:style w:type="character" w:styleId="30">
    <w:name w:val="Hyperlink"/>
    <w:autoRedefine/>
    <w:qFormat/>
    <w:uiPriority w:val="0"/>
    <w:rPr>
      <w:color w:val="0000FF"/>
      <w:u w:val="single"/>
    </w:rPr>
  </w:style>
  <w:style w:type="character" w:styleId="31">
    <w:name w:val="annotation reference"/>
    <w:basedOn w:val="29"/>
    <w:autoRedefine/>
    <w:qFormat/>
    <w:uiPriority w:val="0"/>
    <w:rPr>
      <w:sz w:val="21"/>
      <w:szCs w:val="21"/>
    </w:rPr>
  </w:style>
  <w:style w:type="paragraph" w:customStyle="1" w:styleId="32">
    <w:name w:val="[Normal]"/>
    <w:autoRedefine/>
    <w:qFormat/>
    <w:uiPriority w:val="0"/>
    <w:rPr>
      <w:rFonts w:ascii="宋体" w:hAnsi="宋体" w:eastAsia="宋体" w:cs="Times New Roman"/>
      <w:sz w:val="24"/>
      <w:szCs w:val="22"/>
      <w:lang w:val="zh-CN" w:eastAsia="zh-CN" w:bidi="ar-SA"/>
    </w:rPr>
  </w:style>
  <w:style w:type="paragraph" w:customStyle="1" w:styleId="33">
    <w:name w:val="样式 10 磅3111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34">
    <w:name w:val="4、正文"/>
    <w:basedOn w:val="1"/>
    <w:autoRedefine/>
    <w:qFormat/>
    <w:uiPriority w:val="0"/>
    <w:pPr>
      <w:ind w:firstLine="200" w:firstLineChars="200"/>
    </w:pPr>
    <w:rPr>
      <w:rFonts w:ascii="宋体"/>
      <w:sz w:val="24"/>
      <w:szCs w:val="28"/>
    </w:rPr>
  </w:style>
  <w:style w:type="paragraph" w:customStyle="1" w:styleId="35">
    <w:name w:val="表格文字"/>
    <w:basedOn w:val="1"/>
    <w:next w:val="10"/>
    <w:autoRedefine/>
    <w:qFormat/>
    <w:uiPriority w:val="0"/>
    <w:pPr>
      <w:jc w:val="left"/>
      <w:textAlignment w:val="top"/>
    </w:pPr>
    <w:rPr>
      <w:sz w:val="18"/>
    </w:rPr>
  </w:style>
  <w:style w:type="paragraph" w:customStyle="1" w:styleId="36">
    <w:name w:val="无间隔1"/>
    <w:autoRedefine/>
    <w:qFormat/>
    <w:uiPriority w:val="99"/>
    <w:pPr>
      <w:adjustRightInd w:val="0"/>
      <w:snapToGrid w:val="0"/>
    </w:pPr>
    <w:rPr>
      <w:rFonts w:ascii="Tahoma" w:hAnsi="Tahoma" w:eastAsia="微软雅黑" w:cstheme="minorBidi"/>
      <w:sz w:val="22"/>
      <w:szCs w:val="22"/>
      <w:lang w:val="en-US" w:eastAsia="zh-CN" w:bidi="ar-SA"/>
    </w:rPr>
  </w:style>
  <w:style w:type="paragraph" w:styleId="37">
    <w:name w:val="List Paragraph"/>
    <w:basedOn w:val="1"/>
    <w:autoRedefine/>
    <w:qFormat/>
    <w:uiPriority w:val="0"/>
    <w:pPr>
      <w:ind w:firstLine="420" w:firstLineChars="200"/>
    </w:pPr>
    <w:rPr>
      <w:rFonts w:ascii="Calibri" w:hAnsi="Calibri"/>
      <w:szCs w:val="22"/>
    </w:rPr>
  </w:style>
  <w:style w:type="paragraph" w:customStyle="1" w:styleId="38">
    <w:name w:val="_Style 2"/>
    <w:autoRedefine/>
    <w:qFormat/>
    <w:uiPriority w:val="99"/>
    <w:pPr>
      <w:adjustRightInd w:val="0"/>
      <w:snapToGrid w:val="0"/>
    </w:pPr>
    <w:rPr>
      <w:rFonts w:ascii="Tahoma" w:hAnsi="Tahoma" w:eastAsia="微软雅黑" w:cs="Tahoma"/>
      <w:sz w:val="22"/>
      <w:szCs w:val="22"/>
      <w:lang w:val="en-US" w:eastAsia="zh-CN" w:bidi="ar-SA"/>
    </w:rPr>
  </w:style>
  <w:style w:type="paragraph" w:customStyle="1" w:styleId="39">
    <w:name w:val="无间隔11"/>
    <w:autoRedefine/>
    <w:qFormat/>
    <w:uiPriority w:val="0"/>
    <w:pPr>
      <w:adjustRightInd w:val="0"/>
      <w:snapToGrid w:val="0"/>
    </w:pPr>
    <w:rPr>
      <w:rFonts w:ascii="Tahoma" w:hAnsi="Tahoma" w:eastAsia="微软雅黑" w:cstheme="minorBidi"/>
      <w:sz w:val="22"/>
      <w:szCs w:val="22"/>
      <w:lang w:val="en-US" w:eastAsia="zh-CN" w:bidi="ar-SA"/>
    </w:rPr>
  </w:style>
  <w:style w:type="paragraph" w:customStyle="1" w:styleId="4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正文_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14"/>
    <w:autoRedefine/>
    <w:qFormat/>
    <w:uiPriority w:val="0"/>
    <w:rPr>
      <w:rFonts w:ascii="Times New Roman" w:hAnsi="Times New Roman" w:eastAsia="宋体" w:cs="Times New Roman"/>
      <w:sz w:val="21"/>
      <w:szCs w:val="22"/>
      <w:lang w:val="en-US" w:eastAsia="zh-CN" w:bidi="ar-SA"/>
    </w:rPr>
  </w:style>
  <w:style w:type="paragraph" w:customStyle="1" w:styleId="43">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纯文本_3"/>
    <w:basedOn w:val="45"/>
    <w:autoRedefine/>
    <w:qFormat/>
    <w:uiPriority w:val="0"/>
    <w:pPr>
      <w:widowControl/>
      <w:jc w:val="left"/>
    </w:pPr>
    <w:rPr>
      <w:rFonts w:ascii="宋体" w:hAnsi="Courier New" w:eastAsiaTheme="minorEastAsia" w:cstheme="minorBidi"/>
      <w:szCs w:val="21"/>
    </w:rPr>
  </w:style>
  <w:style w:type="paragraph" w:customStyle="1" w:styleId="47">
    <w:name w:val="纯文本_0_1"/>
    <w:basedOn w:val="1"/>
    <w:autoRedefine/>
    <w:qFormat/>
    <w:uiPriority w:val="0"/>
    <w:pPr>
      <w:widowControl/>
      <w:jc w:val="left"/>
    </w:pPr>
    <w:rPr>
      <w:rFonts w:ascii="宋体" w:hAnsi="Courier New" w:eastAsiaTheme="minorEastAsia" w:cstheme="minorBidi"/>
      <w:szCs w:val="21"/>
    </w:rPr>
  </w:style>
  <w:style w:type="paragraph" w:customStyle="1" w:styleId="48">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Normal_15"/>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font21"/>
    <w:basedOn w:val="29"/>
    <w:autoRedefine/>
    <w:qFormat/>
    <w:uiPriority w:val="0"/>
    <w:rPr>
      <w:rFonts w:hint="default" w:ascii="Arial" w:hAnsi="Arial" w:cs="Arial"/>
      <w:color w:val="000000"/>
      <w:sz w:val="20"/>
      <w:szCs w:val="20"/>
      <w:u w:val="none"/>
    </w:rPr>
  </w:style>
  <w:style w:type="character" w:customStyle="1" w:styleId="53">
    <w:name w:val="font01"/>
    <w:basedOn w:val="29"/>
    <w:autoRedefine/>
    <w:qFormat/>
    <w:uiPriority w:val="0"/>
    <w:rPr>
      <w:rFonts w:hint="eastAsia" w:ascii="宋体" w:hAnsi="宋体" w:eastAsia="宋体" w:cs="宋体"/>
      <w:color w:val="000000"/>
      <w:sz w:val="20"/>
      <w:szCs w:val="20"/>
      <w:u w:val="none"/>
    </w:rPr>
  </w:style>
  <w:style w:type="paragraph" w:customStyle="1" w:styleId="54">
    <w:name w:val="纯文本1"/>
    <w:basedOn w:val="55"/>
    <w:autoRedefine/>
    <w:qFormat/>
    <w:uiPriority w:val="0"/>
    <w:pPr>
      <w:widowControl/>
      <w:jc w:val="left"/>
    </w:pPr>
    <w:rPr>
      <w:rFonts w:ascii="宋体" w:hAnsi="Courier New"/>
    </w:rPr>
  </w:style>
  <w:style w:type="paragraph" w:customStyle="1" w:styleId="55">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6">
    <w:name w:val="Table Paragraph"/>
    <w:basedOn w:val="1"/>
    <w:autoRedefine/>
    <w:qFormat/>
    <w:uiPriority w:val="1"/>
    <w:rPr>
      <w:rFonts w:ascii="宋体" w:hAnsi="宋体" w:cs="宋体"/>
    </w:rPr>
  </w:style>
  <w:style w:type="paragraph" w:customStyle="1" w:styleId="57">
    <w:name w:val="WPSOffice手动目录 1"/>
    <w:autoRedefine/>
    <w:qFormat/>
    <w:uiPriority w:val="0"/>
    <w:rPr>
      <w:rFonts w:ascii="Times New Roman" w:hAnsi="Times New Roman" w:eastAsia="宋体" w:cs="Times New Roman"/>
      <w:lang w:val="en-US" w:eastAsia="zh-CN" w:bidi="ar-SA"/>
    </w:rPr>
  </w:style>
  <w:style w:type="paragraph" w:customStyle="1" w:styleId="58">
    <w:name w:val="默认段落字体 Para Char Char Char Char Char Char Char Char Char1 Char Char Char Char"/>
    <w:basedOn w:val="1"/>
    <w:autoRedefine/>
    <w:qFormat/>
    <w:uiPriority w:val="0"/>
    <w:rPr>
      <w:rFonts w:ascii="Tahoma" w:hAnsi="Tahoma"/>
      <w:sz w:val="24"/>
      <w:szCs w:val="20"/>
    </w:rPr>
  </w:style>
  <w:style w:type="character" w:customStyle="1" w:styleId="59">
    <w:name w:val="批注框文本 字符"/>
    <w:basedOn w:val="29"/>
    <w:link w:val="17"/>
    <w:autoRedefine/>
    <w:qFormat/>
    <w:uiPriority w:val="0"/>
    <w:rPr>
      <w:kern w:val="2"/>
      <w:sz w:val="18"/>
      <w:szCs w:val="18"/>
    </w:rPr>
  </w:style>
  <w:style w:type="paragraph" w:customStyle="1" w:styleId="60">
    <w:name w:val="英文"/>
    <w:basedOn w:val="1"/>
    <w:link w:val="62"/>
    <w:autoRedefine/>
    <w:qFormat/>
    <w:uiPriority w:val="0"/>
    <w:pPr>
      <w:adjustRightInd w:val="0"/>
      <w:snapToGrid w:val="0"/>
      <w:spacing w:line="360" w:lineRule="auto"/>
      <w:ind w:firstLine="480" w:firstLineChars="200"/>
    </w:pPr>
    <w:rPr>
      <w:rFonts w:ascii="Arial" w:hAnsi="Arial" w:cs="Arial"/>
      <w:sz w:val="24"/>
    </w:rPr>
  </w:style>
  <w:style w:type="paragraph" w:customStyle="1" w:styleId="61">
    <w:name w:val="样式1"/>
    <w:basedOn w:val="1"/>
    <w:autoRedefine/>
    <w:qFormat/>
    <w:uiPriority w:val="0"/>
    <w:pPr>
      <w:adjustRightInd w:val="0"/>
      <w:snapToGrid w:val="0"/>
      <w:spacing w:line="360" w:lineRule="auto"/>
      <w:ind w:firstLine="480" w:firstLineChars="200"/>
    </w:pPr>
    <w:rPr>
      <w:rFonts w:ascii="Arial" w:hAnsi="Arial" w:cs="Arial"/>
      <w:sz w:val="24"/>
    </w:rPr>
  </w:style>
  <w:style w:type="character" w:customStyle="1" w:styleId="62">
    <w:name w:val="英文 Char"/>
    <w:link w:val="60"/>
    <w:autoRedefine/>
    <w:qFormat/>
    <w:uiPriority w:val="0"/>
    <w:rPr>
      <w:rFonts w:ascii="Arial" w:hAnsi="Arial" w:cs="Arial"/>
      <w:sz w:val="24"/>
    </w:rPr>
  </w:style>
  <w:style w:type="paragraph" w:customStyle="1" w:styleId="63">
    <w:name w:val="题目"/>
    <w:basedOn w:val="1"/>
    <w:autoRedefine/>
    <w:qFormat/>
    <w:uiPriority w:val="0"/>
    <w:pPr>
      <w:spacing w:beforeLines="100" w:afterLines="100" w:line="360" w:lineRule="auto"/>
      <w:jc w:val="center"/>
    </w:pPr>
    <w:rPr>
      <w:rFonts w:ascii="方正小标宋_GBK" w:hAnsi="新宋体" w:eastAsia="方正小标宋_GBK"/>
      <w:sz w:val="32"/>
      <w:szCs w:val="32"/>
    </w:rPr>
  </w:style>
  <w:style w:type="paragraph" w:customStyle="1" w:styleId="64">
    <w:name w:val="正文段落"/>
    <w:basedOn w:val="1"/>
    <w:autoRedefine/>
    <w:qFormat/>
    <w:uiPriority w:val="0"/>
    <w:pPr>
      <w:spacing w:line="360" w:lineRule="auto"/>
      <w:ind w:firstLine="200" w:firstLineChars="200"/>
    </w:pPr>
    <w:rPr>
      <w:rFonts w:eastAsia="仿宋"/>
      <w:sz w:val="28"/>
    </w:rPr>
  </w:style>
  <w:style w:type="paragraph" w:customStyle="1" w:styleId="65">
    <w:name w:val="Normal Indent1"/>
    <w:basedOn w:val="1"/>
    <w:autoRedefine/>
    <w:qFormat/>
    <w:uiPriority w:val="0"/>
    <w:pPr>
      <w:ind w:firstLine="420" w:firstLineChars="200"/>
    </w:pPr>
  </w:style>
  <w:style w:type="paragraph" w:customStyle="1" w:styleId="66">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7">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8">
    <w:name w:val="列表段落1"/>
    <w:basedOn w:val="1"/>
    <w:autoRedefine/>
    <w:qFormat/>
    <w:uiPriority w:val="0"/>
    <w:pPr>
      <w:ind w:firstLine="420" w:firstLineChars="200"/>
    </w:pPr>
  </w:style>
  <w:style w:type="character" w:customStyle="1" w:styleId="69">
    <w:name w:val="纯文本 字符"/>
    <w:link w:val="15"/>
    <w:autoRedefine/>
    <w:qFormat/>
    <w:uiPriority w:val="0"/>
    <w:rPr>
      <w:rFonts w:ascii="宋体" w:hAnsi="Courier New" w:cstheme="minorBidi"/>
      <w:kern w:val="2"/>
      <w:sz w:val="21"/>
      <w:szCs w:val="24"/>
    </w:rPr>
  </w:style>
  <w:style w:type="character" w:customStyle="1" w:styleId="70">
    <w:name w:val="NormalCharacter"/>
    <w:autoRedefine/>
    <w:qFormat/>
    <w:uiPriority w:val="0"/>
  </w:style>
  <w:style w:type="paragraph" w:customStyle="1" w:styleId="71">
    <w:name w:val="UserStyle_4"/>
    <w:basedOn w:val="1"/>
    <w:autoRedefine/>
    <w:qFormat/>
    <w:uiPriority w:val="0"/>
    <w:pPr>
      <w:ind w:firstLine="420" w:firstLineChars="200"/>
    </w:pPr>
    <w:rPr>
      <w:sz w:val="24"/>
    </w:rPr>
  </w:style>
  <w:style w:type="paragraph" w:customStyle="1" w:styleId="72">
    <w:name w:val="HtmlNormal"/>
    <w:basedOn w:val="1"/>
    <w:autoRedefine/>
    <w:qFormat/>
    <w:uiPriority w:val="0"/>
    <w:pPr>
      <w:spacing w:before="100" w:beforeAutospacing="1" w:after="100" w:afterAutospacing="1"/>
      <w:jc w:val="left"/>
    </w:pPr>
    <w:rPr>
      <w:rFonts w:ascii="宋体" w:hAnsi="宋体"/>
      <w:color w:val="000000"/>
      <w:kern w:val="0"/>
      <w:sz w:val="24"/>
      <w:szCs w:val="21"/>
    </w:rPr>
  </w:style>
  <w:style w:type="paragraph" w:customStyle="1" w:styleId="73">
    <w:name w:val="UserStyle_48"/>
    <w:basedOn w:val="1"/>
    <w:autoRedefine/>
    <w:qFormat/>
    <w:uiPriority w:val="0"/>
    <w:pPr>
      <w:ind w:firstLine="420" w:firstLineChars="200"/>
    </w:pPr>
    <w:rPr>
      <w:szCs w:val="21"/>
    </w:rPr>
  </w:style>
  <w:style w:type="paragraph" w:customStyle="1" w:styleId="74">
    <w:name w:val="PlainText"/>
    <w:basedOn w:val="1"/>
    <w:autoRedefine/>
    <w:qFormat/>
    <w:uiPriority w:val="0"/>
    <w:pPr>
      <w:spacing w:before="156" w:after="156" w:line="400" w:lineRule="atLeast"/>
    </w:pPr>
    <w:rPr>
      <w:rFonts w:ascii="宋体" w:hAnsi="Courier New"/>
      <w:sz w:val="24"/>
    </w:rPr>
  </w:style>
  <w:style w:type="paragraph" w:customStyle="1" w:styleId="75">
    <w:name w:val="UserStyle_29"/>
    <w:basedOn w:val="1"/>
    <w:autoRedefine/>
    <w:qFormat/>
    <w:uiPriority w:val="0"/>
    <w:pPr>
      <w:ind w:firstLine="420" w:firstLineChars="200"/>
    </w:pPr>
    <w:rPr>
      <w:szCs w:val="22"/>
    </w:rPr>
  </w:style>
  <w:style w:type="table" w:customStyle="1" w:styleId="76">
    <w:name w:val="Table Normal"/>
    <w:autoRedefine/>
    <w:unhideWhenUsed/>
    <w:qFormat/>
    <w:uiPriority w:val="0"/>
    <w:tblPr>
      <w:tblCellMar>
        <w:top w:w="0" w:type="dxa"/>
        <w:left w:w="0" w:type="dxa"/>
        <w:bottom w:w="0" w:type="dxa"/>
        <w:right w:w="0" w:type="dxa"/>
      </w:tblCellMar>
    </w:tblPr>
  </w:style>
  <w:style w:type="character" w:customStyle="1" w:styleId="77">
    <w:name w:val="批注文字 字符"/>
    <w:basedOn w:val="29"/>
    <w:link w:val="9"/>
    <w:autoRedefine/>
    <w:qFormat/>
    <w:uiPriority w:val="0"/>
    <w:rPr>
      <w:kern w:val="2"/>
      <w:sz w:val="21"/>
      <w:szCs w:val="24"/>
    </w:rPr>
  </w:style>
  <w:style w:type="character" w:customStyle="1" w:styleId="78">
    <w:name w:val="批注主题 字符"/>
    <w:basedOn w:val="77"/>
    <w:link w:val="25"/>
    <w:autoRedefine/>
    <w:qFormat/>
    <w:uiPriority w:val="0"/>
    <w:rPr>
      <w:b/>
      <w:bCs/>
      <w:kern w:val="2"/>
      <w:sz w:val="21"/>
      <w:szCs w:val="24"/>
    </w:rPr>
  </w:style>
  <w:style w:type="character" w:customStyle="1" w:styleId="79">
    <w:name w:val="正文文本首行缩进 字符"/>
    <w:basedOn w:val="29"/>
    <w:link w:val="11"/>
    <w:autoRedefine/>
    <w:qFormat/>
    <w:uiPriority w:val="0"/>
    <w:rPr>
      <w:kern w:val="2"/>
      <w:sz w:val="24"/>
      <w:szCs w:val="24"/>
    </w:rPr>
  </w:style>
  <w:style w:type="character" w:customStyle="1" w:styleId="80">
    <w:name w:val="Unresolved Mention"/>
    <w:basedOn w:val="29"/>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6.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5.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4.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3.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7" Type="http://schemas.openxmlformats.org/officeDocument/2006/relationships/fontTable" Target="fontTable.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7.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163</Pages>
  <Words>7791</Words>
  <Characters>8389</Characters>
  <Lines>169</Lines>
  <Paragraphs>47</Paragraphs>
  <TotalTime>4</TotalTime>
  <ScaleCrop>false</ScaleCrop>
  <LinksUpToDate>false</LinksUpToDate>
  <CharactersWithSpaces>8444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2023-06-16T06:49:00Z</dcterms:created>
  <dc:creator>Thorpe521</dc:creator>
  <cp:lastModifiedBy>周正辉</cp:lastModifiedBy>
  <cp:lastPrinted>2023-07-18T00:34:00Z</cp:lastPrinted>
  <dcterms:modified xsi:type="dcterms:W3CDTF">2025-06-09T02:32:47Z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3B1CD3ACA735472E8B61C30C48652A97_13</vt:lpwstr>
  </property>
  <property fmtid="{D5CDD505-2E9C-101B-9397-08002B2CF9AE}" pid="4" name="commondata">
    <vt:lpwstr>eyJoZGlkIjoiZWM5NTczMTg4N2ExZWZmMDU0MmIxMDc2NTJiZjIxOTMifQ==</vt:lpwstr>
  </property>
  <property fmtid="{D5CDD505-2E9C-101B-9397-08002B2CF9AE}" pid="5" name="KSOTemplateDocerSaveRecord">
    <vt:lpwstr>eyJoZGlkIjoiMzEwNTM5NzYwMDRjMzkwZTVkZjY2ODkwMGIxNGU0OTUiLCJ1c2VySWQiOiI0ODUxNTczMzAifQ==</vt:lpwstr>
  </property>
</Properties>
</file>