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D014A">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hint="eastAsia" w:ascii="宋体"/>
          <w:b/>
          <w:kern w:val="0"/>
          <w:sz w:val="52"/>
          <w:szCs w:val="52"/>
          <w:highlight w:val="none"/>
        </w:rPr>
      </w:pPr>
    </w:p>
    <w:p w14:paraId="310A5EB8">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p>
    <w:p w14:paraId="7AA1C486">
      <w:pPr>
        <w:pStyle w:val="31"/>
        <w:jc w:val="center"/>
        <w:outlineLvl w:val="0"/>
        <w:rPr>
          <w:rFonts w:hint="eastAsia" w:eastAsia="宋体"/>
          <w:b/>
          <w:bCs/>
          <w:color w:val="auto"/>
          <w:sz w:val="36"/>
          <w:szCs w:val="40"/>
          <w:highlight w:val="none"/>
          <w:lang w:eastAsia="zh-CN"/>
        </w:rPr>
      </w:pPr>
      <w:bookmarkStart w:id="0" w:name="_Toc31131"/>
      <w:r>
        <w:rPr>
          <w:rFonts w:hint="eastAsia"/>
          <w:b/>
          <w:bCs/>
          <w:color w:val="auto"/>
          <w:sz w:val="36"/>
          <w:szCs w:val="40"/>
          <w:highlight w:val="none"/>
          <w:lang w:eastAsia="zh-CN"/>
        </w:rPr>
        <w:t>台州市文华小学食堂委托管理服务项目</w:t>
      </w:r>
      <w:bookmarkEnd w:id="0"/>
    </w:p>
    <w:p w14:paraId="47A04B26">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b/>
          <w:color w:val="auto"/>
          <w:kern w:val="0"/>
          <w:sz w:val="52"/>
          <w:szCs w:val="52"/>
          <w:highlight w:val="none"/>
        </w:rPr>
      </w:pPr>
    </w:p>
    <w:p w14:paraId="75D8F31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szCs w:val="52"/>
          <w:highlight w:val="none"/>
        </w:rPr>
        <w:t>采 购 文 件</w:t>
      </w:r>
    </w:p>
    <w:p w14:paraId="2A09837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color w:val="auto"/>
          <w:kern w:val="0"/>
          <w:sz w:val="24"/>
          <w:highlight w:val="none"/>
          <w:lang w:eastAsia="zh-CN"/>
        </w:rPr>
      </w:pPr>
      <w:r>
        <w:rPr>
          <w:rFonts w:hint="eastAsia" w:ascii="宋体" w:hAnsi="宋体" w:cs="Calibri Light"/>
          <w:color w:val="auto"/>
          <w:kern w:val="0"/>
          <w:sz w:val="24"/>
          <w:highlight w:val="none"/>
        </w:rPr>
        <w:t>采购编号：</w:t>
      </w:r>
      <w:r>
        <w:rPr>
          <w:rFonts w:ascii="宋体"/>
          <w:b/>
          <w:color w:val="auto"/>
          <w:kern w:val="0"/>
          <w:sz w:val="24"/>
          <w:highlight w:val="none"/>
        </w:rPr>
        <w:t xml:space="preserve"> </w:t>
      </w:r>
      <w:r>
        <w:rPr>
          <w:rFonts w:hint="eastAsia" w:ascii="宋体"/>
          <w:b/>
          <w:color w:val="auto"/>
          <w:kern w:val="0"/>
          <w:sz w:val="24"/>
          <w:highlight w:val="none"/>
          <w:lang w:eastAsia="zh-CN"/>
        </w:rPr>
        <w:t>TZYY-2507-008号</w:t>
      </w:r>
    </w:p>
    <w:p w14:paraId="447F725C">
      <w:pPr>
        <w:tabs>
          <w:tab w:val="left" w:pos="1260"/>
        </w:tabs>
        <w:spacing w:line="640" w:lineRule="exact"/>
        <w:outlineLvl w:val="9"/>
        <w:rPr>
          <w:rFonts w:ascii="宋体" w:hAnsi="宋体"/>
          <w:color w:val="auto"/>
          <w:spacing w:val="20"/>
          <w:kern w:val="21"/>
          <w:sz w:val="30"/>
          <w:szCs w:val="30"/>
          <w:highlight w:val="none"/>
        </w:rPr>
      </w:pPr>
    </w:p>
    <w:p w14:paraId="4B026980">
      <w:pPr>
        <w:tabs>
          <w:tab w:val="left" w:pos="1260"/>
        </w:tabs>
        <w:spacing w:line="640" w:lineRule="exact"/>
        <w:ind w:firstLine="1020" w:firstLineChars="300"/>
        <w:outlineLvl w:val="0"/>
        <w:rPr>
          <w:rFonts w:ascii="宋体" w:hAnsi="宋体"/>
          <w:color w:val="auto"/>
          <w:spacing w:val="20"/>
          <w:kern w:val="21"/>
          <w:sz w:val="30"/>
          <w:szCs w:val="30"/>
          <w:highlight w:val="none"/>
        </w:rPr>
      </w:pPr>
      <w:bookmarkStart w:id="1" w:name="_Toc30721"/>
      <w:bookmarkStart w:id="2" w:name="_Toc30068"/>
      <w:r>
        <w:rPr>
          <w:rFonts w:hint="eastAsia" w:ascii="宋体" w:hAnsi="宋体"/>
          <w:color w:val="auto"/>
          <w:spacing w:val="20"/>
          <w:kern w:val="21"/>
          <w:sz w:val="30"/>
          <w:szCs w:val="30"/>
          <w:highlight w:val="none"/>
        </w:rPr>
        <w:t>采</w:t>
      </w:r>
      <w:r>
        <w:rPr>
          <w:rFonts w:hint="eastAsia" w:ascii="宋体" w:hAnsi="宋体"/>
          <w:color w:val="auto"/>
          <w:spacing w:val="20"/>
          <w:kern w:val="21"/>
          <w:sz w:val="30"/>
          <w:szCs w:val="30"/>
          <w:highlight w:val="none"/>
          <w:lang w:val="en-US" w:eastAsia="zh-CN"/>
        </w:rPr>
        <w:t xml:space="preserve"> </w:t>
      </w:r>
      <w:r>
        <w:rPr>
          <w:rFonts w:hint="eastAsia" w:ascii="宋体" w:hAnsi="宋体"/>
          <w:color w:val="auto"/>
          <w:spacing w:val="20"/>
          <w:kern w:val="21"/>
          <w:sz w:val="30"/>
          <w:szCs w:val="30"/>
          <w:highlight w:val="none"/>
        </w:rPr>
        <w:t>购</w:t>
      </w:r>
      <w:r>
        <w:rPr>
          <w:rFonts w:hint="eastAsia" w:ascii="宋体" w:hAnsi="宋体"/>
          <w:color w:val="auto"/>
          <w:spacing w:val="20"/>
          <w:kern w:val="21"/>
          <w:sz w:val="30"/>
          <w:szCs w:val="30"/>
          <w:highlight w:val="none"/>
          <w:lang w:val="en-US" w:eastAsia="zh-CN"/>
        </w:rPr>
        <w:t xml:space="preserve"> </w:t>
      </w:r>
      <w:r>
        <w:rPr>
          <w:rFonts w:hint="eastAsia" w:ascii="宋体" w:hAnsi="宋体"/>
          <w:color w:val="auto"/>
          <w:spacing w:val="20"/>
          <w:kern w:val="21"/>
          <w:sz w:val="30"/>
          <w:szCs w:val="30"/>
          <w:highlight w:val="none"/>
        </w:rPr>
        <w:t>人：</w:t>
      </w:r>
      <w:r>
        <w:rPr>
          <w:rFonts w:hint="eastAsia"/>
          <w:color w:val="auto"/>
          <w:sz w:val="28"/>
          <w:highlight w:val="none"/>
          <w:u w:val="single"/>
          <w:lang w:eastAsia="zh-CN"/>
        </w:rPr>
        <w:t>台州市文华小学</w:t>
      </w:r>
      <w:r>
        <w:rPr>
          <w:color w:val="auto"/>
          <w:sz w:val="28"/>
          <w:highlight w:val="none"/>
          <w:u w:val="single"/>
        </w:rPr>
        <w:t xml:space="preserve"> </w:t>
      </w:r>
      <w:r>
        <w:rPr>
          <w:rFonts w:hint="eastAsia" w:ascii="宋体" w:hAnsi="宋体"/>
          <w:color w:val="auto"/>
          <w:spacing w:val="20"/>
          <w:kern w:val="21"/>
          <w:sz w:val="30"/>
          <w:szCs w:val="30"/>
          <w:highlight w:val="none"/>
        </w:rPr>
        <w:t>（盖章）</w:t>
      </w:r>
      <w:bookmarkEnd w:id="1"/>
      <w:bookmarkEnd w:id="2"/>
    </w:p>
    <w:p w14:paraId="3115CB83">
      <w:pPr>
        <w:spacing w:line="640" w:lineRule="exact"/>
        <w:ind w:firstLine="1020" w:firstLineChars="300"/>
        <w:outlineLvl w:val="0"/>
        <w:rPr>
          <w:rFonts w:ascii="宋体" w:hAnsi="宋体"/>
          <w:color w:val="auto"/>
          <w:spacing w:val="20"/>
          <w:kern w:val="21"/>
          <w:sz w:val="30"/>
          <w:szCs w:val="30"/>
          <w:highlight w:val="none"/>
        </w:rPr>
      </w:pPr>
      <w:bookmarkStart w:id="3" w:name="_Toc21199"/>
      <w:bookmarkStart w:id="4" w:name="_Toc19623"/>
      <w:r>
        <w:rPr>
          <w:rFonts w:hint="eastAsia" w:ascii="宋体" w:hAnsi="宋体"/>
          <w:color w:val="auto"/>
          <w:spacing w:val="20"/>
          <w:kern w:val="21"/>
          <w:sz w:val="30"/>
          <w:szCs w:val="30"/>
          <w:highlight w:val="none"/>
        </w:rPr>
        <w:t>联 系 人：</w:t>
      </w:r>
      <w:r>
        <w:rPr>
          <w:rFonts w:hint="eastAsia" w:hAnsi="宋体"/>
          <w:color w:val="auto"/>
          <w:sz w:val="28"/>
          <w:highlight w:val="none"/>
          <w:u w:val="single"/>
          <w:lang w:val="en-US" w:eastAsia="zh-CN"/>
        </w:rPr>
        <w:t>张</w:t>
      </w:r>
      <w:r>
        <w:rPr>
          <w:rFonts w:hint="eastAsia" w:hAnsi="宋体"/>
          <w:color w:val="auto"/>
          <w:sz w:val="28"/>
          <w:highlight w:val="none"/>
          <w:u w:val="single"/>
        </w:rPr>
        <w:t>老师</w:t>
      </w:r>
      <w:bookmarkEnd w:id="3"/>
      <w:bookmarkEnd w:id="4"/>
    </w:p>
    <w:p w14:paraId="2C8229EF">
      <w:pPr>
        <w:spacing w:line="640" w:lineRule="exact"/>
        <w:ind w:firstLine="1020" w:firstLineChars="300"/>
        <w:outlineLvl w:val="0"/>
        <w:rPr>
          <w:rFonts w:hint="default" w:ascii="宋体" w:hAnsi="宋体" w:eastAsia="宋体"/>
          <w:color w:val="auto"/>
          <w:spacing w:val="20"/>
          <w:kern w:val="21"/>
          <w:sz w:val="30"/>
          <w:szCs w:val="30"/>
          <w:highlight w:val="none"/>
          <w:lang w:val="en-US" w:eastAsia="zh-CN"/>
        </w:rPr>
      </w:pPr>
      <w:bookmarkStart w:id="5" w:name="_Toc30839"/>
      <w:bookmarkStart w:id="6" w:name="_Toc409"/>
      <w:r>
        <w:rPr>
          <w:rFonts w:hint="eastAsia" w:ascii="宋体" w:hAnsi="宋体"/>
          <w:color w:val="auto"/>
          <w:spacing w:val="20"/>
          <w:kern w:val="21"/>
          <w:sz w:val="30"/>
          <w:szCs w:val="30"/>
          <w:highlight w:val="none"/>
        </w:rPr>
        <w:t>联系电话：</w:t>
      </w:r>
      <w:bookmarkEnd w:id="5"/>
      <w:r>
        <w:rPr>
          <w:rFonts w:hint="eastAsia" w:ascii="宋体" w:hAnsi="宋体"/>
          <w:color w:val="auto"/>
          <w:spacing w:val="20"/>
          <w:kern w:val="21"/>
          <w:sz w:val="30"/>
          <w:szCs w:val="30"/>
          <w:highlight w:val="none"/>
          <w:u w:val="single"/>
        </w:rPr>
        <w:t>0576-89061709</w:t>
      </w:r>
      <w:bookmarkEnd w:id="6"/>
    </w:p>
    <w:p w14:paraId="627B01A9">
      <w:pPr>
        <w:pStyle w:val="12"/>
        <w:numPr>
          <w:ilvl w:val="0"/>
          <w:numId w:val="0"/>
        </w:numPr>
        <w:rPr>
          <w:color w:val="auto"/>
          <w:highlight w:val="none"/>
        </w:rPr>
      </w:pPr>
    </w:p>
    <w:p w14:paraId="61BBCA15">
      <w:pPr>
        <w:spacing w:line="640" w:lineRule="exact"/>
        <w:ind w:firstLine="1020" w:firstLineChars="300"/>
        <w:outlineLvl w:val="0"/>
        <w:rPr>
          <w:rFonts w:ascii="宋体" w:hAnsi="宋体"/>
          <w:spacing w:val="20"/>
          <w:kern w:val="21"/>
          <w:sz w:val="30"/>
          <w:szCs w:val="30"/>
          <w:highlight w:val="none"/>
        </w:rPr>
      </w:pPr>
      <w:bookmarkStart w:id="7" w:name="_Toc13326"/>
      <w:bookmarkStart w:id="8" w:name="_Toc28988"/>
      <w:r>
        <w:rPr>
          <w:rFonts w:hint="eastAsia" w:ascii="宋体" w:hAnsi="宋体"/>
          <w:spacing w:val="20"/>
          <w:kern w:val="21"/>
          <w:sz w:val="30"/>
          <w:szCs w:val="30"/>
          <w:highlight w:val="none"/>
        </w:rPr>
        <w:t>招标代理：</w:t>
      </w:r>
      <w:r>
        <w:rPr>
          <w:rFonts w:hint="eastAsia" w:ascii="宋体" w:hAnsi="宋体"/>
          <w:sz w:val="28"/>
          <w:highlight w:val="none"/>
          <w:u w:val="single"/>
          <w:lang w:eastAsia="zh-CN"/>
        </w:rPr>
        <w:t>台州市永阳科技有限公司</w:t>
      </w:r>
      <w:r>
        <w:rPr>
          <w:rFonts w:hint="eastAsia" w:ascii="宋体" w:hAnsi="宋体"/>
          <w:spacing w:val="20"/>
          <w:kern w:val="21"/>
          <w:sz w:val="30"/>
          <w:szCs w:val="30"/>
          <w:highlight w:val="none"/>
        </w:rPr>
        <w:t>（盖章）</w:t>
      </w:r>
      <w:bookmarkEnd w:id="7"/>
      <w:bookmarkEnd w:id="8"/>
    </w:p>
    <w:p w14:paraId="3ACF6BAC">
      <w:pPr>
        <w:spacing w:line="640" w:lineRule="exact"/>
        <w:ind w:firstLine="1020" w:firstLineChars="300"/>
        <w:outlineLvl w:val="0"/>
        <w:rPr>
          <w:rFonts w:ascii="宋体" w:hAnsi="宋体"/>
          <w:spacing w:val="20"/>
          <w:kern w:val="21"/>
          <w:sz w:val="30"/>
          <w:szCs w:val="30"/>
          <w:highlight w:val="none"/>
        </w:rPr>
      </w:pPr>
      <w:bookmarkStart w:id="9" w:name="_Toc10981"/>
      <w:bookmarkStart w:id="10" w:name="_Toc8450"/>
      <w:r>
        <w:rPr>
          <w:rFonts w:hint="eastAsia" w:ascii="宋体" w:hAnsi="宋体"/>
          <w:spacing w:val="20"/>
          <w:kern w:val="21"/>
          <w:sz w:val="30"/>
          <w:szCs w:val="30"/>
          <w:highlight w:val="none"/>
        </w:rPr>
        <w:t>联 系 人：</w:t>
      </w:r>
      <w:r>
        <w:rPr>
          <w:rFonts w:hint="eastAsia" w:ascii="宋体" w:hAnsi="宋体"/>
          <w:sz w:val="28"/>
          <w:highlight w:val="none"/>
          <w:u w:val="single"/>
        </w:rPr>
        <w:t>周先生</w:t>
      </w:r>
      <w:bookmarkEnd w:id="9"/>
      <w:bookmarkEnd w:id="10"/>
    </w:p>
    <w:p w14:paraId="30EA24F5">
      <w:pPr>
        <w:spacing w:line="480" w:lineRule="auto"/>
        <w:ind w:firstLine="1020" w:firstLineChars="300"/>
        <w:rPr>
          <w:rFonts w:ascii="宋体" w:hAnsi="宋体"/>
          <w:spacing w:val="20"/>
          <w:kern w:val="21"/>
          <w:sz w:val="30"/>
          <w:szCs w:val="30"/>
          <w:highlight w:val="none"/>
        </w:rPr>
      </w:pPr>
      <w:r>
        <w:rPr>
          <w:rFonts w:hint="eastAsia" w:ascii="宋体" w:hAnsi="宋体"/>
          <w:spacing w:val="20"/>
          <w:kern w:val="21"/>
          <w:sz w:val="30"/>
          <w:szCs w:val="30"/>
          <w:highlight w:val="none"/>
        </w:rPr>
        <w:t>联系电话：</w:t>
      </w:r>
      <w:r>
        <w:rPr>
          <w:rFonts w:hint="eastAsia" w:ascii="宋体" w:hAnsi="宋体"/>
          <w:sz w:val="28"/>
          <w:highlight w:val="none"/>
          <w:u w:val="single"/>
        </w:rPr>
        <w:t>18958682891</w:t>
      </w:r>
    </w:p>
    <w:p w14:paraId="02E7799C">
      <w:pPr>
        <w:spacing w:line="640" w:lineRule="exact"/>
        <w:ind w:firstLine="1020" w:firstLineChars="300"/>
        <w:outlineLvl w:val="0"/>
        <w:rPr>
          <w:rFonts w:ascii="宋体" w:hAnsi="宋体"/>
          <w:b/>
          <w:color w:val="auto"/>
          <w:sz w:val="36"/>
          <w:highlight w:val="none"/>
        </w:rPr>
        <w:sectPr>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bookmarkStart w:id="11" w:name="_Toc31658"/>
      <w:bookmarkStart w:id="12" w:name="_Toc22370"/>
      <w:r>
        <w:rPr>
          <w:rFonts w:hint="eastAsia" w:ascii="宋体" w:hAnsi="宋体"/>
          <w:spacing w:val="20"/>
          <w:kern w:val="21"/>
          <w:sz w:val="30"/>
          <w:szCs w:val="30"/>
          <w:highlight w:val="none"/>
        </w:rPr>
        <w:t>日    期：20</w:t>
      </w:r>
      <w:r>
        <w:rPr>
          <w:rFonts w:hint="eastAsia" w:ascii="宋体" w:hAnsi="宋体"/>
          <w:color w:val="auto"/>
          <w:spacing w:val="20"/>
          <w:kern w:val="21"/>
          <w:sz w:val="30"/>
          <w:szCs w:val="30"/>
          <w:highlight w:val="none"/>
        </w:rPr>
        <w:t>2</w:t>
      </w:r>
      <w:r>
        <w:rPr>
          <w:rFonts w:hint="eastAsia" w:ascii="宋体" w:hAnsi="宋体"/>
          <w:color w:val="auto"/>
          <w:spacing w:val="20"/>
          <w:kern w:val="21"/>
          <w:sz w:val="30"/>
          <w:szCs w:val="30"/>
          <w:highlight w:val="none"/>
          <w:lang w:val="en-US" w:eastAsia="zh-CN"/>
        </w:rPr>
        <w:t>5</w:t>
      </w:r>
      <w:r>
        <w:rPr>
          <w:rFonts w:hint="eastAsia" w:ascii="宋体" w:hAnsi="宋体"/>
          <w:color w:val="auto"/>
          <w:spacing w:val="20"/>
          <w:kern w:val="21"/>
          <w:sz w:val="30"/>
          <w:szCs w:val="30"/>
          <w:highlight w:val="none"/>
        </w:rPr>
        <w:t>年</w:t>
      </w:r>
      <w:r>
        <w:rPr>
          <w:rFonts w:hint="eastAsia" w:ascii="宋体" w:hAnsi="宋体"/>
          <w:color w:val="auto"/>
          <w:spacing w:val="20"/>
          <w:kern w:val="21"/>
          <w:sz w:val="30"/>
          <w:szCs w:val="30"/>
          <w:highlight w:val="none"/>
          <w:lang w:val="en-US" w:eastAsia="zh-CN"/>
        </w:rPr>
        <w:t>08</w:t>
      </w:r>
      <w:r>
        <w:rPr>
          <w:rFonts w:hint="eastAsia" w:ascii="宋体" w:hAnsi="宋体"/>
          <w:color w:val="auto"/>
          <w:spacing w:val="20"/>
          <w:kern w:val="21"/>
          <w:sz w:val="30"/>
          <w:szCs w:val="30"/>
          <w:highlight w:val="none"/>
        </w:rPr>
        <w:t>月</w:t>
      </w:r>
      <w:bookmarkEnd w:id="11"/>
      <w:bookmarkEnd w:id="12"/>
    </w:p>
    <w:p w14:paraId="7D2E498B">
      <w:pPr>
        <w:pStyle w:val="36"/>
        <w:rPr>
          <w:highlight w:val="none"/>
        </w:rPr>
      </w:pPr>
    </w:p>
    <w:sdt>
      <w:sdtPr>
        <w:rPr>
          <w:rFonts w:ascii="宋体" w:hAnsi="宋体" w:eastAsia="宋体" w:cs="Times New Roman"/>
          <w:kern w:val="2"/>
          <w:sz w:val="40"/>
          <w:szCs w:val="48"/>
          <w:highlight w:val="none"/>
          <w:lang w:val="en-US" w:eastAsia="zh-CN" w:bidi="ar-SA"/>
        </w:rPr>
        <w:id w:val="147463668"/>
        <w15:color w:val="DBDBDB"/>
        <w:docPartObj>
          <w:docPartGallery w:val="Table of Contents"/>
          <w:docPartUnique/>
        </w:docPartObj>
      </w:sdtPr>
      <w:sdtEndPr>
        <w:rPr>
          <w:rFonts w:ascii="Times New Roman" w:hAnsi="Times New Roman" w:eastAsia="宋体" w:cs="Times New Roman"/>
          <w:kern w:val="2"/>
          <w:sz w:val="21"/>
          <w:szCs w:val="28"/>
          <w:highlight w:val="none"/>
          <w:lang w:val="en-US" w:eastAsia="zh-CN" w:bidi="ar-SA"/>
        </w:rPr>
      </w:sdtEndPr>
      <w:sdtContent>
        <w:p w14:paraId="3BEDD2C9">
          <w:pPr>
            <w:spacing w:before="0" w:beforeLines="0" w:after="0" w:afterLines="0" w:line="360" w:lineRule="auto"/>
            <w:ind w:left="0" w:leftChars="0" w:right="0" w:rightChars="0" w:firstLine="0" w:firstLineChars="0"/>
            <w:jc w:val="center"/>
            <w:rPr>
              <w:sz w:val="40"/>
              <w:szCs w:val="48"/>
              <w:highlight w:val="none"/>
            </w:rPr>
          </w:pPr>
          <w:r>
            <w:rPr>
              <w:rFonts w:ascii="宋体" w:hAnsi="宋体" w:eastAsia="宋体"/>
              <w:sz w:val="40"/>
              <w:szCs w:val="48"/>
              <w:highlight w:val="none"/>
            </w:rPr>
            <w:t>目</w:t>
          </w:r>
          <w:r>
            <w:rPr>
              <w:rFonts w:hint="eastAsia" w:ascii="宋体" w:hAnsi="宋体"/>
              <w:sz w:val="40"/>
              <w:szCs w:val="48"/>
              <w:highlight w:val="none"/>
              <w:lang w:val="en-US" w:eastAsia="zh-CN"/>
            </w:rPr>
            <w:t xml:space="preserve">  </w:t>
          </w:r>
          <w:r>
            <w:rPr>
              <w:rFonts w:ascii="宋体" w:hAnsi="宋体" w:eastAsia="宋体"/>
              <w:sz w:val="40"/>
              <w:szCs w:val="48"/>
              <w:highlight w:val="none"/>
            </w:rPr>
            <w:t>录</w:t>
          </w:r>
        </w:p>
        <w:p w14:paraId="5EC3400D">
          <w:pPr>
            <w:pStyle w:val="18"/>
            <w:tabs>
              <w:tab w:val="right" w:leader="dot" w:pos="9184"/>
            </w:tabs>
          </w:pPr>
          <w:r>
            <w:rPr>
              <w:sz w:val="52"/>
              <w:szCs w:val="52"/>
              <w:highlight w:val="none"/>
            </w:rPr>
            <w:fldChar w:fldCharType="begin"/>
          </w:r>
          <w:r>
            <w:rPr>
              <w:sz w:val="52"/>
              <w:szCs w:val="52"/>
              <w:highlight w:val="none"/>
            </w:rPr>
            <w:instrText xml:space="preserve">TOC \o "1-1" \h \u </w:instrText>
          </w:r>
          <w:r>
            <w:rPr>
              <w:sz w:val="52"/>
              <w:szCs w:val="52"/>
              <w:highlight w:val="none"/>
            </w:rPr>
            <w:fldChar w:fldCharType="separate"/>
          </w:r>
          <w:r>
            <w:rPr>
              <w:szCs w:val="52"/>
              <w:highlight w:val="none"/>
            </w:rPr>
            <w:fldChar w:fldCharType="begin"/>
          </w:r>
          <w:r>
            <w:rPr>
              <w:szCs w:val="52"/>
              <w:highlight w:val="none"/>
            </w:rPr>
            <w:instrText xml:space="preserve"> HYPERLINK \l _Toc2478 </w:instrText>
          </w:r>
          <w:r>
            <w:rPr>
              <w:szCs w:val="52"/>
              <w:highlight w:val="none"/>
            </w:rPr>
            <w:fldChar w:fldCharType="separate"/>
          </w:r>
          <w:r>
            <w:rPr>
              <w:rFonts w:hint="eastAsia" w:ascii="宋体" w:hAnsi="宋体" w:cs="宋体"/>
              <w:szCs w:val="36"/>
            </w:rPr>
            <w:t xml:space="preserve">第一章 </w:t>
          </w:r>
          <w:r>
            <w:rPr>
              <w:rFonts w:hint="eastAsia" w:ascii="宋体" w:hAnsi="宋体" w:cs="宋体"/>
              <w:kern w:val="0"/>
              <w:szCs w:val="36"/>
              <w:highlight w:val="none"/>
              <w:lang w:eastAsia="zh-CN"/>
            </w:rPr>
            <w:t>招标公告</w:t>
          </w:r>
          <w:r>
            <w:tab/>
          </w:r>
          <w:r>
            <w:fldChar w:fldCharType="begin"/>
          </w:r>
          <w:r>
            <w:instrText xml:space="preserve"> PAGEREF _Toc2478 \h </w:instrText>
          </w:r>
          <w:r>
            <w:fldChar w:fldCharType="separate"/>
          </w:r>
          <w:r>
            <w:t>1</w:t>
          </w:r>
          <w:r>
            <w:fldChar w:fldCharType="end"/>
          </w:r>
          <w:r>
            <w:rPr>
              <w:szCs w:val="52"/>
              <w:highlight w:val="none"/>
            </w:rPr>
            <w:fldChar w:fldCharType="end"/>
          </w:r>
        </w:p>
        <w:p w14:paraId="533A9D58">
          <w:pPr>
            <w:pStyle w:val="18"/>
            <w:tabs>
              <w:tab w:val="right" w:leader="dot" w:pos="9184"/>
            </w:tabs>
          </w:pPr>
          <w:r>
            <w:rPr>
              <w:szCs w:val="52"/>
              <w:highlight w:val="none"/>
            </w:rPr>
            <w:fldChar w:fldCharType="begin"/>
          </w:r>
          <w:r>
            <w:rPr>
              <w:szCs w:val="52"/>
              <w:highlight w:val="none"/>
            </w:rPr>
            <w:instrText xml:space="preserve"> HYPERLINK \l _Toc15902 </w:instrText>
          </w:r>
          <w:r>
            <w:rPr>
              <w:szCs w:val="52"/>
              <w:highlight w:val="none"/>
            </w:rPr>
            <w:fldChar w:fldCharType="separate"/>
          </w:r>
          <w:r>
            <w:rPr>
              <w:rFonts w:hint="eastAsia" w:asciiTheme="minorEastAsia" w:hAnsiTheme="minorEastAsia" w:eastAsiaTheme="minorEastAsia"/>
              <w:szCs w:val="36"/>
            </w:rPr>
            <w:t xml:space="preserve">第二章 </w:t>
          </w:r>
          <w:r>
            <w:rPr>
              <w:rFonts w:hint="eastAsia" w:asciiTheme="minorEastAsia" w:hAnsiTheme="minorEastAsia" w:eastAsiaTheme="minorEastAsia"/>
              <w:szCs w:val="36"/>
              <w:highlight w:val="none"/>
            </w:rPr>
            <w:t>投标人须知</w:t>
          </w:r>
          <w:r>
            <w:tab/>
          </w:r>
          <w:r>
            <w:fldChar w:fldCharType="begin"/>
          </w:r>
          <w:r>
            <w:instrText xml:space="preserve"> PAGEREF _Toc15902 \h </w:instrText>
          </w:r>
          <w:r>
            <w:fldChar w:fldCharType="separate"/>
          </w:r>
          <w:r>
            <w:t>5</w:t>
          </w:r>
          <w:r>
            <w:fldChar w:fldCharType="end"/>
          </w:r>
          <w:r>
            <w:rPr>
              <w:szCs w:val="52"/>
              <w:highlight w:val="none"/>
            </w:rPr>
            <w:fldChar w:fldCharType="end"/>
          </w:r>
        </w:p>
        <w:p w14:paraId="410A465C">
          <w:pPr>
            <w:pStyle w:val="18"/>
            <w:tabs>
              <w:tab w:val="right" w:leader="dot" w:pos="9184"/>
            </w:tabs>
          </w:pPr>
          <w:r>
            <w:rPr>
              <w:szCs w:val="52"/>
              <w:highlight w:val="none"/>
            </w:rPr>
            <w:fldChar w:fldCharType="begin"/>
          </w:r>
          <w:r>
            <w:rPr>
              <w:szCs w:val="52"/>
              <w:highlight w:val="none"/>
            </w:rPr>
            <w:instrText xml:space="preserve"> HYPERLINK \l _Toc9992 </w:instrText>
          </w:r>
          <w:r>
            <w:rPr>
              <w:szCs w:val="52"/>
              <w:highlight w:val="none"/>
            </w:rPr>
            <w:fldChar w:fldCharType="separate"/>
          </w:r>
          <w:r>
            <w:rPr>
              <w:rFonts w:hint="eastAsia" w:asciiTheme="minorEastAsia" w:hAnsiTheme="minorEastAsia" w:eastAsiaTheme="minorEastAsia"/>
              <w:szCs w:val="36"/>
            </w:rPr>
            <w:t xml:space="preserve">第三章 </w:t>
          </w:r>
          <w:r>
            <w:rPr>
              <w:rFonts w:hint="eastAsia" w:asciiTheme="minorEastAsia" w:hAnsiTheme="minorEastAsia" w:eastAsiaTheme="minorEastAsia"/>
              <w:szCs w:val="36"/>
              <w:highlight w:val="none"/>
            </w:rPr>
            <w:t>招标需求</w:t>
          </w:r>
          <w:r>
            <w:tab/>
          </w:r>
          <w:r>
            <w:fldChar w:fldCharType="begin"/>
          </w:r>
          <w:r>
            <w:instrText xml:space="preserve"> PAGEREF _Toc9992 \h </w:instrText>
          </w:r>
          <w:r>
            <w:fldChar w:fldCharType="separate"/>
          </w:r>
          <w:r>
            <w:t>14</w:t>
          </w:r>
          <w:r>
            <w:fldChar w:fldCharType="end"/>
          </w:r>
          <w:r>
            <w:rPr>
              <w:szCs w:val="52"/>
              <w:highlight w:val="none"/>
            </w:rPr>
            <w:fldChar w:fldCharType="end"/>
          </w:r>
        </w:p>
        <w:p w14:paraId="5E4A0593">
          <w:pPr>
            <w:pStyle w:val="18"/>
            <w:tabs>
              <w:tab w:val="right" w:leader="dot" w:pos="9184"/>
            </w:tabs>
          </w:pPr>
          <w:r>
            <w:rPr>
              <w:szCs w:val="52"/>
              <w:highlight w:val="none"/>
            </w:rPr>
            <w:fldChar w:fldCharType="begin"/>
          </w:r>
          <w:r>
            <w:rPr>
              <w:szCs w:val="52"/>
              <w:highlight w:val="none"/>
            </w:rPr>
            <w:instrText xml:space="preserve"> HYPERLINK \l _Toc13451 </w:instrText>
          </w:r>
          <w:r>
            <w:rPr>
              <w:szCs w:val="52"/>
              <w:highlight w:val="none"/>
            </w:rPr>
            <w:fldChar w:fldCharType="separate"/>
          </w:r>
          <w:r>
            <w:rPr>
              <w:rFonts w:hint="eastAsia" w:asciiTheme="minorEastAsia" w:hAnsiTheme="minorEastAsia" w:eastAsiaTheme="minorEastAsia"/>
              <w:szCs w:val="36"/>
            </w:rPr>
            <w:t xml:space="preserve">第四章 </w:t>
          </w:r>
          <w:r>
            <w:rPr>
              <w:rFonts w:hint="eastAsia" w:asciiTheme="minorEastAsia" w:hAnsiTheme="minorEastAsia" w:eastAsiaTheme="minorEastAsia"/>
              <w:szCs w:val="36"/>
              <w:highlight w:val="none"/>
            </w:rPr>
            <w:t>评标</w:t>
          </w:r>
          <w:r>
            <w:tab/>
          </w:r>
          <w:r>
            <w:fldChar w:fldCharType="begin"/>
          </w:r>
          <w:r>
            <w:instrText xml:space="preserve"> PAGEREF _Toc13451 \h </w:instrText>
          </w:r>
          <w:r>
            <w:fldChar w:fldCharType="separate"/>
          </w:r>
          <w:r>
            <w:t>21</w:t>
          </w:r>
          <w:r>
            <w:fldChar w:fldCharType="end"/>
          </w:r>
          <w:r>
            <w:rPr>
              <w:szCs w:val="52"/>
              <w:highlight w:val="none"/>
            </w:rPr>
            <w:fldChar w:fldCharType="end"/>
          </w:r>
        </w:p>
        <w:p w14:paraId="14231AA0">
          <w:pPr>
            <w:pStyle w:val="18"/>
            <w:tabs>
              <w:tab w:val="right" w:leader="dot" w:pos="9184"/>
            </w:tabs>
          </w:pPr>
          <w:r>
            <w:rPr>
              <w:szCs w:val="52"/>
              <w:highlight w:val="none"/>
            </w:rPr>
            <w:fldChar w:fldCharType="begin"/>
          </w:r>
          <w:r>
            <w:rPr>
              <w:szCs w:val="52"/>
              <w:highlight w:val="none"/>
            </w:rPr>
            <w:instrText xml:space="preserve"> HYPERLINK \l _Toc25195 </w:instrText>
          </w:r>
          <w:r>
            <w:rPr>
              <w:szCs w:val="52"/>
              <w:highlight w:val="none"/>
            </w:rPr>
            <w:fldChar w:fldCharType="separate"/>
          </w:r>
          <w:r>
            <w:rPr>
              <w:rFonts w:hint="eastAsia" w:asciiTheme="minorEastAsia" w:hAnsiTheme="minorEastAsia" w:eastAsiaTheme="minorEastAsia"/>
              <w:szCs w:val="36"/>
            </w:rPr>
            <w:t xml:space="preserve">第五章 </w:t>
          </w:r>
          <w:r>
            <w:rPr>
              <w:rFonts w:hint="eastAsia" w:asciiTheme="minorEastAsia" w:hAnsiTheme="minorEastAsia" w:eastAsiaTheme="minorEastAsia"/>
              <w:szCs w:val="36"/>
              <w:highlight w:val="none"/>
            </w:rPr>
            <w:t>拟签订的合同文本</w:t>
          </w:r>
          <w:r>
            <w:tab/>
          </w:r>
          <w:r>
            <w:fldChar w:fldCharType="begin"/>
          </w:r>
          <w:r>
            <w:instrText xml:space="preserve"> PAGEREF _Toc25195 \h </w:instrText>
          </w:r>
          <w:r>
            <w:fldChar w:fldCharType="separate"/>
          </w:r>
          <w:r>
            <w:t>27</w:t>
          </w:r>
          <w:r>
            <w:fldChar w:fldCharType="end"/>
          </w:r>
          <w:r>
            <w:rPr>
              <w:szCs w:val="52"/>
              <w:highlight w:val="none"/>
            </w:rPr>
            <w:fldChar w:fldCharType="end"/>
          </w:r>
        </w:p>
        <w:p w14:paraId="738EB0C4">
          <w:pPr>
            <w:pStyle w:val="18"/>
            <w:tabs>
              <w:tab w:val="right" w:leader="dot" w:pos="9184"/>
            </w:tabs>
          </w:pPr>
          <w:r>
            <w:rPr>
              <w:szCs w:val="52"/>
              <w:highlight w:val="none"/>
            </w:rPr>
            <w:fldChar w:fldCharType="begin"/>
          </w:r>
          <w:r>
            <w:rPr>
              <w:szCs w:val="52"/>
              <w:highlight w:val="none"/>
            </w:rPr>
            <w:instrText xml:space="preserve"> HYPERLINK \l _Toc2047 </w:instrText>
          </w:r>
          <w:r>
            <w:rPr>
              <w:szCs w:val="52"/>
              <w:highlight w:val="none"/>
            </w:rPr>
            <w:fldChar w:fldCharType="separate"/>
          </w:r>
          <w:r>
            <w:rPr>
              <w:rFonts w:hint="eastAsia" w:asciiTheme="minorEastAsia" w:hAnsiTheme="minorEastAsia" w:eastAsiaTheme="minorEastAsia"/>
              <w:szCs w:val="36"/>
              <w:highlight w:val="none"/>
            </w:rPr>
            <w:t>第六章 投标文件格式</w:t>
          </w:r>
          <w:r>
            <w:tab/>
          </w:r>
          <w:r>
            <w:fldChar w:fldCharType="begin"/>
          </w:r>
          <w:r>
            <w:instrText xml:space="preserve"> PAGEREF _Toc2047 \h </w:instrText>
          </w:r>
          <w:r>
            <w:fldChar w:fldCharType="separate"/>
          </w:r>
          <w:r>
            <w:t>41</w:t>
          </w:r>
          <w:r>
            <w:fldChar w:fldCharType="end"/>
          </w:r>
          <w:r>
            <w:rPr>
              <w:szCs w:val="52"/>
              <w:highlight w:val="none"/>
            </w:rPr>
            <w:fldChar w:fldCharType="end"/>
          </w:r>
        </w:p>
        <w:p w14:paraId="75B81537">
          <w:pPr>
            <w:spacing w:line="360" w:lineRule="auto"/>
            <w:rPr>
              <w:sz w:val="28"/>
              <w:szCs w:val="28"/>
              <w:highlight w:val="none"/>
            </w:rPr>
          </w:pPr>
          <w:r>
            <w:rPr>
              <w:szCs w:val="52"/>
              <w:highlight w:val="none"/>
            </w:rPr>
            <w:fldChar w:fldCharType="end"/>
          </w:r>
        </w:p>
      </w:sdtContent>
    </w:sdt>
    <w:p w14:paraId="749AFEA9">
      <w:pPr>
        <w:spacing w:line="360" w:lineRule="auto"/>
        <w:rPr>
          <w:highlight w:val="none"/>
        </w:rPr>
      </w:pPr>
    </w:p>
    <w:p w14:paraId="40492492">
      <w:pPr>
        <w:spacing w:line="360" w:lineRule="auto"/>
        <w:rPr>
          <w:highlight w:val="none"/>
        </w:rPr>
      </w:pPr>
    </w:p>
    <w:p w14:paraId="5FDC2991">
      <w:pPr>
        <w:spacing w:line="360" w:lineRule="auto"/>
        <w:rPr>
          <w:highlight w:val="none"/>
        </w:rPr>
      </w:pPr>
    </w:p>
    <w:p w14:paraId="5B4B0666">
      <w:pPr>
        <w:spacing w:line="360" w:lineRule="auto"/>
        <w:rPr>
          <w:highlight w:val="none"/>
        </w:rPr>
      </w:pPr>
    </w:p>
    <w:p w14:paraId="70C28E16">
      <w:pPr>
        <w:spacing w:line="360" w:lineRule="auto"/>
        <w:rPr>
          <w:highlight w:val="none"/>
        </w:rPr>
      </w:pPr>
    </w:p>
    <w:p w14:paraId="7BADA227">
      <w:pPr>
        <w:spacing w:line="360" w:lineRule="auto"/>
        <w:rPr>
          <w:highlight w:val="none"/>
        </w:rPr>
      </w:pPr>
    </w:p>
    <w:p w14:paraId="0308492F">
      <w:pPr>
        <w:spacing w:line="360" w:lineRule="auto"/>
        <w:rPr>
          <w:highlight w:val="none"/>
        </w:rPr>
      </w:pPr>
    </w:p>
    <w:p w14:paraId="33FF88E0">
      <w:pPr>
        <w:spacing w:line="360" w:lineRule="auto"/>
        <w:rPr>
          <w:highlight w:val="none"/>
        </w:rPr>
      </w:pPr>
    </w:p>
    <w:p w14:paraId="60C8BFC1">
      <w:pPr>
        <w:spacing w:line="360" w:lineRule="auto"/>
        <w:rPr>
          <w:highlight w:val="none"/>
        </w:rPr>
      </w:pPr>
    </w:p>
    <w:p w14:paraId="79204BDF">
      <w:pPr>
        <w:spacing w:line="360" w:lineRule="auto"/>
        <w:rPr>
          <w:highlight w:val="none"/>
        </w:rPr>
      </w:pPr>
    </w:p>
    <w:p w14:paraId="0E04D1B0">
      <w:pPr>
        <w:spacing w:line="360" w:lineRule="auto"/>
        <w:rPr>
          <w:highlight w:val="none"/>
        </w:rPr>
      </w:pPr>
    </w:p>
    <w:p w14:paraId="4DADB812">
      <w:pPr>
        <w:spacing w:line="360" w:lineRule="auto"/>
        <w:rPr>
          <w:highlight w:val="none"/>
        </w:rPr>
      </w:pPr>
    </w:p>
    <w:p w14:paraId="06333B39">
      <w:pPr>
        <w:spacing w:line="360" w:lineRule="auto"/>
        <w:rPr>
          <w:highlight w:val="none"/>
        </w:rPr>
      </w:pPr>
    </w:p>
    <w:p w14:paraId="1475C20E">
      <w:pPr>
        <w:spacing w:line="360" w:lineRule="auto"/>
        <w:rPr>
          <w:highlight w:val="none"/>
        </w:rPr>
      </w:pPr>
    </w:p>
    <w:p w14:paraId="7FAB29B6">
      <w:pPr>
        <w:spacing w:line="360" w:lineRule="auto"/>
        <w:rPr>
          <w:highlight w:val="none"/>
        </w:rPr>
      </w:pPr>
    </w:p>
    <w:p w14:paraId="6C1D019F">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highlight w:val="none"/>
        </w:rPr>
        <w:sectPr>
          <w:footerReference r:id="rId6" w:type="default"/>
          <w:pgSz w:w="11906" w:h="16838"/>
          <w:pgMar w:top="1247" w:right="1361" w:bottom="1247" w:left="1361" w:header="851" w:footer="851" w:gutter="0"/>
          <w:pgNumType w:fmt="numberInDash"/>
          <w:cols w:space="720" w:num="1"/>
          <w:docGrid w:type="lines" w:linePitch="312" w:charSpace="0"/>
        </w:sectPr>
      </w:pPr>
    </w:p>
    <w:p w14:paraId="777DEF0D">
      <w:pPr>
        <w:numPr>
          <w:ilvl w:val="0"/>
          <w:numId w:val="5"/>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highlight w:val="none"/>
        </w:rPr>
      </w:pPr>
      <w:bookmarkStart w:id="13" w:name="_Toc2478"/>
      <w:r>
        <w:rPr>
          <w:rFonts w:hint="eastAsia" w:ascii="宋体" w:hAnsi="宋体" w:cs="宋体"/>
          <w:b/>
          <w:kern w:val="0"/>
          <w:sz w:val="36"/>
          <w:szCs w:val="36"/>
          <w:highlight w:val="none"/>
          <w:lang w:eastAsia="zh-CN"/>
        </w:rPr>
        <w:t>招标公告</w:t>
      </w:r>
      <w:bookmarkEnd w:id="13"/>
    </w:p>
    <w:p w14:paraId="2395B2C3">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cs="宋体"/>
          <w:b w:val="0"/>
          <w:sz w:val="24"/>
          <w:szCs w:val="24"/>
          <w:highlight w:val="none"/>
        </w:rPr>
      </w:pPr>
      <w:bookmarkStart w:id="14" w:name="_Toc28359002"/>
      <w:bookmarkStart w:id="15" w:name="_Toc35393790"/>
      <w:bookmarkStart w:id="16" w:name="_Toc28359079"/>
      <w:bookmarkStart w:id="17" w:name="_Toc35393621"/>
      <w:bookmarkStart w:id="18" w:name="_Hlk24379207"/>
      <w:r>
        <w:rPr>
          <w:rFonts w:hint="eastAsia" w:cs="宋体"/>
          <w:b w:val="0"/>
          <w:sz w:val="24"/>
          <w:szCs w:val="24"/>
          <w:highlight w:val="none"/>
          <w:u w:val="single"/>
          <w:lang w:eastAsia="zh-CN"/>
        </w:rPr>
        <w:t>台州市永阳科技有限公司</w:t>
      </w:r>
      <w:r>
        <w:rPr>
          <w:rFonts w:hint="eastAsia" w:cs="宋体"/>
          <w:b w:val="0"/>
          <w:sz w:val="24"/>
          <w:szCs w:val="24"/>
          <w:highlight w:val="none"/>
        </w:rPr>
        <w:t>受</w:t>
      </w:r>
      <w:r>
        <w:rPr>
          <w:rFonts w:hint="eastAsia" w:cs="宋体"/>
          <w:b w:val="0"/>
          <w:sz w:val="24"/>
          <w:szCs w:val="24"/>
          <w:highlight w:val="none"/>
          <w:u w:val="single"/>
          <w:lang w:eastAsia="zh-CN"/>
        </w:rPr>
        <w:t>台州市文华小学</w:t>
      </w:r>
      <w:r>
        <w:rPr>
          <w:rFonts w:hint="eastAsia" w:cs="宋体"/>
          <w:b w:val="0"/>
          <w:sz w:val="24"/>
          <w:szCs w:val="24"/>
          <w:highlight w:val="none"/>
        </w:rPr>
        <w:t>委托，就</w:t>
      </w:r>
      <w:r>
        <w:rPr>
          <w:rFonts w:hint="eastAsia" w:cs="宋体"/>
          <w:b w:val="0"/>
          <w:sz w:val="24"/>
          <w:szCs w:val="24"/>
          <w:highlight w:val="none"/>
          <w:u w:val="single"/>
          <w:lang w:eastAsia="zh-CN"/>
        </w:rPr>
        <w:t>台州市文华小学食堂委托管理服务项目</w:t>
      </w:r>
      <w:r>
        <w:rPr>
          <w:rFonts w:hint="eastAsia" w:cs="宋体"/>
          <w:b w:val="0"/>
          <w:sz w:val="24"/>
          <w:szCs w:val="24"/>
          <w:highlight w:val="none"/>
        </w:rPr>
        <w:t>进行公开招标，欢迎符合资格条件的国内投标人参加投标。</w:t>
      </w:r>
    </w:p>
    <w:p w14:paraId="1C1177E8">
      <w:pPr>
        <w:pStyle w:val="5"/>
        <w:keepNext w:val="0"/>
        <w:keepLines w:val="0"/>
        <w:pageBreakBefore w:val="0"/>
        <w:widowControl w:val="0"/>
        <w:numPr>
          <w:ilvl w:val="0"/>
          <w:numId w:val="6"/>
        </w:numPr>
        <w:kinsoku/>
        <w:wordWrap/>
        <w:overflowPunct/>
        <w:topLinePunct w:val="0"/>
        <w:bidi w:val="0"/>
        <w:adjustRightInd/>
        <w:snapToGrid/>
        <w:spacing w:line="360" w:lineRule="auto"/>
        <w:ind w:left="0" w:leftChars="0" w:right="0" w:firstLine="420" w:firstLineChars="0"/>
        <w:jc w:val="left"/>
        <w:textAlignment w:val="auto"/>
        <w:rPr>
          <w:rFonts w:cs="宋体"/>
          <w:bCs/>
          <w:sz w:val="24"/>
          <w:szCs w:val="24"/>
          <w:highlight w:val="none"/>
        </w:rPr>
      </w:pPr>
      <w:r>
        <w:rPr>
          <w:rFonts w:hint="eastAsia" w:cs="宋体"/>
          <w:bCs/>
          <w:sz w:val="24"/>
          <w:szCs w:val="24"/>
          <w:highlight w:val="none"/>
        </w:rPr>
        <w:t>项目基本情况</w:t>
      </w:r>
      <w:bookmarkEnd w:id="14"/>
      <w:bookmarkEnd w:id="15"/>
      <w:bookmarkEnd w:id="16"/>
      <w:bookmarkEnd w:id="17"/>
    </w:p>
    <w:p w14:paraId="2E4DD879">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hint="eastAsia" w:ascii="宋体" w:hAnsi="宋体" w:cs="宋体"/>
          <w:sz w:val="24"/>
          <w:highlight w:val="none"/>
        </w:rPr>
        <w:t>项目编号：</w:t>
      </w:r>
      <w:r>
        <w:rPr>
          <w:rFonts w:hint="eastAsia" w:ascii="宋体" w:hAnsi="宋体" w:cs="宋体"/>
          <w:sz w:val="24"/>
          <w:highlight w:val="none"/>
          <w:lang w:eastAsia="zh-CN"/>
        </w:rPr>
        <w:t>TZYY-2507-008号</w:t>
      </w:r>
      <w:r>
        <w:rPr>
          <w:rFonts w:ascii="宋体" w:hAnsi="宋体" w:cs="宋体"/>
          <w:sz w:val="24"/>
          <w:highlight w:val="none"/>
        </w:rPr>
        <w:t xml:space="preserve"> </w:t>
      </w:r>
    </w:p>
    <w:bookmarkEnd w:id="18"/>
    <w:p w14:paraId="33751660">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highlight w:val="none"/>
        </w:rPr>
      </w:pPr>
      <w:r>
        <w:rPr>
          <w:rFonts w:hint="eastAsia" w:ascii="宋体" w:hAnsi="宋体" w:cs="宋体"/>
          <w:sz w:val="24"/>
          <w:highlight w:val="none"/>
        </w:rPr>
        <w:t>项目名称：</w:t>
      </w:r>
      <w:r>
        <w:rPr>
          <w:rFonts w:hint="eastAsia" w:ascii="宋体" w:hAnsi="宋体" w:cs="宋体"/>
          <w:sz w:val="24"/>
          <w:highlight w:val="none"/>
          <w:lang w:eastAsia="zh-CN"/>
        </w:rPr>
        <w:t>台州市文华小学食堂委托管理服务项目</w:t>
      </w:r>
      <w:r>
        <w:rPr>
          <w:highlight w:val="none"/>
        </w:rPr>
        <w:t xml:space="preserve"> </w:t>
      </w:r>
    </w:p>
    <w:tbl>
      <w:tblPr>
        <w:tblStyle w:val="26"/>
        <w:tblpPr w:leftFromText="181" w:rightFromText="181" w:bottomFromText="170" w:vertAnchor="text" w:tblpXSpec="center" w:tblpY="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5169"/>
        <w:gridCol w:w="2086"/>
      </w:tblGrid>
      <w:tr w14:paraId="360F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267" w:type="dxa"/>
            <w:vAlign w:val="center"/>
          </w:tcPr>
          <w:p w14:paraId="46A2EC60">
            <w:pPr>
              <w:keepNext w:val="0"/>
              <w:keepLines w:val="0"/>
              <w:pageBreakBefore w:val="0"/>
              <w:widowControl w:val="0"/>
              <w:kinsoku/>
              <w:wordWrap/>
              <w:overflowPunct/>
              <w:topLinePunct w:val="0"/>
              <w:bidi w:val="0"/>
              <w:adjustRightInd/>
              <w:snapToGrid/>
              <w:spacing w:line="360" w:lineRule="auto"/>
              <w:ind w:right="0"/>
              <w:jc w:val="center"/>
              <w:textAlignment w:val="auto"/>
              <w:rPr>
                <w:rFonts w:hint="eastAsia" w:ascii="宋体" w:hAnsi="宋体" w:cs="宋体"/>
                <w:sz w:val="24"/>
                <w:highlight w:val="none"/>
              </w:rPr>
            </w:pPr>
            <w:r>
              <w:rPr>
                <w:rFonts w:hint="eastAsia" w:ascii="宋体" w:hAnsi="宋体" w:cs="宋体"/>
                <w:sz w:val="24"/>
                <w:highlight w:val="none"/>
              </w:rPr>
              <w:t>标</w:t>
            </w:r>
            <w:r>
              <w:rPr>
                <w:rFonts w:hint="eastAsia" w:ascii="宋体" w:hAnsi="宋体" w:cs="宋体"/>
                <w:sz w:val="24"/>
                <w:highlight w:val="none"/>
                <w:lang w:val="en-US" w:eastAsia="zh-CN"/>
              </w:rPr>
              <w:t>段</w:t>
            </w:r>
            <w:r>
              <w:rPr>
                <w:rFonts w:hint="eastAsia" w:ascii="宋体" w:hAnsi="宋体" w:cs="宋体"/>
                <w:sz w:val="24"/>
                <w:highlight w:val="none"/>
              </w:rPr>
              <w:t>号</w:t>
            </w:r>
          </w:p>
        </w:tc>
        <w:tc>
          <w:tcPr>
            <w:tcW w:w="5169" w:type="dxa"/>
            <w:vAlign w:val="center"/>
          </w:tcPr>
          <w:p w14:paraId="70C408F6">
            <w:pPr>
              <w:keepNext w:val="0"/>
              <w:keepLines w:val="0"/>
              <w:pageBreakBefore w:val="0"/>
              <w:widowControl w:val="0"/>
              <w:kinsoku/>
              <w:wordWrap/>
              <w:overflowPunct/>
              <w:topLinePunct w:val="0"/>
              <w:bidi w:val="0"/>
              <w:adjustRightInd/>
              <w:snapToGrid/>
              <w:spacing w:line="360" w:lineRule="auto"/>
              <w:ind w:right="0"/>
              <w:jc w:val="center"/>
              <w:textAlignment w:val="auto"/>
              <w:rPr>
                <w:rFonts w:hint="eastAsia" w:ascii="宋体" w:hAnsi="宋体" w:cs="宋体"/>
                <w:sz w:val="24"/>
                <w:highlight w:val="none"/>
              </w:rPr>
            </w:pPr>
            <w:r>
              <w:rPr>
                <w:rFonts w:hint="eastAsia" w:ascii="宋体" w:hAnsi="宋体" w:cs="宋体"/>
                <w:sz w:val="24"/>
                <w:highlight w:val="none"/>
              </w:rPr>
              <w:t>标</w:t>
            </w:r>
            <w:r>
              <w:rPr>
                <w:rFonts w:hint="eastAsia" w:ascii="宋体" w:hAnsi="宋体" w:cs="宋体"/>
                <w:sz w:val="24"/>
                <w:highlight w:val="none"/>
                <w:lang w:val="en-US" w:eastAsia="zh-CN"/>
              </w:rPr>
              <w:t>段</w:t>
            </w:r>
            <w:r>
              <w:rPr>
                <w:rFonts w:hint="eastAsia" w:ascii="宋体" w:hAnsi="宋体" w:cs="宋体"/>
                <w:sz w:val="24"/>
                <w:highlight w:val="none"/>
              </w:rPr>
              <w:t>名称</w:t>
            </w:r>
          </w:p>
        </w:tc>
        <w:tc>
          <w:tcPr>
            <w:tcW w:w="2086" w:type="dxa"/>
            <w:vAlign w:val="center"/>
          </w:tcPr>
          <w:p w14:paraId="3AA8CCAA">
            <w:pPr>
              <w:keepNext w:val="0"/>
              <w:keepLines w:val="0"/>
              <w:pageBreakBefore w:val="0"/>
              <w:widowControl w:val="0"/>
              <w:kinsoku/>
              <w:wordWrap/>
              <w:overflowPunct/>
              <w:topLinePunct w:val="0"/>
              <w:bidi w:val="0"/>
              <w:adjustRightInd/>
              <w:snapToGrid/>
              <w:spacing w:line="360" w:lineRule="auto"/>
              <w:ind w:right="0"/>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费率上限价</w:t>
            </w:r>
          </w:p>
        </w:tc>
      </w:tr>
      <w:tr w14:paraId="7252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267" w:type="dxa"/>
            <w:vAlign w:val="center"/>
          </w:tcPr>
          <w:p w14:paraId="5AAA1332">
            <w:pPr>
              <w:keepNext w:val="0"/>
              <w:keepLines w:val="0"/>
              <w:pageBreakBefore w:val="0"/>
              <w:widowControl w:val="0"/>
              <w:kinsoku/>
              <w:wordWrap/>
              <w:overflowPunct/>
              <w:topLinePunct w:val="0"/>
              <w:bidi w:val="0"/>
              <w:adjustRightInd/>
              <w:snapToGrid/>
              <w:spacing w:line="360" w:lineRule="auto"/>
              <w:ind w:right="0"/>
              <w:jc w:val="center"/>
              <w:textAlignment w:val="auto"/>
              <w:rPr>
                <w:rFonts w:hint="eastAsia" w:ascii="宋体" w:hAnsi="宋体" w:cs="宋体"/>
                <w:sz w:val="24"/>
                <w:highlight w:val="none"/>
              </w:rPr>
            </w:pPr>
            <w:r>
              <w:rPr>
                <w:rFonts w:hint="eastAsia" w:ascii="宋体" w:hAnsi="宋体" w:cs="宋体"/>
                <w:sz w:val="24"/>
                <w:highlight w:val="none"/>
              </w:rPr>
              <w:t>1</w:t>
            </w:r>
          </w:p>
        </w:tc>
        <w:tc>
          <w:tcPr>
            <w:tcW w:w="5169" w:type="dxa"/>
            <w:vAlign w:val="center"/>
          </w:tcPr>
          <w:p w14:paraId="2C57DFB5">
            <w:pPr>
              <w:keepNext w:val="0"/>
              <w:keepLines w:val="0"/>
              <w:pageBreakBefore w:val="0"/>
              <w:widowControl w:val="0"/>
              <w:kinsoku/>
              <w:wordWrap/>
              <w:overflowPunct/>
              <w:topLinePunct w:val="0"/>
              <w:bidi w:val="0"/>
              <w:adjustRightInd/>
              <w:snapToGrid/>
              <w:spacing w:line="360" w:lineRule="auto"/>
              <w:ind w:right="0"/>
              <w:jc w:val="center"/>
              <w:textAlignment w:val="auto"/>
              <w:rPr>
                <w:rFonts w:hint="eastAsia" w:ascii="宋体" w:hAnsi="宋体" w:cs="宋体"/>
                <w:sz w:val="24"/>
                <w:highlight w:val="none"/>
                <w:lang w:eastAsia="zh-CN"/>
              </w:rPr>
            </w:pPr>
            <w:r>
              <w:rPr>
                <w:rFonts w:hint="eastAsia" w:ascii="宋体" w:hAnsi="宋体" w:cs="宋体"/>
                <w:sz w:val="24"/>
                <w:highlight w:val="none"/>
                <w:lang w:eastAsia="zh-CN"/>
              </w:rPr>
              <w:t>台州市文华小学食堂委托管理服务项目</w:t>
            </w:r>
          </w:p>
        </w:tc>
        <w:tc>
          <w:tcPr>
            <w:tcW w:w="2086" w:type="dxa"/>
            <w:vAlign w:val="center"/>
          </w:tcPr>
          <w:p w14:paraId="25B480BF">
            <w:pPr>
              <w:keepNext w:val="0"/>
              <w:keepLines w:val="0"/>
              <w:pageBreakBefore w:val="0"/>
              <w:widowControl w:val="0"/>
              <w:kinsoku/>
              <w:wordWrap/>
              <w:overflowPunct/>
              <w:topLinePunct w:val="0"/>
              <w:bidi w:val="0"/>
              <w:adjustRightInd/>
              <w:snapToGrid/>
              <w:spacing w:line="360" w:lineRule="auto"/>
              <w:ind w:right="0"/>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20%</w:t>
            </w:r>
          </w:p>
        </w:tc>
      </w:tr>
    </w:tbl>
    <w:p w14:paraId="3FB2C084">
      <w:pPr>
        <w:pStyle w:val="5"/>
        <w:keepNext w:val="0"/>
        <w:keepLines w:val="0"/>
        <w:pageBreakBefore w:val="0"/>
        <w:widowControl w:val="0"/>
        <w:numPr>
          <w:ilvl w:val="0"/>
          <w:numId w:val="6"/>
        </w:numPr>
        <w:tabs>
          <w:tab w:val="left" w:pos="9660"/>
          <w:tab w:val="clear" w:pos="8280"/>
        </w:tabs>
        <w:kinsoku/>
        <w:wordWrap/>
        <w:overflowPunct/>
        <w:topLinePunct w:val="0"/>
        <w:bidi w:val="0"/>
        <w:adjustRightInd/>
        <w:snapToGrid/>
        <w:spacing w:line="360" w:lineRule="auto"/>
        <w:ind w:left="0" w:leftChars="0" w:right="0" w:firstLine="482" w:firstLineChars="200"/>
        <w:jc w:val="left"/>
        <w:textAlignment w:val="auto"/>
        <w:rPr>
          <w:rFonts w:cs="宋体"/>
          <w:bCs/>
          <w:sz w:val="24"/>
          <w:szCs w:val="24"/>
          <w:highlight w:val="none"/>
        </w:rPr>
      </w:pPr>
      <w:bookmarkStart w:id="19" w:name="_Toc35393622"/>
      <w:bookmarkStart w:id="20" w:name="_Toc35393791"/>
      <w:bookmarkStart w:id="21" w:name="_Toc28359080"/>
      <w:bookmarkStart w:id="22" w:name="_Toc28359003"/>
      <w:r>
        <w:rPr>
          <w:rFonts w:hint="eastAsia" w:cs="宋体"/>
          <w:bCs/>
          <w:sz w:val="24"/>
          <w:szCs w:val="24"/>
          <w:highlight w:val="none"/>
        </w:rPr>
        <w:t>投标人的资格要求</w:t>
      </w:r>
      <w:bookmarkEnd w:id="19"/>
      <w:bookmarkEnd w:id="20"/>
      <w:bookmarkEnd w:id="21"/>
      <w:bookmarkEnd w:id="22"/>
    </w:p>
    <w:p w14:paraId="018352F3">
      <w:pPr>
        <w:keepNext w:val="0"/>
        <w:keepLines w:val="0"/>
        <w:pageBreakBefore w:val="0"/>
        <w:widowControl w:val="0"/>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满足《中华人民共和国政府采购法》第二十二条规定。</w:t>
      </w:r>
    </w:p>
    <w:p w14:paraId="658552C9">
      <w:pPr>
        <w:keepNext w:val="0"/>
        <w:keepLines w:val="0"/>
        <w:pageBreakBefore w:val="0"/>
        <w:widowControl w:val="0"/>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rPr>
      </w:pPr>
      <w:bookmarkStart w:id="23" w:name="_Toc28359004"/>
      <w:bookmarkStart w:id="24" w:name="_Toc35393792"/>
      <w:bookmarkStart w:id="25" w:name="_Toc35393623"/>
      <w:bookmarkStart w:id="26" w:name="_Toc28359081"/>
      <w:r>
        <w:rPr>
          <w:rFonts w:hint="eastAsia" w:ascii="宋体" w:hAnsi="宋体" w:cs="宋体"/>
          <w:sz w:val="24"/>
          <w:szCs w:val="24"/>
          <w:highlight w:val="none"/>
        </w:rPr>
        <w:t>本项目的特定资格要求：依法取得浙江省内市场监督管理部门颁发的食品经营许可证，含餐饮服务管理经营项目。（总公司可以用分公司的资质参与投标）。</w:t>
      </w:r>
    </w:p>
    <w:p w14:paraId="44F6B6B2">
      <w:pPr>
        <w:keepNext w:val="0"/>
        <w:keepLines w:val="0"/>
        <w:pageBreakBefore w:val="0"/>
        <w:widowControl w:val="0"/>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本项目不接受联合体投标。</w:t>
      </w:r>
    </w:p>
    <w:p w14:paraId="460F8558">
      <w:pPr>
        <w:keepNext w:val="0"/>
        <w:keepLines w:val="0"/>
        <w:pageBreakBefore w:val="0"/>
        <w:widowControl w:val="0"/>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信用记录：未被列入“信用中国”失信被执行人或重大税收违法案件当事人名单；未处于“中国政府采购网”</w:t>
      </w:r>
      <w:r>
        <w:rPr>
          <w:sz w:val="24"/>
          <w:szCs w:val="24"/>
          <w:highlight w:val="none"/>
        </w:rPr>
        <w:fldChar w:fldCharType="begin"/>
      </w:r>
      <w:r>
        <w:rPr>
          <w:sz w:val="24"/>
          <w:szCs w:val="24"/>
          <w:highlight w:val="none"/>
        </w:rPr>
        <w:instrText xml:space="preserve"> HYPERLINK "http://www.ccgp.gov.cn）政府采购严重违法失信行为信息记录中的禁止参加政府采购活动期间。/" </w:instrText>
      </w:r>
      <w:r>
        <w:rPr>
          <w:sz w:val="24"/>
          <w:szCs w:val="24"/>
          <w:highlight w:val="none"/>
        </w:rPr>
        <w:fldChar w:fldCharType="separate"/>
      </w:r>
      <w:r>
        <w:rPr>
          <w:rFonts w:hint="eastAsia" w:ascii="宋体" w:hAnsi="宋体" w:cs="宋体"/>
          <w:sz w:val="24"/>
          <w:szCs w:val="24"/>
          <w:highlight w:val="none"/>
        </w:rPr>
        <w:t>政府采购严重违法失信行为信息记录中的禁止参加政府采购活动期间。</w:t>
      </w:r>
      <w:r>
        <w:rPr>
          <w:rFonts w:ascii="宋体" w:hAnsi="宋体" w:cs="宋体"/>
          <w:sz w:val="24"/>
          <w:szCs w:val="24"/>
          <w:highlight w:val="none"/>
        </w:rPr>
        <w:fldChar w:fldCharType="end"/>
      </w:r>
    </w:p>
    <w:p w14:paraId="35228E11">
      <w:pPr>
        <w:keepNext w:val="0"/>
        <w:keepLines w:val="0"/>
        <w:pageBreakBefore w:val="0"/>
        <w:widowControl w:val="0"/>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szCs w:val="24"/>
          <w:highlight w:val="none"/>
        </w:rPr>
      </w:pPr>
      <w:r>
        <w:rPr>
          <w:rFonts w:hint="eastAsia" w:ascii="宋体" w:hAnsi="宋体"/>
          <w:sz w:val="24"/>
          <w:szCs w:val="24"/>
          <w:highlight w:val="none"/>
        </w:rPr>
        <w:t>公益一类事业单位，既不属于政府购买服务的购买主体，也不属于承接主体，不得参与承接政府购买服务。</w:t>
      </w:r>
    </w:p>
    <w:p w14:paraId="5F28C532">
      <w:pPr>
        <w:keepNext w:val="0"/>
        <w:keepLines w:val="0"/>
        <w:pageBreakBefore w:val="0"/>
        <w:widowControl w:val="0"/>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法律、行政法规规定的其他条件：单位负责人为同一人或者存在直接控股、管理关系的不同供应商，不得同时参加同一项目投标，不得再参与本项目投标。</w:t>
      </w:r>
    </w:p>
    <w:p w14:paraId="48430003">
      <w:pPr>
        <w:pStyle w:val="5"/>
        <w:keepNext w:val="0"/>
        <w:keepLines w:val="0"/>
        <w:pageBreakBefore w:val="0"/>
        <w:widowControl w:val="0"/>
        <w:numPr>
          <w:ilvl w:val="0"/>
          <w:numId w:val="6"/>
        </w:numPr>
        <w:tabs>
          <w:tab w:val="left" w:pos="9660"/>
          <w:tab w:val="clear" w:pos="8280"/>
        </w:tabs>
        <w:kinsoku/>
        <w:wordWrap/>
        <w:overflowPunct/>
        <w:topLinePunct w:val="0"/>
        <w:bidi w:val="0"/>
        <w:adjustRightInd/>
        <w:snapToGrid/>
        <w:spacing w:line="360" w:lineRule="auto"/>
        <w:ind w:left="0" w:leftChars="0" w:right="0" w:firstLine="482" w:firstLineChars="200"/>
        <w:jc w:val="left"/>
        <w:textAlignment w:val="auto"/>
        <w:rPr>
          <w:rFonts w:cs="宋体"/>
          <w:bCs/>
          <w:sz w:val="24"/>
          <w:szCs w:val="24"/>
          <w:highlight w:val="none"/>
        </w:rPr>
      </w:pPr>
      <w:r>
        <w:rPr>
          <w:rFonts w:hint="eastAsia" w:cs="宋体"/>
          <w:bCs/>
          <w:sz w:val="24"/>
          <w:szCs w:val="24"/>
          <w:highlight w:val="none"/>
        </w:rPr>
        <w:t>获取招标文件</w:t>
      </w:r>
      <w:bookmarkEnd w:id="23"/>
      <w:bookmarkEnd w:id="24"/>
      <w:bookmarkEnd w:id="25"/>
      <w:bookmarkEnd w:id="26"/>
    </w:p>
    <w:p w14:paraId="1878AA5D">
      <w:pPr>
        <w:keepNext w:val="0"/>
        <w:keepLines w:val="0"/>
        <w:pageBreakBefore w:val="0"/>
        <w:widowControl w:val="0"/>
        <w:numPr>
          <w:ilvl w:val="0"/>
          <w:numId w:val="8"/>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b w:val="0"/>
          <w:bCs w:val="0"/>
          <w:sz w:val="24"/>
          <w:szCs w:val="24"/>
          <w:highlight w:val="none"/>
        </w:rPr>
      </w:pPr>
      <w:r>
        <w:rPr>
          <w:rFonts w:hint="eastAsia" w:ascii="宋体" w:hAnsi="宋体" w:cs="宋体"/>
          <w:b w:val="0"/>
          <w:bCs w:val="0"/>
          <w:sz w:val="24"/>
          <w:szCs w:val="24"/>
          <w:highlight w:val="none"/>
        </w:rPr>
        <w:t>时间：项目发布之日起至</w:t>
      </w:r>
      <w:r>
        <w:rPr>
          <w:rFonts w:hint="eastAsia" w:ascii="宋体" w:hAnsi="宋体" w:cs="宋体"/>
          <w:b w:val="0"/>
          <w:bCs w:val="0"/>
          <w:sz w:val="24"/>
          <w:szCs w:val="24"/>
          <w:highlight w:val="none"/>
          <w:u w:val="single"/>
        </w:rPr>
        <w:t>开标截止时间</w:t>
      </w:r>
    </w:p>
    <w:p w14:paraId="4AA6E5D6">
      <w:pPr>
        <w:keepNext w:val="0"/>
        <w:keepLines w:val="0"/>
        <w:pageBreakBefore w:val="0"/>
        <w:widowControl w:val="0"/>
        <w:numPr>
          <w:ilvl w:val="0"/>
          <w:numId w:val="8"/>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
          <w:kern w:val="0"/>
          <w:sz w:val="24"/>
          <w:szCs w:val="24"/>
          <w:highlight w:val="none"/>
        </w:rPr>
      </w:pPr>
      <w:r>
        <w:rPr>
          <w:rFonts w:hint="eastAsia" w:ascii="宋体" w:hAnsi="宋体" w:cs="宋体"/>
          <w:b w:val="0"/>
          <w:bCs w:val="0"/>
          <w:sz w:val="24"/>
          <w:szCs w:val="24"/>
          <w:highlight w:val="none"/>
        </w:rPr>
        <w:t>方式：</w:t>
      </w:r>
      <w:r>
        <w:rPr>
          <w:rFonts w:hint="eastAsia" w:ascii="宋体" w:hAnsi="宋体" w:cs="宋体"/>
          <w:b w:val="0"/>
          <w:bCs w:val="0"/>
          <w:kern w:val="0"/>
          <w:sz w:val="24"/>
          <w:szCs w:val="24"/>
          <w:highlight w:val="none"/>
        </w:rPr>
        <w:t>网上下载-台州湾新区小额工程电子交易平台</w:t>
      </w:r>
      <w:r>
        <w:rPr>
          <w:rFonts w:hint="eastAsia" w:ascii="宋体" w:hAnsi="宋体" w:cs="宋体"/>
          <w:b/>
          <w:kern w:val="0"/>
          <w:sz w:val="24"/>
          <w:szCs w:val="24"/>
          <w:highlight w:val="none"/>
        </w:rPr>
        <w:t>（</w:t>
      </w:r>
      <w:r>
        <w:rPr>
          <w:rFonts w:ascii="宋体" w:hAnsi="宋体" w:cs="宋体"/>
          <w:b/>
          <w:kern w:val="0"/>
          <w:sz w:val="24"/>
          <w:szCs w:val="24"/>
          <w:highlight w:val="none"/>
        </w:rPr>
        <w:t>http://www.tzwztb.com</w:t>
      </w:r>
      <w:r>
        <w:rPr>
          <w:rFonts w:hint="eastAsia" w:ascii="宋体" w:hAnsi="宋体" w:cs="宋体"/>
          <w:b/>
          <w:kern w:val="0"/>
          <w:sz w:val="24"/>
          <w:szCs w:val="24"/>
          <w:highlight w:val="none"/>
          <w:lang w:eastAsia="zh-CN"/>
        </w:rPr>
        <w:t>）</w:t>
      </w:r>
    </w:p>
    <w:p w14:paraId="402F44DD">
      <w:pPr>
        <w:pStyle w:val="5"/>
        <w:keepNext w:val="0"/>
        <w:keepLines w:val="0"/>
        <w:pageBreakBefore w:val="0"/>
        <w:widowControl w:val="0"/>
        <w:numPr>
          <w:ilvl w:val="0"/>
          <w:numId w:val="6"/>
        </w:numPr>
        <w:kinsoku/>
        <w:wordWrap/>
        <w:overflowPunct/>
        <w:topLinePunct w:val="0"/>
        <w:bidi w:val="0"/>
        <w:adjustRightInd/>
        <w:snapToGrid/>
        <w:spacing w:line="360" w:lineRule="auto"/>
        <w:ind w:left="0" w:leftChars="0" w:right="0" w:firstLine="482" w:firstLineChars="200"/>
        <w:jc w:val="left"/>
        <w:textAlignment w:val="auto"/>
        <w:rPr>
          <w:rFonts w:cs="宋体"/>
          <w:bCs/>
          <w:sz w:val="24"/>
          <w:szCs w:val="24"/>
          <w:highlight w:val="none"/>
        </w:rPr>
      </w:pPr>
      <w:bookmarkStart w:id="27" w:name="_Toc35393793"/>
      <w:bookmarkStart w:id="28" w:name="_Toc28359082"/>
      <w:bookmarkStart w:id="29" w:name="_Toc35393624"/>
      <w:bookmarkStart w:id="30" w:name="_Toc28359005"/>
      <w:r>
        <w:rPr>
          <w:rFonts w:hint="eastAsia" w:cs="宋体"/>
          <w:bCs/>
          <w:sz w:val="24"/>
          <w:szCs w:val="24"/>
          <w:highlight w:val="none"/>
        </w:rPr>
        <w:t>提交投标文件</w:t>
      </w:r>
      <w:bookmarkEnd w:id="27"/>
      <w:bookmarkEnd w:id="28"/>
      <w:bookmarkEnd w:id="29"/>
      <w:bookmarkEnd w:id="30"/>
    </w:p>
    <w:p w14:paraId="3E38D0C8">
      <w:pPr>
        <w:keepNext w:val="0"/>
        <w:keepLines w:val="0"/>
        <w:pageBreakBefore w:val="0"/>
        <w:widowControl w:val="0"/>
        <w:numPr>
          <w:ilvl w:val="0"/>
          <w:numId w:val="9"/>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szCs w:val="24"/>
          <w:highlight w:val="none"/>
        </w:rPr>
      </w:pPr>
      <w:bookmarkStart w:id="31" w:name="_Toc28359007"/>
      <w:bookmarkStart w:id="32" w:name="_Toc35393625"/>
      <w:bookmarkStart w:id="33" w:name="_Toc35393794"/>
      <w:bookmarkStart w:id="34" w:name="_Toc28359084"/>
      <w:r>
        <w:rPr>
          <w:rFonts w:hint="eastAsia" w:ascii="宋体" w:hAnsi="宋体" w:cs="宋体"/>
          <w:color w:val="auto"/>
          <w:sz w:val="24"/>
          <w:szCs w:val="24"/>
          <w:highlight w:val="none"/>
        </w:rPr>
        <w:t>截止时间（开标时间）：</w:t>
      </w:r>
      <w:r>
        <w:rPr>
          <w:rFonts w:hint="eastAsia" w:ascii="宋体" w:hAnsi="宋体" w:cs="宋体"/>
          <w:bCs/>
          <w:color w:val="auto"/>
          <w:sz w:val="24"/>
          <w:szCs w:val="24"/>
          <w:highlight w:val="none"/>
          <w:u w:val="single"/>
          <w:lang w:eastAsia="zh-CN"/>
        </w:rPr>
        <w:t>202</w:t>
      </w:r>
      <w:r>
        <w:rPr>
          <w:rFonts w:hint="eastAsia" w:ascii="宋体" w:hAnsi="宋体" w:cs="宋体"/>
          <w:bCs/>
          <w:color w:val="auto"/>
          <w:sz w:val="24"/>
          <w:szCs w:val="24"/>
          <w:highlight w:val="none"/>
          <w:u w:val="single"/>
          <w:lang w:val="en-US" w:eastAsia="zh-CN"/>
        </w:rPr>
        <w:t>5</w:t>
      </w:r>
      <w:r>
        <w:rPr>
          <w:rFonts w:hint="eastAsia" w:ascii="宋体" w:hAnsi="宋体" w:cs="宋体"/>
          <w:bCs/>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8月18</w:t>
      </w:r>
      <w:r>
        <w:rPr>
          <w:rFonts w:hint="eastAsia" w:ascii="宋体" w:hAnsi="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09</w:t>
      </w:r>
      <w:r>
        <w:rPr>
          <w:rFonts w:hint="eastAsia" w:ascii="宋体" w:hAnsi="宋体" w:cs="宋体"/>
          <w:bCs/>
          <w:color w:val="auto"/>
          <w:sz w:val="24"/>
          <w:szCs w:val="24"/>
          <w:highlight w:val="none"/>
          <w:u w:val="single"/>
        </w:rPr>
        <w:t>点</w:t>
      </w:r>
      <w:r>
        <w:rPr>
          <w:rFonts w:hint="eastAsia" w:ascii="宋体" w:hAnsi="宋体" w:cs="宋体"/>
          <w:bCs/>
          <w:color w:val="auto"/>
          <w:sz w:val="24"/>
          <w:szCs w:val="24"/>
          <w:highlight w:val="none"/>
          <w:u w:val="single"/>
          <w:lang w:val="en-US" w:eastAsia="zh-CN"/>
        </w:rPr>
        <w:t>3</w:t>
      </w:r>
      <w:r>
        <w:rPr>
          <w:rFonts w:hint="eastAsia" w:ascii="宋体" w:hAnsi="宋体" w:cs="宋体"/>
          <w:bCs/>
          <w:color w:val="auto"/>
          <w:sz w:val="24"/>
          <w:szCs w:val="24"/>
          <w:highlight w:val="none"/>
          <w:u w:val="single"/>
        </w:rPr>
        <w:t>0分</w:t>
      </w:r>
      <w:r>
        <w:rPr>
          <w:rFonts w:hint="eastAsia" w:ascii="宋体" w:hAnsi="宋体" w:cs="宋体"/>
          <w:color w:val="auto"/>
          <w:sz w:val="24"/>
          <w:szCs w:val="24"/>
          <w:highlight w:val="none"/>
        </w:rPr>
        <w:t>（北京时间）</w:t>
      </w:r>
    </w:p>
    <w:p w14:paraId="558E22F4">
      <w:pPr>
        <w:keepNext w:val="0"/>
        <w:keepLines w:val="0"/>
        <w:pageBreakBefore w:val="0"/>
        <w:widowControl w:val="0"/>
        <w:numPr>
          <w:ilvl w:val="0"/>
          <w:numId w:val="9"/>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投标网址：台州湾新区小额工程电子交易平台（网址：</w:t>
      </w:r>
      <w:r>
        <w:rPr>
          <w:sz w:val="24"/>
          <w:szCs w:val="24"/>
          <w:highlight w:val="none"/>
        </w:rPr>
        <w:t>http://www.tzwztb.com</w:t>
      </w:r>
      <w:r>
        <w:rPr>
          <w:rFonts w:hint="eastAsia"/>
          <w:sz w:val="24"/>
          <w:szCs w:val="24"/>
          <w:highlight w:val="none"/>
          <w:lang w:eastAsia="zh-CN"/>
        </w:rPr>
        <w:t>）</w:t>
      </w:r>
    </w:p>
    <w:bookmarkEnd w:id="31"/>
    <w:bookmarkEnd w:id="32"/>
    <w:bookmarkEnd w:id="33"/>
    <w:bookmarkEnd w:id="34"/>
    <w:p w14:paraId="11CC9782">
      <w:pPr>
        <w:pStyle w:val="2"/>
        <w:keepNext w:val="0"/>
        <w:keepLines w:val="0"/>
        <w:pageBreakBefore w:val="0"/>
        <w:widowControl w:val="0"/>
        <w:numPr>
          <w:ilvl w:val="0"/>
          <w:numId w:val="6"/>
        </w:numPr>
        <w:kinsoku/>
        <w:wordWrap/>
        <w:overflowPunct/>
        <w:topLinePunct w:val="0"/>
        <w:bidi w:val="0"/>
        <w:adjustRightInd/>
        <w:snapToGrid/>
        <w:spacing w:after="0" w:line="360" w:lineRule="auto"/>
        <w:ind w:left="0" w:leftChars="0" w:right="0" w:firstLine="482" w:firstLineChars="200"/>
        <w:jc w:val="left"/>
        <w:textAlignment w:val="auto"/>
        <w:rPr>
          <w:rFonts w:ascii="宋体" w:hAnsi="宋体" w:cs="宋体"/>
          <w:b/>
          <w:bCs/>
          <w:kern w:val="0"/>
          <w:sz w:val="24"/>
          <w:szCs w:val="24"/>
          <w:highlight w:val="none"/>
        </w:rPr>
      </w:pPr>
      <w:r>
        <w:rPr>
          <w:rFonts w:hint="eastAsia" w:ascii="宋体" w:hAnsi="宋体" w:cs="宋体"/>
          <w:b/>
          <w:bCs/>
          <w:kern w:val="0"/>
          <w:sz w:val="24"/>
          <w:szCs w:val="24"/>
          <w:highlight w:val="none"/>
        </w:rPr>
        <w:t>发布公告</w:t>
      </w:r>
    </w:p>
    <w:p w14:paraId="4DE432AF">
      <w:pPr>
        <w:pStyle w:val="2"/>
        <w:keepNext w:val="0"/>
        <w:keepLines w:val="0"/>
        <w:pageBreakBefore w:val="0"/>
        <w:widowControl w:val="0"/>
        <w:numPr>
          <w:ilvl w:val="0"/>
          <w:numId w:val="10"/>
        </w:numPr>
        <w:kinsoku/>
        <w:wordWrap/>
        <w:overflowPunct/>
        <w:topLinePunct w:val="0"/>
        <w:bidi w:val="0"/>
        <w:adjustRightInd/>
        <w:snapToGrid/>
        <w:spacing w:after="0" w:line="360" w:lineRule="auto"/>
        <w:ind w:left="0" w:leftChars="0" w:right="0" w:firstLine="480" w:firstLineChars="200"/>
        <w:jc w:val="left"/>
        <w:textAlignment w:val="auto"/>
        <w:rPr>
          <w:rFonts w:ascii="宋体" w:hAnsi="宋体" w:cs="宋体"/>
          <w:kern w:val="0"/>
          <w:sz w:val="24"/>
          <w:szCs w:val="24"/>
          <w:highlight w:val="none"/>
        </w:rPr>
      </w:pPr>
      <w:r>
        <w:rPr>
          <w:rFonts w:hint="eastAsia" w:ascii="宋体" w:hAnsi="宋体" w:cs="宋体"/>
          <w:sz w:val="24"/>
          <w:szCs w:val="24"/>
          <w:highlight w:val="none"/>
        </w:rPr>
        <w:t>公告网址：台州湾新区小额工程电子交易平台（http://www.tzwztb.com）、</w:t>
      </w:r>
      <w:r>
        <w:rPr>
          <w:rFonts w:hint="eastAsia" w:ascii="宋体" w:hAnsi="宋体" w:cs="宋体"/>
          <w:kern w:val="0"/>
          <w:sz w:val="24"/>
          <w:szCs w:val="24"/>
          <w:highlight w:val="none"/>
        </w:rPr>
        <w:t>浙江政府采购网（</w:t>
      </w:r>
      <w:r>
        <w:rPr>
          <w:rFonts w:hint="eastAsia" w:ascii="宋体" w:hAnsi="宋体" w:cs="宋体"/>
          <w:sz w:val="24"/>
          <w:szCs w:val="24"/>
          <w:highlight w:val="none"/>
        </w:rPr>
        <w:t>https://zfcg.czt.zj.gov.cn</w:t>
      </w:r>
      <w:r>
        <w:rPr>
          <w:rFonts w:hint="eastAsia" w:ascii="宋体" w:hAnsi="宋体" w:cs="宋体"/>
          <w:kern w:val="0"/>
          <w:sz w:val="24"/>
          <w:szCs w:val="24"/>
          <w:highlight w:val="none"/>
        </w:rPr>
        <w:t>）</w:t>
      </w:r>
    </w:p>
    <w:p w14:paraId="00BF4428">
      <w:pPr>
        <w:pStyle w:val="2"/>
        <w:keepNext w:val="0"/>
        <w:keepLines w:val="0"/>
        <w:pageBreakBefore w:val="0"/>
        <w:widowControl w:val="0"/>
        <w:numPr>
          <w:ilvl w:val="0"/>
          <w:numId w:val="10"/>
        </w:numPr>
        <w:kinsoku/>
        <w:wordWrap/>
        <w:overflowPunct/>
        <w:topLinePunct w:val="0"/>
        <w:bidi w:val="0"/>
        <w:adjustRightInd/>
        <w:snapToGrid/>
        <w:spacing w:after="0" w:line="360" w:lineRule="auto"/>
        <w:ind w:left="0" w:leftChars="0" w:right="0" w:firstLine="480" w:firstLineChars="200"/>
        <w:jc w:val="left"/>
        <w:textAlignment w:val="auto"/>
        <w:rPr>
          <w:rFonts w:ascii="宋体" w:hAnsi="宋体" w:cs="宋体"/>
          <w:kern w:val="0"/>
          <w:sz w:val="24"/>
          <w:szCs w:val="24"/>
          <w:highlight w:val="none"/>
        </w:rPr>
      </w:pPr>
      <w:r>
        <w:rPr>
          <w:rFonts w:hint="eastAsia" w:ascii="宋体" w:hAnsi="宋体" w:cs="宋体"/>
          <w:sz w:val="24"/>
          <w:szCs w:val="24"/>
          <w:highlight w:val="none"/>
        </w:rPr>
        <w:t>公告期限：</w:t>
      </w:r>
      <w:r>
        <w:rPr>
          <w:rFonts w:hint="eastAsia" w:ascii="宋体" w:hAnsi="宋体" w:cs="宋体"/>
          <w:kern w:val="0"/>
          <w:sz w:val="24"/>
          <w:szCs w:val="24"/>
          <w:highlight w:val="none"/>
        </w:rPr>
        <w:t>本公告期限自发布之日起五个工作日</w:t>
      </w:r>
    </w:p>
    <w:p w14:paraId="38B12CF7">
      <w:pPr>
        <w:pStyle w:val="5"/>
        <w:keepNext w:val="0"/>
        <w:keepLines w:val="0"/>
        <w:pageBreakBefore w:val="0"/>
        <w:widowControl w:val="0"/>
        <w:numPr>
          <w:ilvl w:val="0"/>
          <w:numId w:val="6"/>
        </w:numPr>
        <w:kinsoku/>
        <w:wordWrap/>
        <w:overflowPunct/>
        <w:topLinePunct w:val="0"/>
        <w:bidi w:val="0"/>
        <w:adjustRightInd/>
        <w:snapToGrid/>
        <w:spacing w:line="360" w:lineRule="auto"/>
        <w:ind w:left="0" w:leftChars="0" w:right="0" w:firstLine="482" w:firstLineChars="200"/>
        <w:jc w:val="left"/>
        <w:textAlignment w:val="auto"/>
        <w:rPr>
          <w:rFonts w:cs="宋体"/>
          <w:bCs/>
          <w:sz w:val="24"/>
          <w:szCs w:val="24"/>
          <w:highlight w:val="none"/>
        </w:rPr>
      </w:pPr>
      <w:r>
        <w:rPr>
          <w:rFonts w:hint="eastAsia" w:cs="宋体"/>
          <w:bCs/>
          <w:sz w:val="24"/>
          <w:szCs w:val="24"/>
          <w:highlight w:val="none"/>
        </w:rPr>
        <w:t>注册报名</w:t>
      </w:r>
    </w:p>
    <w:p w14:paraId="2C1FC9D8">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 w:val="0"/>
          <w:bCs w:val="0"/>
          <w:sz w:val="24"/>
          <w:szCs w:val="24"/>
          <w:highlight w:val="none"/>
        </w:rPr>
      </w:pPr>
      <w:r>
        <w:rPr>
          <w:rFonts w:hint="eastAsia" w:ascii="宋体" w:hAnsi="宋体" w:cs="宋体"/>
          <w:b w:val="0"/>
          <w:bCs w:val="0"/>
          <w:sz w:val="24"/>
          <w:szCs w:val="24"/>
          <w:highlight w:val="none"/>
        </w:rPr>
        <w:t>投标人需登录</w:t>
      </w:r>
      <w:r>
        <w:rPr>
          <w:rFonts w:hint="eastAsia" w:ascii="宋体" w:hAnsi="宋体" w:cs="宋体"/>
          <w:b w:val="0"/>
          <w:bCs w:val="0"/>
          <w:kern w:val="0"/>
          <w:sz w:val="24"/>
          <w:szCs w:val="24"/>
          <w:highlight w:val="none"/>
        </w:rPr>
        <w:t>台州湾新区小额工程电子交易平台（</w:t>
      </w:r>
      <w:r>
        <w:rPr>
          <w:rFonts w:ascii="宋体" w:hAnsi="宋体" w:cs="宋体"/>
          <w:b w:val="0"/>
          <w:bCs w:val="0"/>
          <w:kern w:val="0"/>
          <w:sz w:val="24"/>
          <w:szCs w:val="24"/>
          <w:highlight w:val="none"/>
        </w:rPr>
        <w:t>http://www.tzwztb.com</w:t>
      </w:r>
      <w:r>
        <w:rPr>
          <w:rFonts w:hint="eastAsia" w:ascii="宋体" w:hAnsi="宋体" w:cs="宋体"/>
          <w:b w:val="0"/>
          <w:bCs w:val="0"/>
          <w:kern w:val="0"/>
          <w:sz w:val="24"/>
          <w:szCs w:val="24"/>
          <w:highlight w:val="none"/>
          <w:lang w:eastAsia="zh-CN"/>
        </w:rPr>
        <w:t>）</w:t>
      </w:r>
      <w:r>
        <w:rPr>
          <w:rFonts w:hint="eastAsia" w:ascii="宋体" w:hAnsi="宋体" w:cs="宋体"/>
          <w:b w:val="0"/>
          <w:bCs w:val="0"/>
          <w:sz w:val="24"/>
          <w:szCs w:val="24"/>
          <w:highlight w:val="none"/>
        </w:rPr>
        <w:t>进行注册后报名。</w:t>
      </w:r>
    </w:p>
    <w:p w14:paraId="3AF421DE">
      <w:pPr>
        <w:keepNext w:val="0"/>
        <w:keepLines w:val="0"/>
        <w:pageBreakBefore w:val="0"/>
        <w:widowControl w:val="0"/>
        <w:numPr>
          <w:ilvl w:val="0"/>
          <w:numId w:val="6"/>
        </w:numPr>
        <w:kinsoku/>
        <w:wordWrap/>
        <w:overflowPunct/>
        <w:topLinePunct w:val="0"/>
        <w:bidi w:val="0"/>
        <w:adjustRightInd/>
        <w:snapToGrid/>
        <w:spacing w:line="360" w:lineRule="auto"/>
        <w:ind w:left="0" w:leftChars="0" w:right="0" w:firstLine="482" w:firstLineChars="200"/>
        <w:jc w:val="left"/>
        <w:textAlignment w:val="auto"/>
        <w:rPr>
          <w:rFonts w:ascii="宋体" w:hAnsi="宋体" w:cs="宋体"/>
          <w:sz w:val="24"/>
          <w:szCs w:val="24"/>
          <w:highlight w:val="none"/>
        </w:rPr>
      </w:pPr>
      <w:r>
        <w:rPr>
          <w:rFonts w:hint="eastAsia" w:ascii="宋体" w:hAnsi="宋体" w:cs="宋体"/>
          <w:b/>
          <w:bCs/>
          <w:sz w:val="24"/>
          <w:szCs w:val="24"/>
          <w:highlight w:val="none"/>
        </w:rPr>
        <w:t>投标保证金</w:t>
      </w:r>
      <w:r>
        <w:rPr>
          <w:rFonts w:hint="eastAsia" w:ascii="宋体" w:hAnsi="宋体" w:cs="宋体"/>
          <w:sz w:val="24"/>
          <w:szCs w:val="24"/>
          <w:highlight w:val="none"/>
        </w:rPr>
        <w:t>：</w:t>
      </w:r>
    </w:p>
    <w:p w14:paraId="77375E3E">
      <w:pPr>
        <w:keepNext w:val="0"/>
        <w:keepLines w:val="0"/>
        <w:pageBreakBefore w:val="0"/>
        <w:widowControl w:val="0"/>
        <w:numPr>
          <w:ilvl w:val="0"/>
          <w:numId w:val="11"/>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bCs w:val="0"/>
          <w:color w:val="auto"/>
          <w:kern w:val="0"/>
          <w:sz w:val="24"/>
          <w:szCs w:val="24"/>
          <w:highlight w:val="none"/>
        </w:rPr>
      </w:pPr>
      <w:r>
        <w:rPr>
          <w:rFonts w:hint="eastAsia" w:ascii="宋体" w:hAnsi="宋体" w:cs="宋体"/>
          <w:b/>
          <w:bCs w:val="0"/>
          <w:color w:val="auto"/>
          <w:kern w:val="0"/>
          <w:sz w:val="24"/>
          <w:szCs w:val="24"/>
          <w:highlight w:val="none"/>
        </w:rPr>
        <w:t>投标保证金金额：</w:t>
      </w:r>
      <w:r>
        <w:rPr>
          <w:rFonts w:hint="eastAsia" w:ascii="宋体" w:hAnsi="宋体" w:cs="宋体"/>
          <w:b/>
          <w:bCs w:val="0"/>
          <w:color w:val="auto"/>
          <w:kern w:val="0"/>
          <w:sz w:val="24"/>
          <w:szCs w:val="24"/>
          <w:highlight w:val="none"/>
          <w:u w:val="single"/>
          <w:lang w:val="en-US" w:eastAsia="zh-CN"/>
        </w:rPr>
        <w:t>5000</w:t>
      </w:r>
      <w:r>
        <w:rPr>
          <w:rFonts w:hint="eastAsia" w:ascii="宋体" w:hAnsi="宋体" w:cs="宋体"/>
          <w:b/>
          <w:bCs w:val="0"/>
          <w:color w:val="auto"/>
          <w:kern w:val="0"/>
          <w:sz w:val="24"/>
          <w:szCs w:val="24"/>
          <w:highlight w:val="none"/>
        </w:rPr>
        <w:t>元。</w:t>
      </w:r>
    </w:p>
    <w:p w14:paraId="1DB591B6">
      <w:pPr>
        <w:pStyle w:val="2"/>
        <w:keepNext w:val="0"/>
        <w:keepLines w:val="0"/>
        <w:pageBreakBefore w:val="0"/>
        <w:widowControl w:val="0"/>
        <w:numPr>
          <w:ilvl w:val="0"/>
          <w:numId w:val="11"/>
        </w:numPr>
        <w:kinsoku/>
        <w:wordWrap/>
        <w:overflowPunct/>
        <w:topLinePunct w:val="0"/>
        <w:bidi w:val="0"/>
        <w:adjustRightInd/>
        <w:snapToGrid/>
        <w:spacing w:after="0" w:line="360" w:lineRule="auto"/>
        <w:ind w:left="0" w:leftChars="0" w:right="0" w:firstLine="482" w:firstLineChars="200"/>
        <w:jc w:val="left"/>
        <w:textAlignment w:val="auto"/>
        <w:rPr>
          <w:rFonts w:ascii="宋体" w:hAnsi="宋体" w:cs="宋体"/>
          <w:b/>
          <w:bCs w:val="0"/>
          <w:kern w:val="0"/>
          <w:sz w:val="24"/>
          <w:szCs w:val="24"/>
          <w:highlight w:val="none"/>
        </w:rPr>
      </w:pPr>
      <w:r>
        <w:rPr>
          <w:rFonts w:hint="eastAsia" w:ascii="宋体" w:hAnsi="宋体" w:cs="宋体"/>
          <w:b/>
          <w:bCs w:val="0"/>
          <w:kern w:val="0"/>
          <w:sz w:val="24"/>
          <w:szCs w:val="24"/>
          <w:highlight w:val="none"/>
        </w:rPr>
        <w:t>投标保证金缴纳方式：现金转账、银行保函、保险机构保证保险保单、融资担保公司保函。</w:t>
      </w:r>
    </w:p>
    <w:p w14:paraId="6B33B9B1">
      <w:pPr>
        <w:keepNext w:val="0"/>
        <w:keepLines w:val="0"/>
        <w:pageBreakBefore w:val="0"/>
        <w:widowControl w:val="0"/>
        <w:numPr>
          <w:ilvl w:val="0"/>
          <w:numId w:val="12"/>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kern w:val="0"/>
          <w:sz w:val="24"/>
          <w:szCs w:val="24"/>
          <w:highlight w:val="none"/>
        </w:rPr>
      </w:pPr>
      <w:r>
        <w:rPr>
          <w:rFonts w:hint="eastAsia" w:ascii="宋体" w:hAnsi="宋体" w:cs="宋体"/>
          <w:b/>
          <w:kern w:val="0"/>
          <w:sz w:val="24"/>
          <w:szCs w:val="24"/>
          <w:highlight w:val="none"/>
        </w:rPr>
        <w:t>现金转账</w:t>
      </w:r>
    </w:p>
    <w:p w14:paraId="57BB9AA1">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① 电汇或银行转账（请不要使用“支付宝”等第三方支付平台），通过“台州湾新区小额工程电子交易平台”取得相应的银行账号后支付，投标保证金收款账号根据不同</w:t>
      </w:r>
      <w:r>
        <w:rPr>
          <w:rFonts w:hint="eastAsia" w:ascii="宋体" w:hAnsi="宋体" w:cs="宋体"/>
          <w:bCs/>
          <w:kern w:val="0"/>
          <w:sz w:val="24"/>
          <w:szCs w:val="24"/>
          <w:highlight w:val="none"/>
          <w:lang w:val="en-US" w:eastAsia="zh-CN"/>
        </w:rPr>
        <w:t>项目</w:t>
      </w:r>
      <w:r>
        <w:rPr>
          <w:rFonts w:hint="eastAsia" w:ascii="宋体" w:hAnsi="宋体" w:cs="宋体"/>
          <w:bCs/>
          <w:kern w:val="0"/>
          <w:sz w:val="24"/>
          <w:szCs w:val="24"/>
          <w:highlight w:val="none"/>
        </w:rPr>
        <w:t>（标段）由系统随机生成，此账号只在本</w:t>
      </w:r>
      <w:r>
        <w:rPr>
          <w:rFonts w:hint="eastAsia" w:ascii="宋体" w:hAnsi="宋体" w:cs="宋体"/>
          <w:bCs/>
          <w:kern w:val="0"/>
          <w:sz w:val="24"/>
          <w:szCs w:val="24"/>
          <w:highlight w:val="none"/>
          <w:lang w:val="en-US" w:eastAsia="zh-CN"/>
        </w:rPr>
        <w:t>项目</w:t>
      </w:r>
      <w:r>
        <w:rPr>
          <w:rFonts w:hint="eastAsia" w:ascii="宋体" w:hAnsi="宋体" w:cs="宋体"/>
          <w:bCs/>
          <w:kern w:val="0"/>
          <w:sz w:val="24"/>
          <w:szCs w:val="24"/>
          <w:highlight w:val="none"/>
        </w:rPr>
        <w:t>（标段）中使用有效，请注意核对。</w:t>
      </w:r>
    </w:p>
    <w:p w14:paraId="2D60FFE1">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②投标人缴纳的投标保证金必须在投标截止时间前到达上述指定账户，否则导致投标无效等后果由投标人自行承担。另外须注意双休日银行柜台休息</w:t>
      </w:r>
      <w:r>
        <w:rPr>
          <w:rFonts w:hint="eastAsia" w:ascii="宋体" w:hAnsi="宋体" w:cs="宋体"/>
          <w:bCs/>
          <w:kern w:val="0"/>
          <w:sz w:val="24"/>
          <w:szCs w:val="24"/>
          <w:highlight w:val="none"/>
          <w:lang w:eastAsia="zh-CN"/>
        </w:rPr>
        <w:t>对公</w:t>
      </w:r>
      <w:r>
        <w:rPr>
          <w:rFonts w:hint="eastAsia" w:ascii="宋体" w:hAnsi="宋体" w:cs="宋体"/>
          <w:bCs/>
          <w:kern w:val="0"/>
          <w:sz w:val="24"/>
          <w:szCs w:val="24"/>
          <w:highlight w:val="none"/>
        </w:rPr>
        <w:t>转账的影响。开标结束后，未中标</w:t>
      </w:r>
      <w:r>
        <w:rPr>
          <w:rFonts w:hint="eastAsia" w:ascii="宋体" w:hAnsi="宋体" w:cs="宋体"/>
          <w:bCs/>
          <w:kern w:val="0"/>
          <w:sz w:val="24"/>
          <w:szCs w:val="24"/>
          <w:highlight w:val="none"/>
          <w:lang w:eastAsia="zh-CN"/>
        </w:rPr>
        <w:t>单位</w:t>
      </w:r>
      <w:r>
        <w:rPr>
          <w:rFonts w:hint="eastAsia" w:ascii="宋体" w:hAnsi="宋体" w:cs="宋体"/>
          <w:bCs/>
          <w:kern w:val="0"/>
          <w:sz w:val="24"/>
          <w:szCs w:val="24"/>
          <w:highlight w:val="none"/>
          <w:lang w:val="en-US" w:eastAsia="zh-CN"/>
        </w:rPr>
        <w:t>十天内返还；</w:t>
      </w:r>
      <w:r>
        <w:rPr>
          <w:rFonts w:hint="eastAsia" w:ascii="宋体" w:hAnsi="宋体" w:cs="宋体"/>
          <w:bCs/>
          <w:kern w:val="0"/>
          <w:sz w:val="24"/>
          <w:szCs w:val="24"/>
          <w:highlight w:val="none"/>
        </w:rPr>
        <w:t>中标人的投标保证金由</w:t>
      </w:r>
      <w:r>
        <w:rPr>
          <w:rFonts w:hint="eastAsia" w:ascii="宋体" w:hAnsi="宋体" w:cs="宋体"/>
          <w:bCs/>
          <w:kern w:val="0"/>
          <w:sz w:val="24"/>
          <w:szCs w:val="24"/>
          <w:highlight w:val="none"/>
          <w:lang w:eastAsia="zh-CN"/>
        </w:rPr>
        <w:t>采购人</w:t>
      </w:r>
      <w:r>
        <w:rPr>
          <w:rFonts w:hint="eastAsia" w:ascii="宋体" w:hAnsi="宋体" w:cs="宋体"/>
          <w:bCs/>
          <w:kern w:val="0"/>
          <w:sz w:val="24"/>
          <w:szCs w:val="24"/>
          <w:highlight w:val="none"/>
        </w:rPr>
        <w:t>暂时保管，待签订合同后，</w:t>
      </w:r>
      <w:r>
        <w:rPr>
          <w:rFonts w:hint="eastAsia" w:ascii="宋体" w:hAnsi="宋体" w:cs="宋体"/>
          <w:bCs/>
          <w:kern w:val="0"/>
          <w:sz w:val="24"/>
          <w:szCs w:val="24"/>
          <w:highlight w:val="none"/>
          <w:lang w:eastAsia="zh-CN"/>
        </w:rPr>
        <w:t>采购人</w:t>
      </w:r>
      <w:r>
        <w:rPr>
          <w:rFonts w:hint="eastAsia" w:ascii="宋体" w:hAnsi="宋体" w:cs="宋体"/>
          <w:bCs/>
          <w:kern w:val="0"/>
          <w:sz w:val="24"/>
          <w:szCs w:val="24"/>
          <w:highlight w:val="none"/>
        </w:rPr>
        <w:t xml:space="preserve">返还中标人 </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不计息</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w:t>
      </w:r>
    </w:p>
    <w:p w14:paraId="3DC8A967">
      <w:pPr>
        <w:keepNext w:val="0"/>
        <w:keepLines w:val="0"/>
        <w:pageBreakBefore w:val="0"/>
        <w:widowControl w:val="0"/>
        <w:numPr>
          <w:ilvl w:val="0"/>
          <w:numId w:val="12"/>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kern w:val="0"/>
          <w:sz w:val="24"/>
          <w:szCs w:val="24"/>
          <w:highlight w:val="none"/>
        </w:rPr>
      </w:pPr>
      <w:r>
        <w:rPr>
          <w:rFonts w:hint="eastAsia" w:ascii="宋体" w:hAnsi="宋体" w:cs="宋体"/>
          <w:b/>
          <w:kern w:val="0"/>
          <w:sz w:val="24"/>
          <w:szCs w:val="24"/>
          <w:highlight w:val="none"/>
        </w:rPr>
        <w:t>银行保函、保险机构保证保险保单、融资担保公司保函（以下合称“保函”）</w:t>
      </w:r>
    </w:p>
    <w:p w14:paraId="7B621022">
      <w:pPr>
        <w:keepNext w:val="0"/>
        <w:keepLines w:val="0"/>
        <w:pageBreakBefore w:val="0"/>
        <w:widowControl w:val="0"/>
        <w:numPr>
          <w:ilvl w:val="0"/>
          <w:numId w:val="13"/>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u w:val="single"/>
        </w:rPr>
      </w:pP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的受益人：</w:t>
      </w:r>
      <w:r>
        <w:rPr>
          <w:rFonts w:hint="eastAsia" w:ascii="宋体" w:hAnsi="宋体" w:cs="宋体"/>
          <w:bCs/>
          <w:kern w:val="0"/>
          <w:sz w:val="24"/>
          <w:szCs w:val="24"/>
          <w:highlight w:val="none"/>
          <w:u w:val="single"/>
          <w:lang w:eastAsia="zh-CN"/>
        </w:rPr>
        <w:t>台州市文华小学</w:t>
      </w:r>
      <w:r>
        <w:rPr>
          <w:rFonts w:hint="eastAsia" w:ascii="宋体" w:hAnsi="宋体" w:cs="宋体"/>
          <w:bCs/>
          <w:kern w:val="0"/>
          <w:sz w:val="24"/>
          <w:szCs w:val="24"/>
          <w:highlight w:val="none"/>
        </w:rPr>
        <w:t>；</w:t>
      </w:r>
    </w:p>
    <w:p w14:paraId="710596B2">
      <w:pPr>
        <w:keepNext w:val="0"/>
        <w:keepLines w:val="0"/>
        <w:pageBreakBefore w:val="0"/>
        <w:widowControl w:val="0"/>
        <w:numPr>
          <w:ilvl w:val="0"/>
          <w:numId w:val="13"/>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的有效期为1年；</w:t>
      </w:r>
    </w:p>
    <w:p w14:paraId="78686B7E">
      <w:pPr>
        <w:keepNext w:val="0"/>
        <w:keepLines w:val="0"/>
        <w:pageBreakBefore w:val="0"/>
        <w:widowControl w:val="0"/>
        <w:numPr>
          <w:ilvl w:val="0"/>
          <w:numId w:val="13"/>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递交方式：</w:t>
      </w:r>
    </w:p>
    <w:p w14:paraId="6ABEF16F">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kern w:val="0"/>
          <w:sz w:val="24"/>
          <w:szCs w:val="24"/>
          <w:highlight w:val="none"/>
        </w:rPr>
      </w:pPr>
      <w:r>
        <w:rPr>
          <w:rFonts w:hint="eastAsia" w:ascii="宋体" w:hAnsi="宋体" w:cs="宋体"/>
          <w:b/>
          <w:kern w:val="0"/>
          <w:sz w:val="24"/>
          <w:szCs w:val="24"/>
          <w:highlight w:val="none"/>
        </w:rPr>
        <w:t>递交方式一（电子保函系统）：</w:t>
      </w:r>
    </w:p>
    <w:p w14:paraId="326A214D">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通过台州湾新区小额工程电子交易平台选择“电子保函”递交方式，并按系统流程进行操作、购买电子保函。</w:t>
      </w:r>
    </w:p>
    <w:p w14:paraId="47F8EB12">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u w:val="single"/>
        </w:rPr>
      </w:pPr>
      <w:r>
        <w:rPr>
          <w:rFonts w:hint="eastAsia" w:ascii="宋体" w:hAnsi="宋体" w:cs="宋体"/>
          <w:bCs/>
          <w:kern w:val="0"/>
          <w:sz w:val="24"/>
          <w:szCs w:val="24"/>
          <w:highlight w:val="none"/>
        </w:rPr>
        <w:t>注：电子保单生效时间为投保第二天00:00</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各投标人须在投标截止时间前一工作日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szCs w:val="24"/>
          <w:highlight w:val="none"/>
          <w:u w:val="single"/>
        </w:rPr>
        <w:t>投标电子保函针对具体项目标段的要求“一标段一保函”，每个标段对应相应的订单号，汇款时备注订单号。</w:t>
      </w:r>
    </w:p>
    <w:p w14:paraId="35C584A7">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kern w:val="0"/>
          <w:sz w:val="24"/>
          <w:szCs w:val="24"/>
          <w:highlight w:val="none"/>
        </w:rPr>
      </w:pPr>
      <w:r>
        <w:rPr>
          <w:rFonts w:hint="eastAsia" w:ascii="宋体" w:hAnsi="宋体" w:cs="宋体"/>
          <w:b/>
          <w:kern w:val="0"/>
          <w:sz w:val="24"/>
          <w:szCs w:val="24"/>
          <w:highlight w:val="none"/>
        </w:rPr>
        <w:t>递交方式二（非电子保函系统）：</w:t>
      </w:r>
    </w:p>
    <w:p w14:paraId="55FD19B1">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投标人须在投标截止时间前将纸质</w:t>
      </w: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 xml:space="preserve">按要求递交。 </w:t>
      </w:r>
    </w:p>
    <w:p w14:paraId="4E3BBC96">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递交方式：现场递交。</w:t>
      </w:r>
    </w:p>
    <w:p w14:paraId="5D6A8C3C">
      <w:pPr>
        <w:keepNext w:val="0"/>
        <w:keepLines w:val="0"/>
        <w:pageBreakBefore w:val="0"/>
        <w:widowControl w:val="0"/>
        <w:numPr>
          <w:ilvl w:val="0"/>
          <w:numId w:val="14"/>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若是投标人的法定代表人递交</w:t>
      </w: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的，应持法定代表人身份证明原件，否则</w:t>
      </w: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不予签收。</w:t>
      </w:r>
    </w:p>
    <w:p w14:paraId="7EB40D9E">
      <w:pPr>
        <w:keepNext w:val="0"/>
        <w:keepLines w:val="0"/>
        <w:pageBreakBefore w:val="0"/>
        <w:widowControl w:val="0"/>
        <w:numPr>
          <w:ilvl w:val="0"/>
          <w:numId w:val="14"/>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若是投标人委托代理人递交</w:t>
      </w: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的，应持针对本</w:t>
      </w:r>
      <w:r>
        <w:rPr>
          <w:rFonts w:hint="eastAsia" w:ascii="宋体" w:hAnsi="宋体" w:cs="宋体"/>
          <w:bCs/>
          <w:kern w:val="0"/>
          <w:sz w:val="24"/>
          <w:szCs w:val="24"/>
          <w:highlight w:val="none"/>
          <w:lang w:val="en-US" w:eastAsia="zh-CN"/>
        </w:rPr>
        <w:t>项目</w:t>
      </w:r>
      <w:r>
        <w:rPr>
          <w:rFonts w:hint="eastAsia" w:ascii="宋体" w:hAnsi="宋体" w:cs="宋体"/>
          <w:bCs/>
          <w:kern w:val="0"/>
          <w:sz w:val="24"/>
          <w:szCs w:val="24"/>
          <w:highlight w:val="none"/>
        </w:rPr>
        <w:t>的法定代表人授权委托书原件（投标文件格式</w:t>
      </w:r>
      <w:r>
        <w:rPr>
          <w:rFonts w:hint="eastAsia" w:ascii="宋体" w:hAnsi="宋体" w:cs="宋体"/>
          <w:bCs/>
          <w:kern w:val="0"/>
          <w:sz w:val="24"/>
          <w:szCs w:val="24"/>
          <w:highlight w:val="none"/>
          <w:lang w:val="en-US" w:eastAsia="zh-CN"/>
        </w:rPr>
        <w:t>-附件2</w:t>
      </w:r>
      <w:r>
        <w:rPr>
          <w:rFonts w:hint="eastAsia" w:ascii="宋体" w:hAnsi="宋体" w:cs="宋体"/>
          <w:bCs/>
          <w:kern w:val="0"/>
          <w:sz w:val="24"/>
          <w:szCs w:val="24"/>
          <w:highlight w:val="none"/>
        </w:rPr>
        <w:t>）及身份证原件，否则</w:t>
      </w: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不予签收。</w:t>
      </w:r>
    </w:p>
    <w:p w14:paraId="10C6D5A1">
      <w:pPr>
        <w:keepNext w:val="0"/>
        <w:keepLines w:val="0"/>
        <w:pageBreakBefore w:val="0"/>
        <w:widowControl w:val="0"/>
        <w:numPr>
          <w:ilvl w:val="0"/>
          <w:numId w:val="14"/>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递交</w:t>
      </w: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时所要求提供的法定代表人授权委托书或法定代表人身份证明中的人员须与投标文件组成中提供的人员一致，若提供的不一致则以无效标处理。</w:t>
      </w:r>
    </w:p>
    <w:p w14:paraId="09058564">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提交地点：</w:t>
      </w:r>
      <w:r>
        <w:rPr>
          <w:rFonts w:hint="eastAsia" w:ascii="宋体" w:hAnsi="宋体" w:cs="宋体"/>
          <w:bCs/>
          <w:kern w:val="0"/>
          <w:sz w:val="24"/>
          <w:szCs w:val="24"/>
          <w:highlight w:val="none"/>
          <w:u w:val="single"/>
        </w:rPr>
        <w:t>台州湾新区海虹街道一楼大厅</w:t>
      </w:r>
    </w:p>
    <w:p w14:paraId="3E9AF6BE">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提交时间：</w:t>
      </w:r>
      <w:r>
        <w:rPr>
          <w:rFonts w:hint="eastAsia" w:ascii="宋体" w:hAnsi="宋体" w:cs="宋体"/>
          <w:bCs/>
          <w:color w:val="auto"/>
          <w:sz w:val="24"/>
          <w:szCs w:val="24"/>
          <w:highlight w:val="none"/>
          <w:u w:val="single"/>
          <w:lang w:eastAsia="zh-CN"/>
        </w:rPr>
        <w:t>202</w:t>
      </w:r>
      <w:r>
        <w:rPr>
          <w:rFonts w:hint="eastAsia" w:ascii="宋体" w:hAnsi="宋体" w:cs="宋体"/>
          <w:bCs/>
          <w:color w:val="auto"/>
          <w:sz w:val="24"/>
          <w:szCs w:val="24"/>
          <w:highlight w:val="none"/>
          <w:u w:val="single"/>
          <w:lang w:val="en-US" w:eastAsia="zh-CN"/>
        </w:rPr>
        <w:t>5</w:t>
      </w:r>
      <w:r>
        <w:rPr>
          <w:rFonts w:hint="eastAsia" w:ascii="宋体" w:hAnsi="宋体" w:cs="宋体"/>
          <w:bCs/>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8月18</w:t>
      </w:r>
      <w:r>
        <w:rPr>
          <w:rFonts w:hint="eastAsia" w:ascii="宋体" w:hAnsi="宋体" w:cs="宋体"/>
          <w:bCs/>
          <w:color w:val="auto"/>
          <w:sz w:val="24"/>
          <w:szCs w:val="24"/>
          <w:highlight w:val="none"/>
          <w:u w:val="single"/>
        </w:rPr>
        <w:t>日</w:t>
      </w:r>
      <w:r>
        <w:rPr>
          <w:rFonts w:hint="eastAsia" w:ascii="宋体" w:hAnsi="宋体" w:cs="宋体"/>
          <w:bCs/>
          <w:color w:val="auto"/>
          <w:kern w:val="0"/>
          <w:sz w:val="24"/>
          <w:szCs w:val="24"/>
          <w:highlight w:val="none"/>
          <w:u w:val="single"/>
          <w:lang w:val="en-US" w:eastAsia="zh-CN"/>
        </w:rPr>
        <w:t>09:0</w:t>
      </w:r>
      <w:r>
        <w:rPr>
          <w:rFonts w:hint="eastAsia" w:ascii="宋体" w:hAnsi="宋体" w:cs="宋体"/>
          <w:bCs/>
          <w:color w:val="auto"/>
          <w:kern w:val="0"/>
          <w:sz w:val="24"/>
          <w:szCs w:val="24"/>
          <w:highlight w:val="none"/>
          <w:u w:val="single"/>
        </w:rPr>
        <w:t>0-</w:t>
      </w:r>
      <w:r>
        <w:rPr>
          <w:rFonts w:hint="eastAsia" w:ascii="宋体" w:hAnsi="宋体" w:cs="宋体"/>
          <w:bCs/>
          <w:color w:val="auto"/>
          <w:kern w:val="0"/>
          <w:sz w:val="24"/>
          <w:szCs w:val="24"/>
          <w:highlight w:val="none"/>
          <w:u w:val="single"/>
          <w:lang w:val="en-US" w:eastAsia="zh-CN"/>
        </w:rPr>
        <w:t>09:3</w:t>
      </w:r>
      <w:r>
        <w:rPr>
          <w:rFonts w:hint="eastAsia" w:ascii="宋体" w:hAnsi="宋体" w:cs="宋体"/>
          <w:bCs/>
          <w:color w:val="auto"/>
          <w:kern w:val="0"/>
          <w:sz w:val="24"/>
          <w:szCs w:val="24"/>
          <w:highlight w:val="none"/>
          <w:u w:val="single"/>
        </w:rPr>
        <w:t>0</w:t>
      </w:r>
    </w:p>
    <w:p w14:paraId="2D4FB928">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接收人：</w:t>
      </w:r>
      <w:r>
        <w:rPr>
          <w:rFonts w:hint="eastAsia" w:ascii="宋体" w:hAnsi="宋体" w:cs="宋体"/>
          <w:bCs/>
          <w:kern w:val="0"/>
          <w:sz w:val="24"/>
          <w:szCs w:val="24"/>
          <w:highlight w:val="none"/>
          <w:u w:val="single"/>
          <w:lang w:eastAsia="zh-CN"/>
        </w:rPr>
        <w:t>台州市永阳科技有限公司（</w:t>
      </w:r>
      <w:r>
        <w:rPr>
          <w:rFonts w:hint="eastAsia" w:ascii="宋体" w:hAnsi="宋体" w:cs="宋体"/>
          <w:bCs/>
          <w:kern w:val="0"/>
          <w:sz w:val="24"/>
          <w:szCs w:val="24"/>
          <w:highlight w:val="none"/>
          <w:u w:val="single"/>
          <w:lang w:val="en-US" w:eastAsia="zh-CN"/>
        </w:rPr>
        <w:t>周先生</w:t>
      </w:r>
      <w:r>
        <w:rPr>
          <w:rFonts w:hint="eastAsia" w:ascii="宋体" w:hAnsi="宋体" w:cs="宋体"/>
          <w:bCs/>
          <w:kern w:val="0"/>
          <w:sz w:val="24"/>
          <w:szCs w:val="24"/>
          <w:highlight w:val="none"/>
          <w:u w:val="single"/>
          <w:lang w:eastAsia="zh-CN"/>
        </w:rPr>
        <w:t>）</w:t>
      </w:r>
    </w:p>
    <w:p w14:paraId="359FC60C">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接收人联系方式：</w:t>
      </w:r>
      <w:r>
        <w:rPr>
          <w:rFonts w:hint="eastAsia" w:ascii="宋体" w:hAnsi="宋体" w:cs="宋体"/>
          <w:bCs/>
          <w:kern w:val="0"/>
          <w:sz w:val="24"/>
          <w:szCs w:val="24"/>
          <w:highlight w:val="none"/>
          <w:u w:val="single"/>
          <w:lang w:val="en-US" w:eastAsia="zh-CN"/>
        </w:rPr>
        <w:t>18958682891</w:t>
      </w:r>
      <w:r>
        <w:rPr>
          <w:rFonts w:hint="eastAsia" w:ascii="宋体" w:hAnsi="宋体" w:cs="宋体"/>
          <w:bCs/>
          <w:kern w:val="0"/>
          <w:sz w:val="24"/>
          <w:szCs w:val="24"/>
          <w:highlight w:val="none"/>
        </w:rPr>
        <w:t xml:space="preserve"> </w:t>
      </w:r>
    </w:p>
    <w:p w14:paraId="0868F029">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注：保函文件中必须包含</w:t>
      </w:r>
      <w:r>
        <w:rPr>
          <w:rFonts w:hint="eastAsia" w:ascii="宋体" w:hAnsi="宋体" w:cs="宋体"/>
          <w:bCs/>
          <w:kern w:val="0"/>
          <w:sz w:val="24"/>
          <w:szCs w:val="24"/>
          <w:highlight w:val="none"/>
          <w:lang w:eastAsia="zh-CN"/>
        </w:rPr>
        <w:t>投标人</w:t>
      </w:r>
      <w:r>
        <w:rPr>
          <w:rFonts w:hint="eastAsia" w:ascii="宋体" w:hAnsi="宋体" w:cs="宋体"/>
          <w:bCs/>
          <w:kern w:val="0"/>
          <w:sz w:val="24"/>
          <w:szCs w:val="24"/>
          <w:highlight w:val="none"/>
        </w:rPr>
        <w:t>的信息，包含但不仅限于投标</w:t>
      </w:r>
      <w:r>
        <w:rPr>
          <w:rFonts w:hint="eastAsia" w:ascii="宋体" w:hAnsi="宋体" w:cs="宋体"/>
          <w:bCs/>
          <w:kern w:val="0"/>
          <w:sz w:val="24"/>
          <w:szCs w:val="24"/>
          <w:highlight w:val="none"/>
          <w:lang w:val="en-US" w:eastAsia="zh-CN"/>
        </w:rPr>
        <w:t>人</w:t>
      </w:r>
      <w:r>
        <w:rPr>
          <w:rFonts w:hint="eastAsia" w:ascii="宋体" w:hAnsi="宋体" w:cs="宋体"/>
          <w:bCs/>
          <w:kern w:val="0"/>
          <w:sz w:val="24"/>
          <w:szCs w:val="24"/>
          <w:highlight w:val="none"/>
        </w:rPr>
        <w:t>名称、保证金额、保函获得时间、保证项目名称、保函有效期限等。</w:t>
      </w:r>
    </w:p>
    <w:p w14:paraId="20176166">
      <w:pPr>
        <w:keepNext w:val="0"/>
        <w:keepLines w:val="0"/>
        <w:pageBreakBefore w:val="0"/>
        <w:widowControl w:val="0"/>
        <w:numPr>
          <w:ilvl w:val="0"/>
          <w:numId w:val="11"/>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bCs w:val="0"/>
          <w:kern w:val="0"/>
          <w:sz w:val="24"/>
          <w:szCs w:val="24"/>
          <w:highlight w:val="none"/>
        </w:rPr>
      </w:pPr>
      <w:r>
        <w:rPr>
          <w:rFonts w:hint="eastAsia" w:ascii="宋体" w:hAnsi="宋体" w:cs="宋体"/>
          <w:b/>
          <w:bCs w:val="0"/>
          <w:kern w:val="0"/>
          <w:sz w:val="24"/>
          <w:szCs w:val="24"/>
          <w:highlight w:val="none"/>
        </w:rPr>
        <w:t>注意事项</w:t>
      </w:r>
    </w:p>
    <w:p w14:paraId="44B8D576">
      <w:pPr>
        <w:pStyle w:val="5"/>
        <w:keepNext w:val="0"/>
        <w:keepLines w:val="0"/>
        <w:pageBreakBefore w:val="0"/>
        <w:widowControl w:val="0"/>
        <w:numPr>
          <w:ilvl w:val="0"/>
          <w:numId w:val="15"/>
        </w:numPr>
        <w:kinsoku/>
        <w:wordWrap/>
        <w:overflowPunct/>
        <w:topLinePunct w:val="0"/>
        <w:bidi w:val="0"/>
        <w:adjustRightInd/>
        <w:snapToGrid/>
        <w:spacing w:line="360" w:lineRule="auto"/>
        <w:ind w:left="0" w:leftChars="0" w:right="0" w:firstLine="480" w:firstLineChars="200"/>
        <w:jc w:val="left"/>
        <w:textAlignment w:val="auto"/>
        <w:rPr>
          <w:rFonts w:cs="宋体"/>
          <w:b w:val="0"/>
          <w:bCs/>
          <w:kern w:val="0"/>
          <w:sz w:val="24"/>
          <w:szCs w:val="24"/>
          <w:highlight w:val="none"/>
        </w:rPr>
      </w:pPr>
      <w:r>
        <w:rPr>
          <w:rFonts w:hint="eastAsia" w:cs="宋体"/>
          <w:b w:val="0"/>
          <w:bCs/>
          <w:kern w:val="0"/>
          <w:sz w:val="24"/>
          <w:szCs w:val="24"/>
          <w:highlight w:val="none"/>
        </w:rPr>
        <w:t>若招标文件允许联合体投标且投标人以联合体身份投标的，由联合体牵头人提交投标保证金；</w:t>
      </w:r>
    </w:p>
    <w:p w14:paraId="7BFF5835">
      <w:pPr>
        <w:pStyle w:val="5"/>
        <w:keepNext w:val="0"/>
        <w:keepLines w:val="0"/>
        <w:pageBreakBefore w:val="0"/>
        <w:widowControl w:val="0"/>
        <w:numPr>
          <w:ilvl w:val="0"/>
          <w:numId w:val="15"/>
        </w:numPr>
        <w:kinsoku/>
        <w:wordWrap/>
        <w:overflowPunct/>
        <w:topLinePunct w:val="0"/>
        <w:bidi w:val="0"/>
        <w:adjustRightInd/>
        <w:snapToGrid/>
        <w:spacing w:line="360" w:lineRule="auto"/>
        <w:ind w:left="0" w:leftChars="0" w:right="0" w:firstLine="480" w:firstLineChars="200"/>
        <w:jc w:val="left"/>
        <w:textAlignment w:val="auto"/>
        <w:rPr>
          <w:rFonts w:cs="宋体"/>
          <w:b w:val="0"/>
          <w:bCs/>
          <w:kern w:val="0"/>
          <w:sz w:val="24"/>
          <w:szCs w:val="24"/>
          <w:highlight w:val="none"/>
        </w:rPr>
      </w:pPr>
      <w:r>
        <w:rPr>
          <w:rFonts w:hint="eastAsia" w:cs="宋体"/>
          <w:b w:val="0"/>
          <w:bCs/>
          <w:kern w:val="0"/>
          <w:sz w:val="24"/>
          <w:szCs w:val="24"/>
          <w:highlight w:val="none"/>
        </w:rPr>
        <w:t>现金转账账号根据不同</w:t>
      </w:r>
      <w:r>
        <w:rPr>
          <w:rFonts w:hint="eastAsia" w:cs="宋体"/>
          <w:b w:val="0"/>
          <w:bCs/>
          <w:kern w:val="0"/>
          <w:sz w:val="24"/>
          <w:szCs w:val="24"/>
          <w:highlight w:val="none"/>
          <w:lang w:val="en-US" w:eastAsia="zh-CN"/>
        </w:rPr>
        <w:t>项目</w:t>
      </w:r>
      <w:r>
        <w:rPr>
          <w:rFonts w:hint="eastAsia" w:cs="宋体"/>
          <w:b w:val="0"/>
          <w:bCs/>
          <w:kern w:val="0"/>
          <w:sz w:val="24"/>
          <w:szCs w:val="24"/>
          <w:highlight w:val="none"/>
        </w:rPr>
        <w:t>（标段）由系统随机生成，此账号只在本</w:t>
      </w:r>
      <w:r>
        <w:rPr>
          <w:rFonts w:hint="eastAsia" w:cs="宋体"/>
          <w:b w:val="0"/>
          <w:bCs/>
          <w:kern w:val="0"/>
          <w:sz w:val="24"/>
          <w:szCs w:val="24"/>
          <w:highlight w:val="none"/>
          <w:lang w:val="en-US" w:eastAsia="zh-CN"/>
        </w:rPr>
        <w:t>项目</w:t>
      </w:r>
      <w:r>
        <w:rPr>
          <w:rFonts w:hint="eastAsia" w:cs="宋体"/>
          <w:b w:val="0"/>
          <w:bCs/>
          <w:kern w:val="0"/>
          <w:sz w:val="24"/>
          <w:szCs w:val="24"/>
          <w:highlight w:val="none"/>
        </w:rPr>
        <w:t>（标段）中使用有效，请注意核对。账号漏填、混填或错填均视为未按时缴纳保证金。</w:t>
      </w:r>
    </w:p>
    <w:p w14:paraId="36391BB3">
      <w:pPr>
        <w:pStyle w:val="5"/>
        <w:keepNext w:val="0"/>
        <w:keepLines w:val="0"/>
        <w:pageBreakBefore w:val="0"/>
        <w:widowControl w:val="0"/>
        <w:numPr>
          <w:ilvl w:val="0"/>
          <w:numId w:val="15"/>
        </w:numPr>
        <w:kinsoku/>
        <w:wordWrap/>
        <w:overflowPunct/>
        <w:topLinePunct w:val="0"/>
        <w:bidi w:val="0"/>
        <w:adjustRightInd/>
        <w:snapToGrid/>
        <w:spacing w:line="360" w:lineRule="auto"/>
        <w:ind w:left="0" w:leftChars="0" w:right="0" w:firstLine="480" w:firstLineChars="200"/>
        <w:jc w:val="left"/>
        <w:textAlignment w:val="auto"/>
        <w:rPr>
          <w:rFonts w:cs="宋体"/>
          <w:b w:val="0"/>
          <w:bCs/>
          <w:kern w:val="0"/>
          <w:sz w:val="24"/>
          <w:szCs w:val="24"/>
          <w:highlight w:val="none"/>
        </w:rPr>
      </w:pPr>
      <w:r>
        <w:rPr>
          <w:rFonts w:hint="eastAsia" w:cs="宋体"/>
          <w:b w:val="0"/>
          <w:bCs/>
          <w:kern w:val="0"/>
          <w:sz w:val="24"/>
          <w:szCs w:val="24"/>
          <w:highlight w:val="none"/>
        </w:rPr>
        <w:t>以现金转账形式提交的投标保证金应当从投标人基本账户</w:t>
      </w:r>
      <w:r>
        <w:rPr>
          <w:rFonts w:hint="eastAsia" w:cs="宋体"/>
          <w:b w:val="0"/>
          <w:bCs/>
          <w:kern w:val="0"/>
          <w:sz w:val="24"/>
          <w:szCs w:val="24"/>
          <w:highlight w:val="none"/>
          <w:lang w:eastAsia="zh-CN"/>
        </w:rPr>
        <w:t>（</w:t>
      </w:r>
      <w:r>
        <w:rPr>
          <w:rFonts w:hint="eastAsia" w:cs="宋体"/>
          <w:b w:val="0"/>
          <w:bCs/>
          <w:kern w:val="0"/>
          <w:sz w:val="24"/>
          <w:szCs w:val="24"/>
          <w:highlight w:val="none"/>
          <w:lang w:val="en-US" w:eastAsia="zh-CN"/>
        </w:rPr>
        <w:t>个体户为经营者账户</w:t>
      </w:r>
      <w:r>
        <w:rPr>
          <w:rFonts w:hint="eastAsia" w:cs="宋体"/>
          <w:b w:val="0"/>
          <w:bCs/>
          <w:kern w:val="0"/>
          <w:sz w:val="24"/>
          <w:szCs w:val="24"/>
          <w:highlight w:val="none"/>
          <w:lang w:eastAsia="zh-CN"/>
        </w:rPr>
        <w:t>）</w:t>
      </w:r>
      <w:r>
        <w:rPr>
          <w:rFonts w:hint="eastAsia" w:cs="宋体"/>
          <w:b w:val="0"/>
          <w:bCs/>
          <w:kern w:val="0"/>
          <w:sz w:val="24"/>
          <w:szCs w:val="24"/>
          <w:highlight w:val="none"/>
        </w:rPr>
        <w:t>转出，购买</w:t>
      </w:r>
      <w:r>
        <w:rPr>
          <w:rFonts w:hint="eastAsia" w:cs="宋体"/>
          <w:b w:val="0"/>
          <w:bCs/>
          <w:kern w:val="0"/>
          <w:sz w:val="24"/>
          <w:szCs w:val="24"/>
          <w:highlight w:val="none"/>
          <w:lang w:eastAsia="zh-CN"/>
        </w:rPr>
        <w:t>保函</w:t>
      </w:r>
      <w:r>
        <w:rPr>
          <w:rFonts w:hint="eastAsia" w:cs="宋体"/>
          <w:b w:val="0"/>
          <w:bCs/>
          <w:kern w:val="0"/>
          <w:sz w:val="24"/>
          <w:szCs w:val="24"/>
          <w:highlight w:val="none"/>
        </w:rPr>
        <w:t>的费用应当从投标人基本账户</w:t>
      </w:r>
      <w:r>
        <w:rPr>
          <w:rFonts w:hint="eastAsia" w:cs="宋体"/>
          <w:b w:val="0"/>
          <w:bCs/>
          <w:kern w:val="0"/>
          <w:sz w:val="24"/>
          <w:szCs w:val="24"/>
          <w:highlight w:val="none"/>
          <w:lang w:eastAsia="zh-CN"/>
        </w:rPr>
        <w:t>（</w:t>
      </w:r>
      <w:r>
        <w:rPr>
          <w:rFonts w:hint="eastAsia" w:cs="宋体"/>
          <w:b w:val="0"/>
          <w:bCs/>
          <w:kern w:val="0"/>
          <w:sz w:val="24"/>
          <w:szCs w:val="24"/>
          <w:highlight w:val="none"/>
          <w:lang w:val="en-US" w:eastAsia="zh-CN"/>
        </w:rPr>
        <w:t>个体户为经营者账户</w:t>
      </w:r>
      <w:r>
        <w:rPr>
          <w:rFonts w:hint="eastAsia" w:cs="宋体"/>
          <w:b w:val="0"/>
          <w:bCs/>
          <w:kern w:val="0"/>
          <w:sz w:val="24"/>
          <w:szCs w:val="24"/>
          <w:highlight w:val="none"/>
          <w:lang w:eastAsia="zh-CN"/>
        </w:rPr>
        <w:t>）</w:t>
      </w:r>
      <w:r>
        <w:rPr>
          <w:rFonts w:hint="eastAsia" w:cs="宋体"/>
          <w:b w:val="0"/>
          <w:bCs/>
          <w:kern w:val="0"/>
          <w:sz w:val="24"/>
          <w:szCs w:val="24"/>
          <w:highlight w:val="none"/>
        </w:rPr>
        <w:t>支付；</w:t>
      </w:r>
    </w:p>
    <w:p w14:paraId="0446D664">
      <w:pPr>
        <w:pStyle w:val="5"/>
        <w:keepNext w:val="0"/>
        <w:keepLines w:val="0"/>
        <w:pageBreakBefore w:val="0"/>
        <w:widowControl w:val="0"/>
        <w:numPr>
          <w:ilvl w:val="0"/>
          <w:numId w:val="15"/>
        </w:numPr>
        <w:kinsoku/>
        <w:wordWrap/>
        <w:overflowPunct/>
        <w:topLinePunct w:val="0"/>
        <w:bidi w:val="0"/>
        <w:adjustRightInd/>
        <w:snapToGrid/>
        <w:spacing w:line="360" w:lineRule="auto"/>
        <w:ind w:left="0" w:leftChars="0" w:right="0" w:firstLine="480" w:firstLineChars="200"/>
        <w:jc w:val="left"/>
        <w:textAlignment w:val="auto"/>
        <w:rPr>
          <w:rFonts w:cs="宋体"/>
          <w:b w:val="0"/>
          <w:bCs/>
          <w:color w:val="auto"/>
          <w:kern w:val="0"/>
          <w:sz w:val="24"/>
          <w:szCs w:val="24"/>
          <w:highlight w:val="none"/>
        </w:rPr>
      </w:pPr>
      <w:r>
        <w:rPr>
          <w:rFonts w:hint="eastAsia" w:cs="宋体"/>
          <w:b w:val="0"/>
          <w:bCs/>
          <w:kern w:val="0"/>
          <w:sz w:val="24"/>
          <w:szCs w:val="24"/>
          <w:highlight w:val="none"/>
        </w:rPr>
        <w:t>若有疑问，请咨询技术服务热线：0576-88865</w:t>
      </w:r>
      <w:r>
        <w:rPr>
          <w:rFonts w:hint="eastAsia" w:cs="宋体"/>
          <w:b w:val="0"/>
          <w:bCs/>
          <w:color w:val="auto"/>
          <w:kern w:val="0"/>
          <w:sz w:val="24"/>
          <w:szCs w:val="24"/>
          <w:highlight w:val="none"/>
        </w:rPr>
        <w:t>501</w:t>
      </w:r>
    </w:p>
    <w:p w14:paraId="02A56DFA">
      <w:pPr>
        <w:pStyle w:val="5"/>
        <w:keepNext w:val="0"/>
        <w:keepLines w:val="0"/>
        <w:pageBreakBefore w:val="0"/>
        <w:widowControl w:val="0"/>
        <w:numPr>
          <w:ilvl w:val="0"/>
          <w:numId w:val="15"/>
        </w:numPr>
        <w:kinsoku/>
        <w:wordWrap/>
        <w:overflowPunct/>
        <w:topLinePunct w:val="0"/>
        <w:bidi w:val="0"/>
        <w:adjustRightInd/>
        <w:snapToGrid/>
        <w:spacing w:line="360" w:lineRule="auto"/>
        <w:ind w:left="0" w:leftChars="0" w:right="0" w:firstLine="480" w:firstLineChars="200"/>
        <w:jc w:val="left"/>
        <w:textAlignment w:val="auto"/>
        <w:rPr>
          <w:rFonts w:cs="宋体"/>
          <w:b w:val="0"/>
          <w:bCs/>
          <w:color w:val="auto"/>
          <w:kern w:val="0"/>
          <w:sz w:val="24"/>
          <w:szCs w:val="24"/>
          <w:highlight w:val="none"/>
        </w:rPr>
      </w:pPr>
      <w:r>
        <w:rPr>
          <w:rFonts w:hint="eastAsia" w:cs="宋体"/>
          <w:b w:val="0"/>
          <w:bCs/>
          <w:color w:val="auto"/>
          <w:kern w:val="0"/>
          <w:sz w:val="24"/>
          <w:szCs w:val="24"/>
          <w:highlight w:val="none"/>
        </w:rPr>
        <w:t>以上未按要求提供或提供不清晰的，评标委员会可能做出不利于投标人的评审结果，由此造成的风险由投标人自行承担。</w:t>
      </w:r>
    </w:p>
    <w:p w14:paraId="5090C06C">
      <w:pPr>
        <w:keepNext w:val="0"/>
        <w:keepLines w:val="0"/>
        <w:pageBreakBefore w:val="0"/>
        <w:widowControl w:val="0"/>
        <w:numPr>
          <w:ilvl w:val="0"/>
          <w:numId w:val="11"/>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bCs w:val="0"/>
          <w:color w:val="auto"/>
          <w:sz w:val="24"/>
          <w:szCs w:val="24"/>
          <w:highlight w:val="none"/>
        </w:rPr>
      </w:pPr>
      <w:r>
        <w:rPr>
          <w:rFonts w:hint="eastAsia" w:ascii="宋体" w:hAnsi="宋体" w:cs="宋体"/>
          <w:b/>
          <w:bCs w:val="0"/>
          <w:color w:val="auto"/>
          <w:kern w:val="0"/>
          <w:sz w:val="24"/>
          <w:szCs w:val="24"/>
          <w:highlight w:val="none"/>
        </w:rPr>
        <w:t>购买电子保函截止时间：</w:t>
      </w:r>
      <w:r>
        <w:rPr>
          <w:rFonts w:hint="eastAsia" w:ascii="宋体" w:hAnsi="宋体" w:cs="宋体"/>
          <w:bCs/>
          <w:color w:val="auto"/>
          <w:sz w:val="24"/>
          <w:szCs w:val="24"/>
          <w:highlight w:val="none"/>
          <w:u w:val="single"/>
          <w:lang w:eastAsia="zh-CN"/>
        </w:rPr>
        <w:t>202</w:t>
      </w:r>
      <w:r>
        <w:rPr>
          <w:rFonts w:hint="eastAsia" w:ascii="宋体" w:hAnsi="宋体" w:cs="宋体"/>
          <w:bCs/>
          <w:color w:val="auto"/>
          <w:sz w:val="24"/>
          <w:szCs w:val="24"/>
          <w:highlight w:val="none"/>
          <w:u w:val="single"/>
          <w:lang w:val="en-US" w:eastAsia="zh-CN"/>
        </w:rPr>
        <w:t>5</w:t>
      </w:r>
      <w:r>
        <w:rPr>
          <w:rFonts w:hint="eastAsia" w:ascii="宋体" w:hAnsi="宋体" w:cs="宋体"/>
          <w:bCs/>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8月15</w:t>
      </w:r>
      <w:r>
        <w:rPr>
          <w:rFonts w:hint="eastAsia" w:ascii="宋体" w:hAnsi="宋体" w:cs="宋体"/>
          <w:bCs/>
          <w:color w:val="auto"/>
          <w:sz w:val="24"/>
          <w:szCs w:val="24"/>
          <w:highlight w:val="none"/>
          <w:u w:val="single"/>
        </w:rPr>
        <w:t>日</w:t>
      </w:r>
      <w:r>
        <w:rPr>
          <w:rFonts w:hint="eastAsia" w:ascii="宋体" w:hAnsi="宋体" w:cs="宋体"/>
          <w:b/>
          <w:bCs w:val="0"/>
          <w:color w:val="auto"/>
          <w:kern w:val="0"/>
          <w:sz w:val="24"/>
          <w:szCs w:val="24"/>
          <w:highlight w:val="none"/>
          <w:u w:val="single"/>
        </w:rPr>
        <w:t>16点前</w:t>
      </w:r>
    </w:p>
    <w:p w14:paraId="03075DBA">
      <w:pPr>
        <w:pStyle w:val="5"/>
        <w:keepNext w:val="0"/>
        <w:keepLines w:val="0"/>
        <w:pageBreakBefore w:val="0"/>
        <w:widowControl w:val="0"/>
        <w:numPr>
          <w:ilvl w:val="0"/>
          <w:numId w:val="6"/>
        </w:numPr>
        <w:kinsoku/>
        <w:wordWrap/>
        <w:overflowPunct/>
        <w:topLinePunct w:val="0"/>
        <w:bidi w:val="0"/>
        <w:adjustRightInd/>
        <w:snapToGrid/>
        <w:spacing w:line="360" w:lineRule="auto"/>
        <w:ind w:left="0" w:leftChars="0" w:right="0" w:firstLine="482" w:firstLineChars="200"/>
        <w:jc w:val="left"/>
        <w:textAlignment w:val="auto"/>
        <w:rPr>
          <w:rFonts w:cs="宋体"/>
          <w:bCs/>
          <w:sz w:val="24"/>
          <w:szCs w:val="24"/>
          <w:highlight w:val="none"/>
        </w:rPr>
      </w:pPr>
      <w:r>
        <w:rPr>
          <w:rFonts w:hint="eastAsia" w:cs="宋体"/>
          <w:bCs/>
          <w:sz w:val="24"/>
          <w:szCs w:val="24"/>
          <w:highlight w:val="none"/>
        </w:rPr>
        <w:t>联系方式</w:t>
      </w:r>
    </w:p>
    <w:p w14:paraId="5B4DE524">
      <w:pPr>
        <w:keepNext w:val="0"/>
        <w:keepLines w:val="0"/>
        <w:pageBreakBefore w:val="0"/>
        <w:widowControl w:val="0"/>
        <w:numPr>
          <w:ilvl w:val="0"/>
          <w:numId w:val="16"/>
        </w:numPr>
        <w:kinsoku/>
        <w:wordWrap/>
        <w:overflowPunct/>
        <w:topLinePunct w:val="0"/>
        <w:bidi w:val="0"/>
        <w:adjustRightInd/>
        <w:snapToGrid/>
        <w:spacing w:line="360" w:lineRule="auto"/>
        <w:ind w:left="0" w:leftChars="0" w:right="0" w:firstLine="482" w:firstLineChars="200"/>
        <w:jc w:val="left"/>
        <w:textAlignment w:val="auto"/>
        <w:rPr>
          <w:rFonts w:ascii="宋体" w:hAnsi="宋体" w:cs="宋体"/>
          <w:b/>
          <w:bCs/>
          <w:sz w:val="24"/>
          <w:szCs w:val="24"/>
          <w:highlight w:val="none"/>
        </w:rPr>
      </w:pPr>
      <w:r>
        <w:rPr>
          <w:rFonts w:hint="eastAsia" w:ascii="宋体" w:hAnsi="宋体" w:cs="宋体"/>
          <w:b/>
          <w:bCs/>
          <w:sz w:val="24"/>
          <w:szCs w:val="24"/>
          <w:highlight w:val="none"/>
        </w:rPr>
        <w:t xml:space="preserve">采购人（受理招标文件相关质疑及答复） </w:t>
      </w:r>
    </w:p>
    <w:p w14:paraId="2483DA2C">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highlight w:val="none"/>
          <w:u w:val="none"/>
          <w:lang w:eastAsia="zh-CN"/>
        </w:rPr>
      </w:pPr>
      <w:r>
        <w:rPr>
          <w:rFonts w:hint="eastAsia" w:ascii="宋体" w:hAnsi="宋体" w:cs="宋体"/>
          <w:sz w:val="24"/>
          <w:szCs w:val="24"/>
          <w:highlight w:val="none"/>
          <w:u w:val="none"/>
        </w:rPr>
        <w:t>名称：</w:t>
      </w:r>
      <w:r>
        <w:rPr>
          <w:rFonts w:hint="eastAsia" w:ascii="宋体" w:hAnsi="宋体" w:cs="宋体"/>
          <w:sz w:val="24"/>
          <w:szCs w:val="24"/>
          <w:highlight w:val="none"/>
          <w:u w:val="none"/>
          <w:lang w:eastAsia="zh-CN"/>
        </w:rPr>
        <w:t>台州市文华小学</w:t>
      </w:r>
    </w:p>
    <w:p w14:paraId="1049590A">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szCs w:val="24"/>
          <w:highlight w:val="none"/>
          <w:u w:val="none"/>
        </w:rPr>
      </w:pPr>
      <w:r>
        <w:rPr>
          <w:rFonts w:hint="eastAsia" w:ascii="宋体" w:hAnsi="宋体" w:cs="宋体"/>
          <w:color w:val="auto"/>
          <w:sz w:val="24"/>
          <w:szCs w:val="24"/>
          <w:highlight w:val="none"/>
          <w:u w:val="none"/>
        </w:rPr>
        <w:t>地址：台州市体育场路81号</w:t>
      </w:r>
    </w:p>
    <w:p w14:paraId="06ECD398">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联系人：</w:t>
      </w:r>
      <w:bookmarkStart w:id="35" w:name="_Toc28359009"/>
      <w:bookmarkStart w:id="36" w:name="_Toc28359086"/>
      <w:r>
        <w:rPr>
          <w:rFonts w:hint="eastAsia" w:ascii="宋体" w:hAnsi="宋体" w:cs="宋体"/>
          <w:sz w:val="24"/>
          <w:szCs w:val="24"/>
          <w:highlight w:val="none"/>
          <w:u w:val="none"/>
          <w:lang w:val="en-US" w:eastAsia="zh-CN"/>
        </w:rPr>
        <w:t>张</w:t>
      </w:r>
      <w:r>
        <w:rPr>
          <w:rFonts w:hint="eastAsia" w:ascii="宋体" w:hAnsi="宋体" w:cs="宋体"/>
          <w:sz w:val="24"/>
          <w:szCs w:val="24"/>
          <w:highlight w:val="none"/>
          <w:u w:val="none"/>
        </w:rPr>
        <w:t>老师</w:t>
      </w:r>
    </w:p>
    <w:p w14:paraId="209BB90D">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联系电话：</w:t>
      </w:r>
      <w:r>
        <w:rPr>
          <w:rFonts w:hint="eastAsia" w:ascii="宋体" w:hAnsi="宋体" w:cs="宋体"/>
          <w:color w:val="auto"/>
          <w:sz w:val="24"/>
          <w:szCs w:val="24"/>
          <w:lang w:val="en-US" w:eastAsia="zh-CN"/>
        </w:rPr>
        <w:t>0576-89061709</w:t>
      </w:r>
    </w:p>
    <w:bookmarkEnd w:id="35"/>
    <w:bookmarkEnd w:id="36"/>
    <w:p w14:paraId="3A4964DA">
      <w:pPr>
        <w:keepNext w:val="0"/>
        <w:keepLines w:val="0"/>
        <w:pageBreakBefore w:val="0"/>
        <w:widowControl w:val="0"/>
        <w:numPr>
          <w:ilvl w:val="0"/>
          <w:numId w:val="16"/>
        </w:numPr>
        <w:kinsoku/>
        <w:wordWrap/>
        <w:overflowPunct/>
        <w:topLinePunct w:val="0"/>
        <w:bidi w:val="0"/>
        <w:adjustRightInd/>
        <w:snapToGrid/>
        <w:spacing w:line="360" w:lineRule="auto"/>
        <w:ind w:left="0" w:leftChars="0" w:right="0" w:firstLine="482" w:firstLineChars="200"/>
        <w:jc w:val="left"/>
        <w:textAlignment w:val="auto"/>
        <w:rPr>
          <w:rFonts w:ascii="宋体" w:hAnsi="宋体" w:cs="宋体"/>
          <w:b/>
          <w:sz w:val="24"/>
          <w:szCs w:val="24"/>
          <w:highlight w:val="none"/>
          <w:u w:val="none"/>
        </w:rPr>
      </w:pPr>
      <w:r>
        <w:rPr>
          <w:rFonts w:hint="eastAsia" w:ascii="宋体" w:hAnsi="宋体" w:cs="宋体"/>
          <w:b/>
          <w:bCs/>
          <w:sz w:val="24"/>
          <w:szCs w:val="24"/>
          <w:highlight w:val="none"/>
          <w:u w:val="none"/>
        </w:rPr>
        <w:t>采购组织机构</w:t>
      </w:r>
    </w:p>
    <w:p w14:paraId="69DCBAE4">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cs="宋体"/>
          <w:sz w:val="24"/>
          <w:szCs w:val="24"/>
          <w:highlight w:val="none"/>
          <w:u w:val="none"/>
        </w:rPr>
      </w:pPr>
      <w:bookmarkStart w:id="37" w:name="_Toc28359087"/>
      <w:bookmarkStart w:id="38" w:name="_Toc28359010"/>
      <w:r>
        <w:rPr>
          <w:rFonts w:hint="eastAsia" w:ascii="宋体" w:hAnsi="宋体" w:cs="宋体"/>
          <w:sz w:val="24"/>
          <w:szCs w:val="24"/>
          <w:highlight w:val="none"/>
          <w:u w:val="none"/>
        </w:rPr>
        <w:t>名称：台州市永阳科技有限公司</w:t>
      </w:r>
    </w:p>
    <w:p w14:paraId="2186A18A">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地址：台州市黄岩区劳动南路尚品南郡小区2号楼2单位902室</w:t>
      </w:r>
    </w:p>
    <w:p w14:paraId="5F235C4A">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项目联系人：周先生</w:t>
      </w:r>
    </w:p>
    <w:p w14:paraId="5F7DB169">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联系电话：18958682891</w:t>
      </w:r>
    </w:p>
    <w:p w14:paraId="2D9A1873">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lang w:val="en-US" w:eastAsia="zh-CN"/>
        </w:rPr>
        <w:t>质疑</w:t>
      </w:r>
      <w:r>
        <w:rPr>
          <w:rFonts w:hint="eastAsia" w:ascii="宋体" w:hAnsi="宋体" w:cs="宋体"/>
          <w:sz w:val="24"/>
          <w:szCs w:val="24"/>
          <w:highlight w:val="none"/>
          <w:u w:val="none"/>
        </w:rPr>
        <w:t>受理联系人：</w:t>
      </w:r>
      <w:r>
        <w:rPr>
          <w:rFonts w:hint="eastAsia" w:ascii="宋体" w:hAnsi="宋体" w:cs="宋体"/>
          <w:sz w:val="24"/>
          <w:szCs w:val="24"/>
          <w:highlight w:val="none"/>
          <w:u w:val="none"/>
          <w:lang w:val="en-US" w:eastAsia="zh-CN"/>
        </w:rPr>
        <w:t>杨先生</w:t>
      </w:r>
    </w:p>
    <w:p w14:paraId="45DD7530">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联系电话：15757655840</w:t>
      </w:r>
    </w:p>
    <w:p w14:paraId="452AF728">
      <w:pPr>
        <w:keepNext w:val="0"/>
        <w:keepLines w:val="0"/>
        <w:pageBreakBefore w:val="0"/>
        <w:widowControl w:val="0"/>
        <w:numPr>
          <w:ilvl w:val="0"/>
          <w:numId w:val="16"/>
        </w:numPr>
        <w:kinsoku/>
        <w:wordWrap/>
        <w:overflowPunct/>
        <w:topLinePunct w:val="0"/>
        <w:bidi w:val="0"/>
        <w:adjustRightInd/>
        <w:snapToGrid/>
        <w:spacing w:line="360" w:lineRule="auto"/>
        <w:ind w:left="0" w:leftChars="0" w:right="0" w:firstLine="482" w:firstLineChars="200"/>
        <w:jc w:val="left"/>
        <w:textAlignment w:val="auto"/>
        <w:rPr>
          <w:rFonts w:ascii="宋体" w:hAnsi="宋体" w:cs="宋体"/>
          <w:b/>
          <w:sz w:val="24"/>
          <w:szCs w:val="24"/>
          <w:highlight w:val="none"/>
          <w:u w:val="none"/>
        </w:rPr>
      </w:pPr>
      <w:r>
        <w:rPr>
          <w:rFonts w:hint="eastAsia" w:ascii="宋体" w:hAnsi="宋体" w:cs="宋体"/>
          <w:b/>
          <w:sz w:val="24"/>
          <w:szCs w:val="24"/>
          <w:highlight w:val="none"/>
          <w:u w:val="none"/>
        </w:rPr>
        <w:t>同级政府采购监管机构</w:t>
      </w:r>
    </w:p>
    <w:p w14:paraId="3AA6FD4C">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highlight w:val="none"/>
          <w:u w:val="none"/>
          <w:lang w:eastAsia="zh-CN"/>
        </w:rPr>
      </w:pPr>
      <w:r>
        <w:rPr>
          <w:rFonts w:hint="eastAsia" w:ascii="宋体" w:hAnsi="宋体" w:cs="宋体"/>
          <w:sz w:val="24"/>
          <w:szCs w:val="24"/>
          <w:highlight w:val="none"/>
          <w:u w:val="none"/>
        </w:rPr>
        <w:t>名称：</w:t>
      </w:r>
      <w:r>
        <w:rPr>
          <w:rFonts w:hint="eastAsia" w:asciiTheme="minorEastAsia" w:hAnsiTheme="minorEastAsia" w:eastAsiaTheme="minorEastAsia" w:cstheme="minorEastAsia"/>
          <w:sz w:val="24"/>
          <w:szCs w:val="24"/>
          <w:highlight w:val="none"/>
          <w:u w:val="none"/>
          <w:lang w:eastAsia="zh-CN"/>
        </w:rPr>
        <w:t>台州湾新区行政审批与投资服务局</w:t>
      </w:r>
    </w:p>
    <w:p w14:paraId="7CB75CE0">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地址：台州市甲南大道东段9号</w:t>
      </w:r>
    </w:p>
    <w:p w14:paraId="3F733C3A">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联系人：</w:t>
      </w:r>
      <w:r>
        <w:rPr>
          <w:rFonts w:hint="eastAsia" w:ascii="宋体" w:hAnsi="宋体" w:cs="宋体"/>
          <w:sz w:val="24"/>
          <w:szCs w:val="24"/>
          <w:highlight w:val="none"/>
          <w:u w:val="none"/>
          <w:lang w:val="en-US" w:eastAsia="zh-CN"/>
        </w:rPr>
        <w:t>邱</w:t>
      </w:r>
      <w:r>
        <w:rPr>
          <w:rFonts w:hint="eastAsia" w:ascii="宋体" w:hAnsi="宋体" w:cs="宋体"/>
          <w:sz w:val="24"/>
          <w:szCs w:val="24"/>
          <w:highlight w:val="none"/>
          <w:u w:val="none"/>
        </w:rPr>
        <w:t>先生</w:t>
      </w:r>
    </w:p>
    <w:p w14:paraId="650061BF">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联系电话：0576-88538849</w:t>
      </w:r>
    </w:p>
    <w:p w14:paraId="50D2EC70">
      <w:pPr>
        <w:keepNext w:val="0"/>
        <w:keepLines w:val="0"/>
        <w:pageBreakBefore w:val="0"/>
        <w:widowControl w:val="0"/>
        <w:numPr>
          <w:ilvl w:val="0"/>
          <w:numId w:val="16"/>
        </w:numPr>
        <w:kinsoku/>
        <w:wordWrap/>
        <w:overflowPunct/>
        <w:topLinePunct w:val="0"/>
        <w:bidi w:val="0"/>
        <w:adjustRightInd/>
        <w:snapToGrid/>
        <w:spacing w:line="360" w:lineRule="auto"/>
        <w:ind w:left="0" w:leftChars="0" w:right="0" w:firstLine="482" w:firstLineChars="200"/>
        <w:jc w:val="left"/>
        <w:textAlignment w:val="auto"/>
        <w:rPr>
          <w:rFonts w:ascii="宋体" w:hAnsi="宋体" w:cs="宋体"/>
          <w:b/>
          <w:sz w:val="24"/>
          <w:szCs w:val="24"/>
          <w:highlight w:val="none"/>
          <w:u w:val="none"/>
        </w:rPr>
      </w:pPr>
      <w:r>
        <w:rPr>
          <w:rFonts w:hint="eastAsia" w:ascii="宋体" w:hAnsi="宋体" w:cs="宋体"/>
          <w:b/>
          <w:sz w:val="24"/>
          <w:szCs w:val="24"/>
          <w:highlight w:val="none"/>
          <w:u w:val="none"/>
        </w:rPr>
        <w:t>台州湾新区小额工程电子交易平台</w:t>
      </w:r>
    </w:p>
    <w:p w14:paraId="531F6404">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联系人：蔡先生、王女士</w:t>
      </w:r>
    </w:p>
    <w:p w14:paraId="1E85E30E">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u w:val="none"/>
          <w:shd w:val="clear" w:color="auto" w:fill="FFFFFF"/>
        </w:rPr>
      </w:pPr>
      <w:r>
        <w:rPr>
          <w:rFonts w:hint="eastAsia" w:ascii="宋体" w:hAnsi="宋体" w:cs="宋体"/>
          <w:sz w:val="24"/>
          <w:szCs w:val="24"/>
          <w:highlight w:val="none"/>
          <w:u w:val="none"/>
        </w:rPr>
        <w:t>联系电话：13454667697、13757680207</w:t>
      </w:r>
    </w:p>
    <w:p w14:paraId="6B52AB1C">
      <w:pPr>
        <w:pStyle w:val="34"/>
        <w:ind w:firstLine="480"/>
        <w:rPr>
          <w:rFonts w:asciiTheme="minorEastAsia" w:hAnsiTheme="minorEastAsia" w:eastAsiaTheme="minorEastAsia" w:cstheme="minorEastAsia"/>
          <w:kern w:val="0"/>
          <w:highlight w:val="none"/>
        </w:rPr>
      </w:pPr>
    </w:p>
    <w:p w14:paraId="2EC1EA92">
      <w:pPr>
        <w:pStyle w:val="34"/>
        <w:ind w:firstLine="0" w:firstLineChars="0"/>
        <w:rPr>
          <w:rFonts w:hint="eastAsia" w:asciiTheme="minorEastAsia" w:hAnsiTheme="minorEastAsia" w:eastAsiaTheme="minorEastAsia" w:cstheme="minorEastAsia"/>
          <w:kern w:val="0"/>
          <w:highlight w:val="none"/>
        </w:rPr>
      </w:pPr>
    </w:p>
    <w:bookmarkEnd w:id="37"/>
    <w:bookmarkEnd w:id="38"/>
    <w:p w14:paraId="749D9A93">
      <w:pP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br w:type="page"/>
      </w:r>
    </w:p>
    <w:p w14:paraId="5B8D3FC1">
      <w:pPr>
        <w:numPr>
          <w:ilvl w:val="0"/>
          <w:numId w:val="17"/>
        </w:numPr>
        <w:spacing w:line="360" w:lineRule="auto"/>
        <w:jc w:val="center"/>
        <w:outlineLvl w:val="0"/>
        <w:rPr>
          <w:rFonts w:asciiTheme="minorEastAsia" w:hAnsiTheme="minorEastAsia" w:eastAsiaTheme="minorEastAsia"/>
          <w:b/>
          <w:sz w:val="36"/>
          <w:szCs w:val="36"/>
          <w:highlight w:val="none"/>
        </w:rPr>
      </w:pPr>
      <w:bookmarkStart w:id="39" w:name="_Toc15902"/>
      <w:r>
        <w:rPr>
          <w:rFonts w:hint="eastAsia" w:asciiTheme="minorEastAsia" w:hAnsiTheme="minorEastAsia" w:eastAsiaTheme="minorEastAsia"/>
          <w:b/>
          <w:sz w:val="36"/>
          <w:szCs w:val="36"/>
          <w:highlight w:val="none"/>
        </w:rPr>
        <w:t>投标人须知</w:t>
      </w:r>
      <w:bookmarkEnd w:id="39"/>
    </w:p>
    <w:p w14:paraId="67D4F3DF">
      <w:pPr>
        <w:numPr>
          <w:ilvl w:val="0"/>
          <w:numId w:val="18"/>
        </w:numPr>
        <w:ind w:left="0" w:leftChars="0" w:firstLine="420" w:firstLineChars="0"/>
        <w:rPr>
          <w:highlight w:val="none"/>
        </w:rPr>
      </w:pPr>
      <w:r>
        <w:rPr>
          <w:rFonts w:hint="eastAsia" w:asciiTheme="minorEastAsia" w:hAnsiTheme="minorEastAsia" w:eastAsiaTheme="minorEastAsia"/>
          <w:b/>
          <w:sz w:val="24"/>
          <w:highlight w:val="none"/>
        </w:rPr>
        <w:t>前附表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509"/>
        <w:gridCol w:w="6224"/>
      </w:tblGrid>
      <w:tr w14:paraId="7156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C2CFBC">
            <w:pPr>
              <w:spacing w:line="300" w:lineRule="auto"/>
              <w:jc w:val="center"/>
              <w:rPr>
                <w:rFonts w:ascii="宋体" w:hAnsi="宋体" w:cs="宋体"/>
                <w:b/>
                <w:bCs/>
                <w:highlight w:val="none"/>
              </w:rPr>
            </w:pPr>
            <w:r>
              <w:rPr>
                <w:rFonts w:hint="eastAsia" w:ascii="宋体" w:hAnsi="宋体" w:cs="宋体"/>
                <w:b/>
                <w:bCs/>
                <w:highlight w:val="none"/>
              </w:rPr>
              <w:t>序 号</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4DC7B3">
            <w:pPr>
              <w:spacing w:line="300" w:lineRule="auto"/>
              <w:jc w:val="center"/>
              <w:rPr>
                <w:rFonts w:ascii="宋体" w:hAnsi="宋体" w:cs="宋体"/>
                <w:b/>
                <w:bCs/>
                <w:highlight w:val="none"/>
              </w:rPr>
            </w:pPr>
            <w:r>
              <w:rPr>
                <w:rFonts w:hint="eastAsia" w:ascii="宋体" w:hAnsi="宋体" w:cs="宋体"/>
                <w:b/>
                <w:bCs/>
                <w:highlight w:val="none"/>
              </w:rPr>
              <w:t>事 项</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9543A4">
            <w:pPr>
              <w:spacing w:line="300" w:lineRule="auto"/>
              <w:jc w:val="center"/>
              <w:rPr>
                <w:rFonts w:ascii="宋体" w:hAnsi="宋体" w:cs="宋体"/>
                <w:b/>
                <w:bCs/>
                <w:highlight w:val="none"/>
              </w:rPr>
            </w:pPr>
            <w:r>
              <w:rPr>
                <w:rFonts w:hint="eastAsia" w:ascii="宋体" w:hAnsi="宋体" w:cs="宋体"/>
                <w:b/>
                <w:bCs/>
                <w:highlight w:val="none"/>
              </w:rPr>
              <w:t>本项目的特别规定</w:t>
            </w:r>
          </w:p>
        </w:tc>
      </w:tr>
      <w:tr w14:paraId="3C58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5CB204">
            <w:pPr>
              <w:spacing w:line="300" w:lineRule="auto"/>
              <w:jc w:val="center"/>
              <w:rPr>
                <w:rFonts w:ascii="宋体" w:hAnsi="宋体" w:cs="宋体"/>
                <w:highlight w:val="none"/>
              </w:rPr>
            </w:pPr>
            <w:r>
              <w:rPr>
                <w:rFonts w:hint="eastAsia" w:ascii="宋体" w:hAnsi="宋体" w:cs="宋体"/>
                <w:highlight w:val="none"/>
              </w:rPr>
              <w:t>1</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912717">
            <w:pPr>
              <w:spacing w:line="300" w:lineRule="auto"/>
              <w:jc w:val="center"/>
              <w:rPr>
                <w:rFonts w:ascii="宋体" w:hAnsi="宋体" w:cs="宋体"/>
                <w:highlight w:val="none"/>
              </w:rPr>
            </w:pPr>
            <w:r>
              <w:rPr>
                <w:rFonts w:hint="eastAsia" w:ascii="宋体" w:hAnsi="宋体" w:cs="宋体"/>
                <w:highlight w:val="none"/>
              </w:rPr>
              <w:t>是否允许联合体</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31B0092">
            <w:pPr>
              <w:spacing w:line="300" w:lineRule="auto"/>
              <w:ind w:firstLine="210" w:firstLineChars="100"/>
              <w:rPr>
                <w:rFonts w:ascii="宋体" w:hAnsi="宋体" w:cs="宋体"/>
                <w:highlight w:val="none"/>
              </w:rPr>
            </w:pPr>
            <w:r>
              <w:rPr>
                <w:rFonts w:hint="eastAsia" w:ascii="宋体" w:hAnsi="宋体" w:cs="宋体"/>
                <w:highlight w:val="none"/>
              </w:rPr>
              <w:t>否</w:t>
            </w:r>
          </w:p>
        </w:tc>
      </w:tr>
      <w:tr w14:paraId="11D2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EE254B">
            <w:pPr>
              <w:spacing w:line="300" w:lineRule="auto"/>
              <w:jc w:val="center"/>
              <w:rPr>
                <w:rFonts w:ascii="宋体" w:hAnsi="宋体" w:cs="宋体"/>
                <w:highlight w:val="none"/>
              </w:rPr>
            </w:pPr>
            <w:r>
              <w:rPr>
                <w:rFonts w:hint="eastAsia" w:ascii="宋体" w:hAnsi="宋体" w:cs="宋体"/>
                <w:highlight w:val="none"/>
              </w:rPr>
              <w:t>2</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49F4FC">
            <w:pPr>
              <w:spacing w:line="300" w:lineRule="auto"/>
              <w:jc w:val="center"/>
              <w:rPr>
                <w:rFonts w:ascii="宋体" w:hAnsi="宋体" w:cs="宋体"/>
                <w:highlight w:val="none"/>
              </w:rPr>
            </w:pPr>
            <w:r>
              <w:rPr>
                <w:rFonts w:hint="eastAsia" w:ascii="宋体" w:hAnsi="宋体" w:cs="宋体"/>
                <w:highlight w:val="none"/>
              </w:rPr>
              <w:t>是否允许分包</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243E41B">
            <w:pPr>
              <w:spacing w:line="300" w:lineRule="auto"/>
              <w:ind w:firstLine="210" w:firstLineChars="100"/>
              <w:jc w:val="both"/>
              <w:rPr>
                <w:rFonts w:hint="eastAsia" w:ascii="宋体" w:hAnsi="宋体" w:eastAsia="宋体" w:cs="宋体"/>
                <w:highlight w:val="none"/>
                <w:lang w:val="en-US" w:eastAsia="zh-CN"/>
              </w:rPr>
            </w:pPr>
            <w:r>
              <w:rPr>
                <w:rFonts w:hint="eastAsia" w:ascii="宋体" w:hAnsi="宋体" w:cs="宋体"/>
                <w:highlight w:val="none"/>
                <w:lang w:val="en-US" w:eastAsia="zh-CN"/>
              </w:rPr>
              <w:t>否</w:t>
            </w:r>
          </w:p>
        </w:tc>
      </w:tr>
      <w:tr w14:paraId="3EC7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82B8C0">
            <w:pPr>
              <w:spacing w:line="300" w:lineRule="auto"/>
              <w:jc w:val="center"/>
              <w:rPr>
                <w:rFonts w:ascii="宋体" w:hAnsi="宋体" w:cs="宋体"/>
                <w:highlight w:val="none"/>
              </w:rPr>
            </w:pPr>
            <w:r>
              <w:rPr>
                <w:rFonts w:hint="eastAsia" w:ascii="宋体" w:hAnsi="宋体" w:cs="宋体"/>
                <w:highlight w:val="none"/>
              </w:rPr>
              <w:t>3</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E93461">
            <w:pPr>
              <w:spacing w:line="300" w:lineRule="auto"/>
              <w:jc w:val="center"/>
              <w:rPr>
                <w:rFonts w:ascii="宋体" w:hAnsi="宋体" w:cs="宋体"/>
                <w:highlight w:val="none"/>
              </w:rPr>
            </w:pPr>
            <w:r>
              <w:rPr>
                <w:rFonts w:hint="eastAsia" w:ascii="宋体" w:hAnsi="宋体" w:cs="宋体"/>
                <w:highlight w:val="none"/>
              </w:rPr>
              <w:t>答疑会或</w:t>
            </w:r>
          </w:p>
          <w:p w14:paraId="3D45DAAA">
            <w:pPr>
              <w:spacing w:line="300" w:lineRule="auto"/>
              <w:jc w:val="center"/>
              <w:rPr>
                <w:rFonts w:ascii="宋体" w:hAnsi="宋体" w:cs="宋体"/>
                <w:highlight w:val="none"/>
              </w:rPr>
            </w:pPr>
            <w:r>
              <w:rPr>
                <w:rFonts w:hint="eastAsia" w:ascii="宋体" w:hAnsi="宋体" w:cs="宋体"/>
                <w:highlight w:val="none"/>
              </w:rPr>
              <w:t>现场踏勘</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00CF67">
            <w:pPr>
              <w:spacing w:line="300" w:lineRule="auto"/>
              <w:ind w:firstLine="210" w:firstLineChars="100"/>
              <w:rPr>
                <w:rFonts w:ascii="宋体" w:hAnsi="宋体" w:cs="宋体"/>
                <w:highlight w:val="none"/>
              </w:rPr>
            </w:pPr>
            <w:r>
              <w:rPr>
                <w:rFonts w:hint="eastAsia" w:ascii="宋体" w:hAnsi="宋体" w:cs="宋体"/>
                <w:highlight w:val="none"/>
              </w:rPr>
              <w:t xml:space="preserve">无 </w:t>
            </w:r>
          </w:p>
        </w:tc>
      </w:tr>
      <w:tr w14:paraId="1EB5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1D0408">
            <w:pPr>
              <w:spacing w:line="300" w:lineRule="auto"/>
              <w:jc w:val="center"/>
              <w:rPr>
                <w:rFonts w:ascii="宋体" w:hAnsi="宋体" w:cs="宋体"/>
                <w:highlight w:val="none"/>
              </w:rPr>
            </w:pPr>
            <w:r>
              <w:rPr>
                <w:rFonts w:hint="eastAsia" w:ascii="宋体" w:hAnsi="宋体" w:cs="宋体"/>
                <w:highlight w:val="none"/>
              </w:rPr>
              <w:t>4</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9444F5">
            <w:pPr>
              <w:spacing w:line="300" w:lineRule="auto"/>
              <w:jc w:val="center"/>
              <w:rPr>
                <w:rFonts w:ascii="宋体" w:hAnsi="宋体" w:cs="宋体"/>
                <w:highlight w:val="none"/>
              </w:rPr>
            </w:pPr>
            <w:r>
              <w:rPr>
                <w:rFonts w:hint="eastAsia" w:ascii="宋体" w:hAnsi="宋体" w:cs="宋体"/>
                <w:highlight w:val="none"/>
              </w:rPr>
              <w:t>投标文件的制作和投标</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07CF14">
            <w:pPr>
              <w:spacing w:line="300" w:lineRule="auto"/>
              <w:ind w:firstLine="420" w:firstLineChars="200"/>
              <w:rPr>
                <w:rFonts w:ascii="宋体" w:hAnsi="宋体" w:cs="宋体"/>
                <w:highlight w:val="none"/>
              </w:rPr>
            </w:pPr>
            <w:r>
              <w:rPr>
                <w:rFonts w:hint="eastAsia" w:ascii="宋体" w:hAnsi="宋体" w:cs="宋体"/>
                <w:highlight w:val="none"/>
              </w:rPr>
              <w:t>1、投标人无需到开标现场，电子投标文件上传至台州湾新区小额工程电子交易平台。如遇有问题的请联系蔡先生，13454667697；王女士，13757680207。</w:t>
            </w:r>
          </w:p>
          <w:p w14:paraId="0289DFAA">
            <w:pPr>
              <w:spacing w:line="300" w:lineRule="auto"/>
              <w:ind w:firstLine="420" w:firstLineChars="200"/>
              <w:rPr>
                <w:rFonts w:ascii="宋体" w:hAnsi="宋体" w:cs="宋体"/>
                <w:highlight w:val="none"/>
              </w:rPr>
            </w:pPr>
            <w:r>
              <w:rPr>
                <w:rFonts w:hint="eastAsia" w:ascii="宋体" w:hAnsi="宋体" w:cs="宋体"/>
                <w:highlight w:val="none"/>
              </w:rPr>
              <w:t>2、电子投标文件上传步骤：</w:t>
            </w:r>
          </w:p>
          <w:p w14:paraId="37FF4B92">
            <w:pPr>
              <w:spacing w:line="300" w:lineRule="auto"/>
              <w:ind w:firstLine="420" w:firstLineChars="200"/>
              <w:rPr>
                <w:rFonts w:ascii="宋体" w:hAnsi="宋体" w:cs="宋体"/>
                <w:highlight w:val="none"/>
              </w:rPr>
            </w:pPr>
            <w:r>
              <w:rPr>
                <w:rFonts w:hint="eastAsia" w:ascii="宋体" w:hAnsi="宋体" w:cs="宋体"/>
                <w:highlight w:val="none"/>
              </w:rPr>
              <w:t>1) 台州湾新区小额工程电子交易平台（网址：http://www.tzwztb.com</w:t>
            </w:r>
            <w:r>
              <w:rPr>
                <w:rFonts w:hint="eastAsia" w:ascii="宋体" w:hAnsi="宋体" w:cs="宋体"/>
                <w:highlight w:val="none"/>
                <w:lang w:eastAsia="zh-CN"/>
              </w:rPr>
              <w:t>）</w:t>
            </w:r>
            <w:r>
              <w:rPr>
                <w:rFonts w:hint="eastAsia" w:ascii="宋体" w:hAnsi="宋体" w:cs="宋体"/>
                <w:highlight w:val="none"/>
              </w:rPr>
              <w:t>；</w:t>
            </w:r>
          </w:p>
          <w:p w14:paraId="750E977A">
            <w:pPr>
              <w:spacing w:line="300" w:lineRule="auto"/>
              <w:ind w:firstLine="420" w:firstLineChars="200"/>
              <w:rPr>
                <w:rFonts w:ascii="宋体" w:hAnsi="宋体" w:cs="宋体"/>
                <w:highlight w:val="none"/>
              </w:rPr>
            </w:pPr>
            <w:r>
              <w:rPr>
                <w:rFonts w:hint="eastAsia" w:ascii="宋体" w:hAnsi="宋体" w:cs="宋体"/>
                <w:highlight w:val="none"/>
              </w:rPr>
              <w:t>2) 投标人应提前办好ca锁（办理网址：http://www.tseal.cn/tcloud/common.xhtml?projId=295），绑定平台账户。</w:t>
            </w:r>
          </w:p>
          <w:p w14:paraId="6C988C1D">
            <w:pPr>
              <w:spacing w:line="300" w:lineRule="auto"/>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缴纳保证金（或购买电子保函）后，点击“电子投标文件制作工具”，进入制作页面，签章并加密上传电子投标文件。</w:t>
            </w:r>
          </w:p>
        </w:tc>
      </w:tr>
      <w:tr w14:paraId="0751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B5D381">
            <w:pPr>
              <w:spacing w:line="300" w:lineRule="auto"/>
              <w:jc w:val="center"/>
              <w:rPr>
                <w:rFonts w:ascii="宋体" w:hAnsi="宋体" w:cs="宋体"/>
                <w:highlight w:val="none"/>
              </w:rPr>
            </w:pPr>
            <w:r>
              <w:rPr>
                <w:rFonts w:hint="eastAsia" w:ascii="宋体" w:hAnsi="宋体" w:cs="宋体"/>
                <w:highlight w:val="none"/>
              </w:rPr>
              <w:t>5</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D7832D">
            <w:pPr>
              <w:spacing w:line="300" w:lineRule="auto"/>
              <w:jc w:val="center"/>
              <w:rPr>
                <w:rFonts w:ascii="宋体" w:hAnsi="宋体" w:cs="宋体"/>
                <w:highlight w:val="none"/>
              </w:rPr>
            </w:pPr>
            <w:r>
              <w:rPr>
                <w:rFonts w:hint="eastAsia" w:ascii="宋体" w:hAnsi="宋体" w:cs="宋体"/>
                <w:highlight w:val="none"/>
              </w:rPr>
              <w:t>投标与开标</w:t>
            </w:r>
          </w:p>
          <w:p w14:paraId="5AB88FBD">
            <w:pPr>
              <w:spacing w:line="300" w:lineRule="auto"/>
              <w:jc w:val="center"/>
              <w:rPr>
                <w:rFonts w:ascii="宋体" w:hAnsi="宋体" w:cs="宋体"/>
                <w:highlight w:val="none"/>
              </w:rPr>
            </w:pPr>
            <w:r>
              <w:rPr>
                <w:rFonts w:hint="eastAsia" w:ascii="宋体" w:hAnsi="宋体" w:cs="宋体"/>
                <w:highlight w:val="none"/>
              </w:rPr>
              <w:t>注意事项</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C64934">
            <w:pPr>
              <w:spacing w:line="300" w:lineRule="auto"/>
              <w:ind w:firstLine="420" w:firstLineChars="200"/>
              <w:rPr>
                <w:rFonts w:ascii="宋体" w:hAnsi="宋体" w:cs="宋体"/>
                <w:highlight w:val="none"/>
              </w:rPr>
            </w:pPr>
            <w:r>
              <w:rPr>
                <w:rFonts w:hint="eastAsia" w:ascii="宋体" w:hAnsi="宋体" w:cs="宋体"/>
                <w:highlight w:val="none"/>
              </w:rPr>
              <w:t>1.本项目实行电子投标，投标人自行承担投标一切费用。</w:t>
            </w:r>
          </w:p>
          <w:p w14:paraId="7F3D5B80">
            <w:pPr>
              <w:spacing w:line="300" w:lineRule="auto"/>
              <w:ind w:firstLine="420" w:firstLineChars="200"/>
              <w:rPr>
                <w:rFonts w:ascii="宋体" w:hAnsi="宋体" w:cs="宋体"/>
                <w:highlight w:val="none"/>
              </w:rPr>
            </w:pPr>
            <w:r>
              <w:rPr>
                <w:rFonts w:hint="eastAsia" w:ascii="宋体" w:hAnsi="宋体" w:cs="宋体"/>
                <w:highlight w:val="none"/>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14:paraId="29D0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AE6348">
            <w:pPr>
              <w:spacing w:line="300" w:lineRule="auto"/>
              <w:jc w:val="center"/>
              <w:rPr>
                <w:rFonts w:ascii="宋体" w:hAnsi="宋体" w:cs="宋体"/>
                <w:highlight w:val="none"/>
              </w:rPr>
            </w:pPr>
            <w:r>
              <w:rPr>
                <w:rFonts w:hint="eastAsia" w:ascii="宋体" w:hAnsi="宋体" w:cs="宋体"/>
                <w:highlight w:val="none"/>
              </w:rPr>
              <w:t>6</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6953B8">
            <w:pPr>
              <w:spacing w:line="300" w:lineRule="auto"/>
              <w:jc w:val="center"/>
              <w:rPr>
                <w:rFonts w:ascii="宋体" w:hAnsi="宋体" w:cs="宋体"/>
                <w:highlight w:val="none"/>
              </w:rPr>
            </w:pPr>
            <w:r>
              <w:rPr>
                <w:rFonts w:hint="eastAsia" w:ascii="宋体" w:hAnsi="宋体" w:cs="宋体"/>
                <w:highlight w:val="none"/>
              </w:rPr>
              <w:t>信用信息</w:t>
            </w:r>
          </w:p>
          <w:p w14:paraId="333A5A60">
            <w:pPr>
              <w:spacing w:line="300" w:lineRule="auto"/>
              <w:jc w:val="center"/>
              <w:rPr>
                <w:rFonts w:ascii="宋体" w:hAnsi="宋体" w:cs="宋体"/>
                <w:highlight w:val="none"/>
              </w:rPr>
            </w:pPr>
            <w:r>
              <w:rPr>
                <w:rFonts w:hint="eastAsia" w:ascii="宋体" w:hAnsi="宋体" w:cs="宋体"/>
                <w:highlight w:val="none"/>
              </w:rPr>
              <w:t>查询渠道</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7463BC">
            <w:pPr>
              <w:spacing w:line="300" w:lineRule="auto"/>
              <w:ind w:firstLine="420" w:firstLineChars="200"/>
              <w:rPr>
                <w:rFonts w:ascii="宋体" w:hAnsi="宋体" w:cs="宋体"/>
                <w:highlight w:val="none"/>
              </w:rPr>
            </w:pPr>
            <w:r>
              <w:rPr>
                <w:rFonts w:hint="eastAsia" w:ascii="宋体" w:hAnsi="宋体" w:cs="宋体"/>
                <w:highlight w:val="none"/>
              </w:rPr>
              <w:t>信用中国（网址：</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highlight w:val="none"/>
              </w:rPr>
              <w:t>http://www.creditchina.gov.cn</w:t>
            </w:r>
            <w:r>
              <w:rPr>
                <w:rFonts w:ascii="宋体" w:hAnsi="宋体" w:cs="宋体"/>
                <w:highlight w:val="none"/>
              </w:rPr>
              <w:fldChar w:fldCharType="end"/>
            </w:r>
            <w:r>
              <w:rPr>
                <w:rFonts w:hint="eastAsia" w:ascii="宋体" w:hAnsi="宋体" w:cs="宋体"/>
                <w:highlight w:val="none"/>
              </w:rPr>
              <w:t>）</w:t>
            </w:r>
          </w:p>
          <w:p w14:paraId="113DEEF6">
            <w:pPr>
              <w:spacing w:line="300" w:lineRule="auto"/>
              <w:ind w:firstLine="420" w:firstLineChars="200"/>
              <w:rPr>
                <w:rFonts w:ascii="宋体" w:hAnsi="宋体" w:cs="宋体"/>
                <w:highlight w:val="none"/>
              </w:rPr>
            </w:pPr>
            <w:r>
              <w:rPr>
                <w:rFonts w:hint="eastAsia" w:ascii="宋体" w:hAnsi="宋体" w:cs="宋体"/>
                <w:highlight w:val="none"/>
              </w:rPr>
              <w:t>中国政府采购网（网址：http://www.ccgp.gov.cn）</w:t>
            </w:r>
          </w:p>
        </w:tc>
      </w:tr>
      <w:tr w14:paraId="4225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0B631F">
            <w:pPr>
              <w:spacing w:line="300" w:lineRule="auto"/>
              <w:jc w:val="center"/>
              <w:rPr>
                <w:rFonts w:ascii="宋体" w:hAnsi="宋体" w:cs="宋体"/>
                <w:highlight w:val="none"/>
              </w:rPr>
            </w:pPr>
            <w:r>
              <w:rPr>
                <w:rFonts w:hint="eastAsia" w:ascii="宋体" w:hAnsi="宋体" w:cs="宋体"/>
                <w:highlight w:val="none"/>
              </w:rPr>
              <w:t>7</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96E1AD">
            <w:pPr>
              <w:spacing w:line="300" w:lineRule="auto"/>
              <w:jc w:val="center"/>
              <w:rPr>
                <w:rFonts w:ascii="宋体" w:hAnsi="宋体" w:cs="宋体"/>
                <w:highlight w:val="none"/>
              </w:rPr>
            </w:pPr>
            <w:r>
              <w:rPr>
                <w:rFonts w:hint="eastAsia" w:ascii="宋体" w:hAnsi="宋体" w:cs="宋体"/>
                <w:highlight w:val="none"/>
              </w:rPr>
              <w:t>质疑渠道</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18D127">
            <w:pPr>
              <w:spacing w:line="300" w:lineRule="auto"/>
              <w:ind w:firstLine="420" w:firstLineChars="200"/>
              <w:rPr>
                <w:rFonts w:ascii="宋体" w:hAnsi="宋体" w:cs="宋体"/>
                <w:highlight w:val="none"/>
              </w:rPr>
            </w:pPr>
            <w:r>
              <w:rPr>
                <w:rFonts w:hint="eastAsia" w:ascii="宋体" w:hAnsi="宋体" w:cs="宋体"/>
                <w:highlight w:val="none"/>
              </w:rPr>
              <w:t xml:space="preserve"> 以书面形式向采购人、采购代理机构递交质疑函。</w:t>
            </w:r>
          </w:p>
        </w:tc>
      </w:tr>
      <w:tr w14:paraId="13DB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C50A59">
            <w:pPr>
              <w:spacing w:line="300" w:lineRule="auto"/>
              <w:jc w:val="center"/>
              <w:rPr>
                <w:rFonts w:ascii="宋体" w:hAnsi="宋体" w:cs="宋体"/>
                <w:highlight w:val="none"/>
              </w:rPr>
            </w:pPr>
            <w:r>
              <w:rPr>
                <w:rFonts w:hint="eastAsia" w:ascii="宋体" w:hAnsi="宋体" w:cs="宋体"/>
                <w:highlight w:val="none"/>
              </w:rPr>
              <w:t>8</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A0F8DE">
            <w:pPr>
              <w:spacing w:line="300" w:lineRule="auto"/>
              <w:jc w:val="center"/>
              <w:rPr>
                <w:rFonts w:ascii="宋体" w:hAnsi="宋体" w:cs="宋体"/>
                <w:highlight w:val="none"/>
              </w:rPr>
            </w:pPr>
            <w:r>
              <w:rPr>
                <w:rFonts w:hint="eastAsia" w:ascii="宋体" w:hAnsi="宋体" w:cs="宋体"/>
                <w:highlight w:val="none"/>
                <w:lang w:val="zh-CN"/>
              </w:rPr>
              <w:t>实质性条款</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C98340">
            <w:pPr>
              <w:spacing w:line="300" w:lineRule="auto"/>
              <w:ind w:firstLine="420" w:firstLineChars="200"/>
              <w:rPr>
                <w:rFonts w:ascii="宋体" w:hAnsi="宋体" w:cs="宋体"/>
                <w:highlight w:val="none"/>
              </w:rPr>
            </w:pPr>
            <w:r>
              <w:rPr>
                <w:rFonts w:hint="eastAsia" w:ascii="宋体" w:hAnsi="宋体" w:cs="宋体"/>
                <w:highlight w:val="none"/>
                <w:lang w:val="zh-CN"/>
              </w:rPr>
              <w:t>带“</w:t>
            </w:r>
            <w:r>
              <w:rPr>
                <w:rFonts w:hint="eastAsia" w:ascii="宋体" w:hAnsi="宋体" w:cs="宋体"/>
                <w:highlight w:val="none"/>
              </w:rPr>
              <w:t>▲”的条款是实质性条款，投标文件须作出实质性响应，否则作无效投标处理。</w:t>
            </w:r>
          </w:p>
        </w:tc>
      </w:tr>
      <w:tr w14:paraId="7200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AB9818">
            <w:pPr>
              <w:spacing w:line="300" w:lineRule="auto"/>
              <w:jc w:val="center"/>
              <w:rPr>
                <w:rFonts w:hint="eastAsia" w:ascii="宋体" w:hAnsi="宋体" w:eastAsia="宋体" w:cs="宋体"/>
                <w:highlight w:val="none"/>
                <w:lang w:val="en-US" w:eastAsia="zh-CN"/>
              </w:rPr>
            </w:pPr>
            <w:r>
              <w:rPr>
                <w:rFonts w:hint="eastAsia" w:ascii="宋体" w:hAnsi="宋体" w:cs="宋体"/>
                <w:highlight w:val="none"/>
                <w:lang w:val="en-US" w:eastAsia="zh-CN"/>
              </w:rPr>
              <w:t>9</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5873BD">
            <w:pPr>
              <w:spacing w:line="300" w:lineRule="auto"/>
              <w:jc w:val="center"/>
              <w:rPr>
                <w:rFonts w:ascii="宋体" w:hAnsi="宋体" w:cs="宋体"/>
                <w:highlight w:val="none"/>
              </w:rPr>
            </w:pPr>
            <w:r>
              <w:rPr>
                <w:rFonts w:hint="eastAsia" w:ascii="宋体" w:hAnsi="宋体" w:cs="宋体"/>
                <w:highlight w:val="none"/>
              </w:rPr>
              <w:t>书面形式</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E41621">
            <w:pPr>
              <w:spacing w:line="300" w:lineRule="auto"/>
              <w:ind w:firstLine="420" w:firstLineChars="200"/>
              <w:rPr>
                <w:rFonts w:ascii="宋体" w:hAnsi="宋体" w:cs="宋体"/>
                <w:highlight w:val="none"/>
              </w:rPr>
            </w:pPr>
            <w:r>
              <w:rPr>
                <w:rFonts w:hint="eastAsia" w:ascii="宋体" w:hAnsi="宋体" w:cs="宋体"/>
                <w:highlight w:val="none"/>
              </w:rPr>
              <w:t>包括电子邮件、信函、传真。</w:t>
            </w:r>
          </w:p>
        </w:tc>
      </w:tr>
      <w:tr w14:paraId="09E8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4152AFAA">
            <w:pPr>
              <w:spacing w:line="300" w:lineRule="auto"/>
              <w:jc w:val="center"/>
              <w:rPr>
                <w:rFonts w:ascii="宋体" w:hAnsi="宋体" w:eastAsia="宋体" w:cs="宋体"/>
                <w:kern w:val="2"/>
                <w:sz w:val="21"/>
                <w:szCs w:val="24"/>
                <w:highlight w:val="none"/>
                <w:lang w:val="en-US" w:eastAsia="zh-CN" w:bidi="ar-SA"/>
              </w:rPr>
            </w:pPr>
            <w:r>
              <w:rPr>
                <w:rFonts w:hint="eastAsia" w:ascii="宋体" w:hAnsi="宋体" w:cs="宋体"/>
                <w:highlight w:val="none"/>
              </w:rPr>
              <w:t>10</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DD8314">
            <w:pPr>
              <w:spacing w:line="300" w:lineRule="auto"/>
              <w:jc w:val="center"/>
              <w:rPr>
                <w:rFonts w:ascii="宋体" w:hAnsi="宋体" w:cs="宋体"/>
                <w:highlight w:val="none"/>
              </w:rPr>
            </w:pPr>
            <w:r>
              <w:rPr>
                <w:rFonts w:hint="eastAsia" w:ascii="宋体" w:hAnsi="宋体" w:cs="宋体"/>
                <w:highlight w:val="none"/>
              </w:rPr>
              <w:t>解释权</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271CC2">
            <w:pPr>
              <w:spacing w:line="300" w:lineRule="auto"/>
              <w:ind w:firstLine="420" w:firstLineChars="200"/>
              <w:rPr>
                <w:rFonts w:ascii="宋体" w:hAnsi="宋体" w:cs="宋体"/>
                <w:highlight w:val="none"/>
              </w:rPr>
            </w:pPr>
            <w:r>
              <w:rPr>
                <w:rFonts w:hint="eastAsia" w:ascii="宋体" w:hAnsi="宋体" w:cs="宋体"/>
                <w:highlight w:val="none"/>
              </w:rPr>
              <w:t>本招标文件解释权属于采购人和采购组织机构。</w:t>
            </w:r>
          </w:p>
        </w:tc>
      </w:tr>
      <w:tr w14:paraId="027E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08C72312">
            <w:pPr>
              <w:spacing w:line="300" w:lineRule="auto"/>
              <w:jc w:val="center"/>
              <w:rPr>
                <w:rFonts w:ascii="宋体" w:hAnsi="宋体" w:eastAsia="宋体" w:cs="宋体"/>
                <w:kern w:val="2"/>
                <w:sz w:val="21"/>
                <w:szCs w:val="24"/>
                <w:highlight w:val="none"/>
                <w:lang w:val="en-US" w:eastAsia="zh-CN" w:bidi="ar-SA"/>
              </w:rPr>
            </w:pPr>
            <w:r>
              <w:rPr>
                <w:rFonts w:hint="eastAsia" w:ascii="宋体" w:hAnsi="宋体" w:cs="宋体"/>
                <w:highlight w:val="none"/>
              </w:rPr>
              <w:t>11</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0A94FC">
            <w:pPr>
              <w:spacing w:line="300" w:lineRule="auto"/>
              <w:jc w:val="center"/>
              <w:rPr>
                <w:rFonts w:ascii="宋体" w:hAnsi="宋体" w:cs="宋体"/>
                <w:color w:val="auto"/>
                <w:highlight w:val="none"/>
              </w:rPr>
            </w:pPr>
            <w:r>
              <w:rPr>
                <w:rFonts w:hint="eastAsia" w:ascii="宋体" w:hAnsi="宋体" w:cs="宋体"/>
                <w:color w:val="auto"/>
                <w:highlight w:val="none"/>
              </w:rPr>
              <w:t>投标报价及费用</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57E0AE">
            <w:pPr>
              <w:spacing w:line="300" w:lineRule="auto"/>
              <w:rPr>
                <w:rFonts w:ascii="宋体" w:hAnsi="宋体" w:cs="宋体"/>
                <w:color w:val="auto"/>
                <w:highlight w:val="none"/>
              </w:rPr>
            </w:pPr>
            <w:r>
              <w:rPr>
                <w:rFonts w:hint="eastAsia" w:ascii="宋体" w:hAnsi="宋体" w:cs="宋体"/>
                <w:color w:val="auto"/>
                <w:highlight w:val="none"/>
              </w:rPr>
              <w:t>本项目投标应以人民币报价；</w:t>
            </w:r>
          </w:p>
          <w:p w14:paraId="2B708EC1">
            <w:pPr>
              <w:spacing w:line="300" w:lineRule="auto"/>
              <w:rPr>
                <w:rFonts w:ascii="宋体" w:hAnsi="宋体" w:cs="宋体"/>
                <w:color w:val="auto"/>
                <w:highlight w:val="none"/>
              </w:rPr>
            </w:pPr>
            <w:r>
              <w:rPr>
                <w:rFonts w:hint="eastAsia" w:ascii="宋体" w:hAnsi="宋体" w:cs="宋体"/>
                <w:color w:val="auto"/>
                <w:highlight w:val="none"/>
              </w:rPr>
              <w:t>不论投标结果如何，投标人均应自行承担所有与投标有关的全部费用。</w:t>
            </w:r>
            <w:r>
              <w:rPr>
                <w:rFonts w:hint="eastAsia" w:ascii="宋体" w:hAnsi="宋体" w:cs="宋体"/>
                <w:color w:val="auto"/>
                <w:szCs w:val="21"/>
                <w:highlight w:val="none"/>
              </w:rPr>
              <w:t>本项目招标代理服务费</w:t>
            </w:r>
            <w:r>
              <w:rPr>
                <w:rFonts w:hint="eastAsia" w:ascii="宋体" w:hAnsi="宋体" w:cs="宋体"/>
                <w:color w:val="auto"/>
                <w:szCs w:val="21"/>
                <w:highlight w:val="none"/>
                <w:lang w:val="en-US" w:eastAsia="zh-CN"/>
              </w:rPr>
              <w:t>9000</w:t>
            </w:r>
            <w:r>
              <w:rPr>
                <w:rFonts w:hint="eastAsia" w:ascii="宋体" w:hAnsi="宋体" w:cs="宋体"/>
                <w:color w:val="auto"/>
                <w:szCs w:val="21"/>
                <w:highlight w:val="none"/>
              </w:rPr>
              <w:t>元，由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支付，请各投标人报价时综合考虑。</w:t>
            </w:r>
          </w:p>
        </w:tc>
      </w:tr>
      <w:tr w14:paraId="56C0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249D92E4">
            <w:pPr>
              <w:spacing w:line="300" w:lineRule="auto"/>
              <w:jc w:val="center"/>
              <w:rPr>
                <w:rFonts w:hint="default" w:ascii="宋体" w:hAnsi="宋体" w:eastAsia="宋体" w:cs="宋体"/>
                <w:kern w:val="2"/>
                <w:sz w:val="21"/>
                <w:szCs w:val="24"/>
                <w:highlight w:val="none"/>
                <w:lang w:val="en-US" w:eastAsia="zh-CN" w:bidi="ar-SA"/>
              </w:rPr>
            </w:pPr>
            <w:r>
              <w:rPr>
                <w:rFonts w:hint="eastAsia" w:ascii="宋体" w:hAnsi="宋体" w:cs="宋体"/>
                <w:highlight w:val="none"/>
              </w:rPr>
              <w:t>12</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A8990A">
            <w:pPr>
              <w:spacing w:line="300" w:lineRule="auto"/>
              <w:jc w:val="center"/>
              <w:rPr>
                <w:rFonts w:hint="eastAsia" w:ascii="宋体" w:hAnsi="宋体" w:cs="宋体"/>
                <w:color w:val="FF0000"/>
                <w:sz w:val="21"/>
                <w:szCs w:val="21"/>
                <w:highlight w:val="none"/>
                <w:lang w:val="en-US" w:eastAsia="zh-CN"/>
              </w:rPr>
            </w:pPr>
            <w:r>
              <w:rPr>
                <w:rFonts w:hint="eastAsia" w:ascii="宋体" w:hAnsi="宋体" w:cs="宋体"/>
                <w:color w:val="auto"/>
                <w:highlight w:val="none"/>
              </w:rPr>
              <w:t>交易服务费</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289815">
            <w:pPr>
              <w:spacing w:line="300" w:lineRule="auto"/>
              <w:rPr>
                <w:rFonts w:hint="eastAsia"/>
                <w:color w:val="FF0000"/>
                <w:highlight w:val="none"/>
                <w:lang w:val="en-US" w:eastAsia="zh-CN"/>
              </w:rPr>
            </w:pPr>
            <w:r>
              <w:rPr>
                <w:rFonts w:hint="eastAsia" w:ascii="宋体" w:hAnsi="宋体" w:cs="宋体"/>
                <w:color w:val="auto"/>
                <w:highlight w:val="none"/>
              </w:rPr>
              <w:t>本次开评标交易服务费，在评标结束后，由中标人支付给平台运营方。收费标准见台州湾新区小额工程电子交易平台官网首页通知公告（https://www.tzwztb.com/web/PubNews/viewinfo.aspx?nid=73</w:t>
            </w:r>
            <w:r>
              <w:rPr>
                <w:rFonts w:hint="eastAsia" w:ascii="宋体" w:hAnsi="宋体" w:cs="宋体"/>
                <w:color w:val="auto"/>
                <w:highlight w:val="none"/>
                <w:lang w:eastAsia="zh-CN"/>
              </w:rPr>
              <w:t>)</w:t>
            </w:r>
          </w:p>
        </w:tc>
      </w:tr>
    </w:tbl>
    <w:p w14:paraId="5691C776">
      <w:pP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br w:type="page"/>
      </w:r>
    </w:p>
    <w:p w14:paraId="30F7BF83">
      <w:pPr>
        <w:pStyle w:val="13"/>
        <w:keepNext w:val="0"/>
        <w:keepLines w:val="0"/>
        <w:pageBreakBefore w:val="0"/>
        <w:numPr>
          <w:ilvl w:val="0"/>
          <w:numId w:val="18"/>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说 明</w:t>
      </w:r>
    </w:p>
    <w:p w14:paraId="4B573ED5">
      <w:pPr>
        <w:pStyle w:val="14"/>
        <w:keepNext w:val="0"/>
        <w:keepLines w:val="0"/>
        <w:pageBreakBefore w:val="0"/>
        <w:numPr>
          <w:ilvl w:val="0"/>
          <w:numId w:val="19"/>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总则</w:t>
      </w:r>
    </w:p>
    <w:p w14:paraId="45F68CFF">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本招标文件依据《中华人民共和国政府采购法</w:t>
      </w:r>
      <w:r>
        <w:rPr>
          <w:rFonts w:hint="eastAsia" w:asciiTheme="minorEastAsia" w:hAnsiTheme="minorEastAsia" w:eastAsiaTheme="minorEastAsia"/>
          <w:sz w:val="24"/>
          <w:highlight w:val="none"/>
          <w:lang w:eastAsia="zh-CN"/>
        </w:rPr>
        <w:t>》《</w:t>
      </w:r>
      <w:r>
        <w:rPr>
          <w:rFonts w:asciiTheme="minorEastAsia" w:hAnsiTheme="minorEastAsia" w:eastAsiaTheme="minorEastAsia"/>
          <w:sz w:val="24"/>
          <w:highlight w:val="none"/>
        </w:rPr>
        <w:t>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highlight w:val="none"/>
        </w:rPr>
        <w:t>浙江省</w:t>
      </w:r>
      <w:r>
        <w:rPr>
          <w:rFonts w:asciiTheme="minorEastAsia" w:hAnsiTheme="minorEastAsia" w:eastAsiaTheme="minorEastAsia"/>
          <w:sz w:val="24"/>
          <w:highlight w:val="none"/>
        </w:rPr>
        <w:t>有关法律、法规、规章编制。</w:t>
      </w:r>
    </w:p>
    <w:p w14:paraId="1C9456EC">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sz w:val="24"/>
          <w:highlight w:val="none"/>
        </w:rPr>
        <w:t>由此引起的一切后果应由</w:t>
      </w:r>
      <w:r>
        <w:rPr>
          <w:rFonts w:asciiTheme="minorEastAsia" w:hAnsiTheme="minorEastAsia" w:eastAsiaTheme="minorEastAsia"/>
          <w:sz w:val="24"/>
          <w:highlight w:val="none"/>
        </w:rPr>
        <w:t>投标</w:t>
      </w:r>
      <w:r>
        <w:rPr>
          <w:rFonts w:hint="eastAsia" w:asciiTheme="minorEastAsia" w:hAnsiTheme="minorEastAsia" w:eastAsiaTheme="minorEastAsia"/>
          <w:sz w:val="24"/>
          <w:highlight w:val="none"/>
        </w:rPr>
        <w:t>人</w:t>
      </w:r>
      <w:r>
        <w:rPr>
          <w:rFonts w:hint="eastAsia"/>
          <w:sz w:val="24"/>
          <w:highlight w:val="none"/>
        </w:rPr>
        <w:t>承担。</w:t>
      </w:r>
    </w:p>
    <w:p w14:paraId="724DBA93">
      <w:pPr>
        <w:keepNext w:val="0"/>
        <w:keepLines w:val="0"/>
        <w:pageBreakBefore w:val="0"/>
        <w:numPr>
          <w:ilvl w:val="0"/>
          <w:numId w:val="19"/>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sz w:val="24"/>
          <w:highlight w:val="none"/>
        </w:rPr>
      </w:pPr>
      <w:r>
        <w:rPr>
          <w:rFonts w:asciiTheme="minorEastAsia" w:hAnsiTheme="minorEastAsia" w:eastAsiaTheme="minorEastAsia"/>
          <w:b/>
          <w:sz w:val="24"/>
          <w:highlight w:val="none"/>
        </w:rPr>
        <w:t>适用范围</w:t>
      </w:r>
    </w:p>
    <w:p w14:paraId="1981D442">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本招标文件适用于</w:t>
      </w:r>
      <w:r>
        <w:rPr>
          <w:rFonts w:hint="eastAsia" w:asciiTheme="minorEastAsia" w:hAnsiTheme="minorEastAsia" w:eastAsiaTheme="minorEastAsia"/>
          <w:bCs/>
          <w:sz w:val="24"/>
          <w:highlight w:val="none"/>
        </w:rPr>
        <w:t>本次</w:t>
      </w:r>
      <w:r>
        <w:rPr>
          <w:rFonts w:hint="eastAsia" w:asciiTheme="minorEastAsia" w:hAnsiTheme="minorEastAsia" w:eastAsiaTheme="minorEastAsia"/>
          <w:sz w:val="24"/>
          <w:highlight w:val="none"/>
        </w:rPr>
        <w:t>项目的招标、投标、评标、定标、验收、合同履约、付款等行为（法律、法规另有规定的，从其规定）。</w:t>
      </w:r>
    </w:p>
    <w:p w14:paraId="39C2D125">
      <w:pPr>
        <w:pStyle w:val="11"/>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highlight w:val="none"/>
        </w:rPr>
      </w:pPr>
      <w:r>
        <w:rPr>
          <w:highlight w:val="none"/>
        </w:rPr>
        <w:t>本招标文件仅适用于本次招标公告中所涉及的项目和内容。</w:t>
      </w:r>
    </w:p>
    <w:p w14:paraId="313FA45A">
      <w:pPr>
        <w:keepNext w:val="0"/>
        <w:keepLines w:val="0"/>
        <w:pageBreakBefore w:val="0"/>
        <w:numPr>
          <w:ilvl w:val="0"/>
          <w:numId w:val="19"/>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当事人</w:t>
      </w:r>
    </w:p>
    <w:p w14:paraId="698875CB">
      <w:pPr>
        <w:pStyle w:val="6"/>
        <w:keepNext w:val="0"/>
        <w:keepLines w:val="0"/>
        <w:pageBreakBefore w:val="0"/>
        <w:numPr>
          <w:ilvl w:val="0"/>
          <w:numId w:val="20"/>
        </w:numPr>
        <w:tabs>
          <w:tab w:val="left" w:pos="0"/>
          <w:tab w:val="left" w:pos="851"/>
        </w:tabs>
        <w:kinsoku/>
        <w:wordWrap/>
        <w:overflowPunct/>
        <w:topLinePunct w:val="0"/>
        <w:bidi w:val="0"/>
        <w:adjustRightInd/>
        <w:snapToGrid/>
        <w:spacing w:before="0" w:after="0" w:line="360" w:lineRule="auto"/>
        <w:ind w:left="0" w:leftChars="0" w:right="0" w:firstLine="480" w:firstLineChars="200"/>
        <w:jc w:val="left"/>
        <w:textAlignment w:val="auto"/>
        <w:rPr>
          <w:rFonts w:asciiTheme="minorEastAsia" w:hAnsiTheme="minorEastAsia" w:eastAsiaTheme="minorEastAsia"/>
          <w:bCs w:val="0"/>
          <w:sz w:val="24"/>
          <w:szCs w:val="24"/>
          <w:highlight w:val="none"/>
        </w:rPr>
      </w:pPr>
      <w:r>
        <w:rPr>
          <w:rFonts w:hint="eastAsia"/>
          <w:bCs w:val="0"/>
          <w:sz w:val="24"/>
          <w:szCs w:val="24"/>
          <w:highlight w:val="none"/>
          <w:lang w:val="zh-CN"/>
        </w:rPr>
        <w:t>采购组织机构：</w:t>
      </w:r>
      <w:r>
        <w:rPr>
          <w:rFonts w:hint="eastAsia" w:asciiTheme="minorEastAsia" w:hAnsiTheme="minorEastAsia" w:eastAsiaTheme="minorEastAsia"/>
          <w:sz w:val="24"/>
          <w:szCs w:val="24"/>
          <w:highlight w:val="none"/>
        </w:rPr>
        <w:t>是</w:t>
      </w:r>
      <w:r>
        <w:rPr>
          <w:rFonts w:hint="eastAsia"/>
          <w:bCs w:val="0"/>
          <w:sz w:val="24"/>
          <w:szCs w:val="24"/>
          <w:highlight w:val="none"/>
          <w:lang w:val="zh-CN"/>
        </w:rPr>
        <w:t>指</w:t>
      </w:r>
      <w:r>
        <w:rPr>
          <w:rFonts w:hint="eastAsia" w:ascii="宋体" w:hAnsi="宋体" w:cs="宋体"/>
          <w:color w:val="auto"/>
          <w:sz w:val="24"/>
          <w:szCs w:val="24"/>
          <w:highlight w:val="none"/>
          <w:lang w:eastAsia="zh-CN"/>
        </w:rPr>
        <w:t>台州市永阳科技有限公司</w:t>
      </w:r>
      <w:r>
        <w:rPr>
          <w:rFonts w:hint="eastAsia"/>
          <w:bCs w:val="0"/>
          <w:sz w:val="24"/>
          <w:szCs w:val="24"/>
          <w:highlight w:val="none"/>
          <w:lang w:val="zh-CN"/>
        </w:rPr>
        <w:t>；</w:t>
      </w:r>
    </w:p>
    <w:p w14:paraId="1CF636A2">
      <w:pPr>
        <w:keepNext w:val="0"/>
        <w:keepLines w:val="0"/>
        <w:pageBreakBefore w:val="0"/>
        <w:numPr>
          <w:ilvl w:val="0"/>
          <w:numId w:val="20"/>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采购人：是指</w:t>
      </w:r>
      <w:r>
        <w:rPr>
          <w:rFonts w:hint="eastAsia" w:ascii="宋体" w:hAnsi="宋体" w:cs="宋体"/>
          <w:color w:val="auto"/>
          <w:sz w:val="24"/>
          <w:szCs w:val="24"/>
          <w:highlight w:val="none"/>
          <w:lang w:eastAsia="zh-CN"/>
        </w:rPr>
        <w:t>台州市文华小学</w:t>
      </w:r>
      <w:r>
        <w:rPr>
          <w:rFonts w:hint="eastAsia" w:asciiTheme="minorEastAsia" w:hAnsiTheme="minorEastAsia" w:eastAsiaTheme="minorEastAsia"/>
          <w:sz w:val="24"/>
          <w:highlight w:val="none"/>
        </w:rPr>
        <w:t>；</w:t>
      </w:r>
    </w:p>
    <w:p w14:paraId="2E972145">
      <w:pPr>
        <w:keepNext w:val="0"/>
        <w:keepLines w:val="0"/>
        <w:pageBreakBefore w:val="0"/>
        <w:numPr>
          <w:ilvl w:val="0"/>
          <w:numId w:val="20"/>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投标人</w:t>
      </w:r>
      <w:r>
        <w:rPr>
          <w:rFonts w:hint="eastAsia" w:asciiTheme="minorEastAsia" w:hAnsiTheme="minorEastAsia" w:eastAsiaTheme="minorEastAsia"/>
          <w:sz w:val="24"/>
          <w:highlight w:val="none"/>
        </w:rPr>
        <w:t>：是</w:t>
      </w:r>
      <w:r>
        <w:rPr>
          <w:rFonts w:asciiTheme="minorEastAsia" w:hAnsiTheme="minorEastAsia" w:eastAsiaTheme="minorEastAsia"/>
          <w:sz w:val="24"/>
          <w:highlight w:val="none"/>
        </w:rPr>
        <w:t>指</w:t>
      </w:r>
      <w:r>
        <w:rPr>
          <w:rFonts w:hint="eastAsia" w:asciiTheme="minorEastAsia" w:hAnsiTheme="minorEastAsia" w:eastAsiaTheme="minorEastAsia"/>
          <w:sz w:val="24"/>
          <w:highlight w:val="none"/>
        </w:rPr>
        <w:t>响应招标、参加投标竞争的法人、其他组织或者自然人；</w:t>
      </w:r>
    </w:p>
    <w:p w14:paraId="2B5C1F46">
      <w:pPr>
        <w:keepNext w:val="0"/>
        <w:keepLines w:val="0"/>
        <w:pageBreakBefore w:val="0"/>
        <w:numPr>
          <w:ilvl w:val="0"/>
          <w:numId w:val="20"/>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lang w:val="zh-CN"/>
        </w:rPr>
      </w:pPr>
      <w:r>
        <w:rPr>
          <w:rFonts w:hint="eastAsia" w:ascii="宋体" w:hAnsi="宋体"/>
          <w:sz w:val="24"/>
          <w:highlight w:val="none"/>
          <w:lang w:val="zh-CN"/>
        </w:rPr>
        <w:t>中标</w:t>
      </w:r>
      <w:r>
        <w:rPr>
          <w:rFonts w:hint="eastAsia" w:ascii="宋体" w:hAnsi="宋体"/>
          <w:sz w:val="24"/>
          <w:highlight w:val="none"/>
        </w:rPr>
        <w:t>人</w:t>
      </w:r>
      <w:r>
        <w:rPr>
          <w:rFonts w:hint="eastAsia" w:ascii="宋体" w:hAnsi="宋体"/>
          <w:sz w:val="24"/>
          <w:highlight w:val="none"/>
          <w:lang w:val="zh-CN"/>
        </w:rPr>
        <w:t>：是指经评</w:t>
      </w:r>
      <w:r>
        <w:rPr>
          <w:rFonts w:hint="eastAsia" w:ascii="宋体" w:hAnsi="宋体"/>
          <w:sz w:val="24"/>
          <w:highlight w:val="none"/>
        </w:rPr>
        <w:t>标</w:t>
      </w:r>
      <w:r>
        <w:rPr>
          <w:rFonts w:hint="eastAsia" w:ascii="宋体" w:hAnsi="宋体"/>
          <w:sz w:val="24"/>
          <w:highlight w:val="none"/>
          <w:lang w:val="zh-CN"/>
        </w:rPr>
        <w:t>委员会评审确定的对招标文件</w:t>
      </w:r>
      <w:r>
        <w:rPr>
          <w:rFonts w:hint="eastAsia" w:ascii="宋体" w:hAnsi="宋体"/>
          <w:sz w:val="24"/>
          <w:highlight w:val="none"/>
        </w:rPr>
        <w:t>作</w:t>
      </w:r>
      <w:r>
        <w:rPr>
          <w:rFonts w:hint="eastAsia" w:ascii="宋体" w:hAnsi="宋体"/>
          <w:sz w:val="24"/>
          <w:highlight w:val="none"/>
          <w:lang w:val="zh-CN"/>
        </w:rPr>
        <w:t>出实质性响应，经采购人按照规定在评</w:t>
      </w:r>
      <w:r>
        <w:rPr>
          <w:rFonts w:hint="eastAsia" w:ascii="宋体" w:hAnsi="宋体"/>
          <w:sz w:val="24"/>
          <w:highlight w:val="none"/>
        </w:rPr>
        <w:t>标</w:t>
      </w:r>
      <w:r>
        <w:rPr>
          <w:rFonts w:hint="eastAsia" w:ascii="宋体" w:hAnsi="宋体"/>
          <w:sz w:val="24"/>
          <w:highlight w:val="none"/>
          <w:lang w:val="zh-CN"/>
        </w:rPr>
        <w:t>委员会推荐的中标候选人中确定的或受采购人委托直接确认的，与采购人签订合同资格的投标</w:t>
      </w:r>
      <w:r>
        <w:rPr>
          <w:rFonts w:hint="eastAsia" w:ascii="宋体" w:hAnsi="宋体"/>
          <w:sz w:val="24"/>
          <w:highlight w:val="none"/>
        </w:rPr>
        <w:t>人；</w:t>
      </w:r>
    </w:p>
    <w:p w14:paraId="5E80706B">
      <w:pPr>
        <w:keepNext w:val="0"/>
        <w:keepLines w:val="0"/>
        <w:pageBreakBefore w:val="0"/>
        <w:numPr>
          <w:ilvl w:val="0"/>
          <w:numId w:val="20"/>
        </w:numPr>
        <w:kinsoku/>
        <w:wordWrap/>
        <w:overflowPunct/>
        <w:topLinePunct w:val="0"/>
        <w:bidi w:val="0"/>
        <w:adjustRightInd/>
        <w:snapToGrid/>
        <w:spacing w:line="360" w:lineRule="auto"/>
        <w:ind w:left="0" w:leftChars="0" w:right="0" w:firstLine="480" w:firstLineChars="200"/>
        <w:jc w:val="left"/>
        <w:textAlignment w:val="auto"/>
        <w:rPr>
          <w:sz w:val="24"/>
          <w:highlight w:val="none"/>
        </w:rPr>
      </w:pPr>
      <w:r>
        <w:rPr>
          <w:rFonts w:hint="eastAsia" w:ascii="宋体" w:hAnsi="宋体"/>
          <w:sz w:val="24"/>
          <w:highlight w:val="none"/>
        </w:rPr>
        <w:t>联合体：</w:t>
      </w:r>
      <w:r>
        <w:rPr>
          <w:rFonts w:hint="eastAsia"/>
          <w:sz w:val="24"/>
          <w:highlight w:val="none"/>
        </w:rPr>
        <w:t>两个或两个以上法人或者其他组织可以组成一个联合体，以一个投标人的身份共同投标。</w:t>
      </w:r>
    </w:p>
    <w:p w14:paraId="3BC637F9">
      <w:pPr>
        <w:keepNext w:val="0"/>
        <w:keepLines w:val="0"/>
        <w:pageBreakBefore w:val="0"/>
        <w:numPr>
          <w:ilvl w:val="0"/>
          <w:numId w:val="19"/>
        </w:numPr>
        <w:kinsoku/>
        <w:wordWrap/>
        <w:overflowPunct/>
        <w:topLinePunct w:val="0"/>
        <w:bidi w:val="0"/>
        <w:adjustRightInd/>
        <w:snapToGrid/>
        <w:spacing w:line="360" w:lineRule="auto"/>
        <w:ind w:left="0" w:leftChars="0" w:right="0" w:firstLine="482" w:firstLineChars="200"/>
        <w:jc w:val="left"/>
        <w:textAlignment w:val="auto"/>
        <w:rPr>
          <w:b/>
          <w:bCs/>
          <w:sz w:val="24"/>
          <w:highlight w:val="none"/>
        </w:rPr>
      </w:pPr>
      <w:r>
        <w:rPr>
          <w:b/>
          <w:bCs/>
          <w:sz w:val="24"/>
          <w:highlight w:val="none"/>
        </w:rPr>
        <w:t>以联合体形式投标的，应符合以下规定</w:t>
      </w:r>
    </w:p>
    <w:p w14:paraId="1EE356DC">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本项目不接受联合体投标。</w:t>
      </w:r>
    </w:p>
    <w:p w14:paraId="51080EE1">
      <w:pPr>
        <w:keepNext w:val="0"/>
        <w:keepLines w:val="0"/>
        <w:pageBreakBefore w:val="0"/>
        <w:numPr>
          <w:ilvl w:val="0"/>
          <w:numId w:val="19"/>
        </w:numPr>
        <w:kinsoku/>
        <w:wordWrap/>
        <w:overflowPunct/>
        <w:topLinePunct w:val="0"/>
        <w:bidi w:val="0"/>
        <w:adjustRightInd/>
        <w:snapToGrid/>
        <w:spacing w:line="360" w:lineRule="auto"/>
        <w:ind w:left="0" w:leftChars="0" w:right="0" w:firstLine="482" w:firstLineChars="200"/>
        <w:jc w:val="left"/>
        <w:textAlignment w:val="auto"/>
        <w:rPr>
          <w:b/>
          <w:bCs/>
          <w:sz w:val="24"/>
          <w:highlight w:val="none"/>
        </w:rPr>
      </w:pPr>
      <w:r>
        <w:rPr>
          <w:b/>
          <w:bCs/>
          <w:sz w:val="24"/>
          <w:highlight w:val="none"/>
        </w:rPr>
        <w:t>语言文字以及度量衡单位</w:t>
      </w:r>
    </w:p>
    <w:p w14:paraId="0AABF796">
      <w:pPr>
        <w:keepNext w:val="0"/>
        <w:keepLines w:val="0"/>
        <w:pageBreakBefore w:val="0"/>
        <w:numPr>
          <w:ilvl w:val="0"/>
          <w:numId w:val="21"/>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投标文件以及投标人与</w:t>
      </w:r>
      <w:r>
        <w:rPr>
          <w:rFonts w:hint="eastAsia" w:ascii="宋体" w:hAnsi="宋体" w:cs="宋体" w:eastAsiaTheme="minorEastAsia"/>
          <w:kern w:val="0"/>
          <w:sz w:val="24"/>
          <w:highlight w:val="none"/>
          <w:lang w:eastAsia="zh-CN"/>
        </w:rPr>
        <w:t>台州市永阳科技有限公司</w:t>
      </w:r>
      <w:r>
        <w:rPr>
          <w:rFonts w:hint="eastAsia" w:asciiTheme="minorEastAsia" w:hAnsiTheme="minorEastAsia" w:eastAsiaTheme="minorEastAsia"/>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5F691B56">
      <w:pPr>
        <w:keepNext w:val="0"/>
        <w:keepLines w:val="0"/>
        <w:pageBreakBefore w:val="0"/>
        <w:numPr>
          <w:ilvl w:val="0"/>
          <w:numId w:val="21"/>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所有计量均采用中国法定的计量单位。</w:t>
      </w:r>
    </w:p>
    <w:p w14:paraId="2B955DCB">
      <w:pPr>
        <w:keepNext w:val="0"/>
        <w:keepLines w:val="0"/>
        <w:pageBreakBefore w:val="0"/>
        <w:numPr>
          <w:ilvl w:val="0"/>
          <w:numId w:val="21"/>
        </w:numPr>
        <w:kinsoku/>
        <w:wordWrap/>
        <w:overflowPunct/>
        <w:topLinePunct w:val="0"/>
        <w:bidi w:val="0"/>
        <w:adjustRightInd/>
        <w:snapToGrid/>
        <w:spacing w:line="360" w:lineRule="auto"/>
        <w:ind w:left="0" w:leftChars="0" w:right="0" w:firstLine="480" w:firstLineChars="200"/>
        <w:jc w:val="left"/>
        <w:textAlignment w:val="auto"/>
        <w:rPr>
          <w:sz w:val="24"/>
          <w:highlight w:val="none"/>
        </w:rPr>
      </w:pPr>
      <w:r>
        <w:rPr>
          <w:rFonts w:hint="eastAsia" w:asciiTheme="minorEastAsia" w:hAnsiTheme="minorEastAsia" w:eastAsiaTheme="minorEastAsia"/>
          <w:sz w:val="24"/>
          <w:highlight w:val="none"/>
        </w:rPr>
        <w:t>所有</w:t>
      </w:r>
      <w:r>
        <w:rPr>
          <w:sz w:val="24"/>
          <w:highlight w:val="none"/>
        </w:rPr>
        <w:t>报价一律使用人民币，货币单位：元。</w:t>
      </w:r>
    </w:p>
    <w:p w14:paraId="6D67F15D">
      <w:pPr>
        <w:keepNext w:val="0"/>
        <w:keepLines w:val="0"/>
        <w:pageBreakBefore w:val="0"/>
        <w:numPr>
          <w:ilvl w:val="0"/>
          <w:numId w:val="19"/>
        </w:numPr>
        <w:kinsoku/>
        <w:wordWrap/>
        <w:overflowPunct/>
        <w:topLinePunct w:val="0"/>
        <w:bidi w:val="0"/>
        <w:adjustRightInd/>
        <w:snapToGrid/>
        <w:spacing w:line="360" w:lineRule="auto"/>
        <w:ind w:left="0" w:leftChars="0" w:right="0" w:firstLine="482" w:firstLineChars="200"/>
        <w:jc w:val="left"/>
        <w:textAlignment w:val="auto"/>
        <w:rPr>
          <w:b/>
          <w:bCs/>
          <w:sz w:val="24"/>
          <w:highlight w:val="none"/>
        </w:rPr>
      </w:pPr>
      <w:r>
        <w:rPr>
          <w:b/>
          <w:bCs/>
          <w:sz w:val="24"/>
          <w:highlight w:val="none"/>
        </w:rPr>
        <w:t>现场踏勘</w:t>
      </w:r>
    </w:p>
    <w:p w14:paraId="77EACDCF">
      <w:pPr>
        <w:keepNext w:val="0"/>
        <w:keepLines w:val="0"/>
        <w:pageBreakBefore w:val="0"/>
        <w:numPr>
          <w:ilvl w:val="0"/>
          <w:numId w:val="22"/>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本项目不组织现场踏勘。</w:t>
      </w:r>
    </w:p>
    <w:p w14:paraId="15D54BA7">
      <w:pPr>
        <w:keepNext w:val="0"/>
        <w:keepLines w:val="0"/>
        <w:pageBreakBefore w:val="0"/>
        <w:numPr>
          <w:ilvl w:val="0"/>
          <w:numId w:val="22"/>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投标人自行承担踏勘现场发生的责任、风险和自身费用。</w:t>
      </w:r>
    </w:p>
    <w:p w14:paraId="2D9B30F9">
      <w:pPr>
        <w:keepNext w:val="0"/>
        <w:keepLines w:val="0"/>
        <w:pageBreakBefore w:val="0"/>
        <w:numPr>
          <w:ilvl w:val="0"/>
          <w:numId w:val="22"/>
        </w:numPr>
        <w:kinsoku/>
        <w:wordWrap/>
        <w:overflowPunct/>
        <w:topLinePunct w:val="0"/>
        <w:bidi w:val="0"/>
        <w:adjustRightInd/>
        <w:snapToGrid/>
        <w:spacing w:line="360" w:lineRule="auto"/>
        <w:ind w:left="0" w:leftChars="0" w:right="0" w:firstLine="480" w:firstLineChars="200"/>
        <w:jc w:val="left"/>
        <w:textAlignment w:val="auto"/>
        <w:rPr>
          <w:sz w:val="24"/>
          <w:highlight w:val="none"/>
        </w:rPr>
      </w:pPr>
      <w:r>
        <w:rPr>
          <w:rFonts w:hint="eastAsia" w:asciiTheme="minorEastAsia" w:hAnsiTheme="minorEastAsia" w:eastAsiaTheme="minorEastAsia"/>
          <w:sz w:val="24"/>
          <w:highlight w:val="none"/>
        </w:rPr>
        <w:t>采购人</w:t>
      </w:r>
      <w:r>
        <w:rPr>
          <w:sz w:val="24"/>
          <w:highlight w:val="none"/>
        </w:rPr>
        <w:t>在踏勘现场中介绍的资料和数据等，不构成对招标文件的修改或不作为投标人编制投标文件的依据。</w:t>
      </w:r>
    </w:p>
    <w:p w14:paraId="25000BF5">
      <w:pPr>
        <w:pStyle w:val="13"/>
        <w:keepNext w:val="0"/>
        <w:keepLines w:val="0"/>
        <w:pageBreakBefore w:val="0"/>
        <w:numPr>
          <w:ilvl w:val="0"/>
          <w:numId w:val="19"/>
        </w:numPr>
        <w:kinsoku/>
        <w:wordWrap/>
        <w:overflowPunct/>
        <w:topLinePunct w:val="0"/>
        <w:bidi w:val="0"/>
        <w:adjustRightInd/>
        <w:snapToGrid/>
        <w:spacing w:line="360" w:lineRule="auto"/>
        <w:ind w:left="0" w:leftChars="0" w:right="0" w:firstLine="482" w:firstLineChars="200"/>
        <w:jc w:val="left"/>
        <w:textAlignment w:val="auto"/>
        <w:rPr>
          <w:rFonts w:hAnsi="宋体"/>
          <w:b/>
          <w:sz w:val="24"/>
          <w:highlight w:val="none"/>
        </w:rPr>
      </w:pPr>
      <w:r>
        <w:rPr>
          <w:rFonts w:hint="eastAsia" w:hAnsi="宋体"/>
          <w:b/>
          <w:sz w:val="24"/>
          <w:highlight w:val="none"/>
        </w:rPr>
        <w:t>特别说明</w:t>
      </w:r>
    </w:p>
    <w:p w14:paraId="546239BB">
      <w:pPr>
        <w:pStyle w:val="13"/>
        <w:keepNext w:val="0"/>
        <w:keepLines w:val="0"/>
        <w:pageBreakBefore w:val="0"/>
        <w:numPr>
          <w:ilvl w:val="0"/>
          <w:numId w:val="23"/>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投标人投标所使用的资格、信誉、荣誉、业绩与企业认证必须为本法人所拥有</w:t>
      </w:r>
      <w:r>
        <w:rPr>
          <w:rFonts w:hint="eastAsia" w:asciiTheme="minorEastAsia" w:hAnsiTheme="minorEastAsia" w:eastAsiaTheme="minorEastAsia"/>
          <w:sz w:val="24"/>
          <w:highlight w:val="none"/>
        </w:rPr>
        <w:t>且所提供的资料都是真实有效的</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lang w:val="en-US" w:eastAsia="zh-CN"/>
        </w:rPr>
        <w:t>招标文件另有说明的除外</w:t>
      </w:r>
      <w:r>
        <w:rPr>
          <w:rFonts w:hint="eastAsia" w:asciiTheme="minorEastAsia" w:hAnsiTheme="minorEastAsia" w:eastAsiaTheme="minorEastAsia"/>
          <w:sz w:val="24"/>
          <w:highlight w:val="none"/>
          <w:lang w:eastAsia="zh-CN"/>
        </w:rPr>
        <w:t>）</w:t>
      </w:r>
      <w:r>
        <w:rPr>
          <w:rFonts w:asciiTheme="minorEastAsia" w:hAnsiTheme="minorEastAsia" w:eastAsiaTheme="minorEastAsia"/>
          <w:sz w:val="24"/>
          <w:highlight w:val="none"/>
        </w:rPr>
        <w:t>。投标人投标所使用的采购项目实施人员必须为本法人员工。</w:t>
      </w:r>
    </w:p>
    <w:p w14:paraId="50077814">
      <w:pPr>
        <w:pStyle w:val="37"/>
        <w:keepNext w:val="0"/>
        <w:keepLines w:val="0"/>
        <w:pageBreakBefore w:val="0"/>
        <w:numPr>
          <w:ilvl w:val="0"/>
          <w:numId w:val="23"/>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本招标文件中关于电子招投标的内容、流程，如与台州湾新区小额工程电子交易平台系统中最新的内容、操作不一致的，以台州湾新区小额工程电子交易平台系统中的要求为准。</w:t>
      </w:r>
    </w:p>
    <w:p w14:paraId="688ED8D4">
      <w:pPr>
        <w:keepNext w:val="0"/>
        <w:keepLines w:val="0"/>
        <w:pageBreakBefore w:val="0"/>
        <w:numPr>
          <w:ilvl w:val="0"/>
          <w:numId w:val="18"/>
        </w:numPr>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招标文件</w:t>
      </w:r>
    </w:p>
    <w:p w14:paraId="096DA261">
      <w:pPr>
        <w:pStyle w:val="37"/>
        <w:keepNext w:val="0"/>
        <w:keepLines w:val="0"/>
        <w:pageBreakBefore w:val="0"/>
        <w:numPr>
          <w:ilvl w:val="0"/>
          <w:numId w:val="24"/>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招标文件由招标文件目录所列内容组成。</w:t>
      </w:r>
    </w:p>
    <w:p w14:paraId="362FD14D">
      <w:pPr>
        <w:pStyle w:val="37"/>
        <w:keepNext w:val="0"/>
        <w:keepLines w:val="0"/>
        <w:pageBreakBefore w:val="0"/>
        <w:numPr>
          <w:ilvl w:val="0"/>
          <w:numId w:val="24"/>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投标人在规定的时间内未对招标文件提出疑问、质疑或要求澄清的，将视其为无异议。</w:t>
      </w:r>
    </w:p>
    <w:p w14:paraId="2DA04966">
      <w:pPr>
        <w:pStyle w:val="37"/>
        <w:keepNext w:val="0"/>
        <w:keepLines w:val="0"/>
        <w:pageBreakBefore w:val="0"/>
        <w:numPr>
          <w:ilvl w:val="0"/>
          <w:numId w:val="24"/>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对招标文件中描述有歧义或前后不一致的地方，评标委员会有权进行评判，但对同一条款的评判应适用于每个投标人。</w:t>
      </w:r>
    </w:p>
    <w:p w14:paraId="3FEB634B">
      <w:pPr>
        <w:pStyle w:val="37"/>
        <w:keepNext w:val="0"/>
        <w:keepLines w:val="0"/>
        <w:pageBreakBefore w:val="0"/>
        <w:numPr>
          <w:ilvl w:val="0"/>
          <w:numId w:val="24"/>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采购组织机构对招标文件进行必要的澄清更正的，澄清或者修改的内容可能影响投标文件编制的，于投标截止时间的3日前在台州湾新区小额工程电子交易平台</w:t>
      </w:r>
      <w:r>
        <w:rPr>
          <w:rFonts w:hint="eastAsia" w:asciiTheme="minorEastAsia" w:hAnsiTheme="minorEastAsia" w:eastAsiaTheme="minorEastAsia" w:cstheme="minorBidi"/>
          <w:sz w:val="24"/>
          <w:highlight w:val="none"/>
          <w:lang w:val="en-US" w:eastAsia="zh-CN"/>
        </w:rPr>
        <w:t>和</w:t>
      </w:r>
      <w:r>
        <w:rPr>
          <w:rFonts w:hint="eastAsia" w:asciiTheme="minorEastAsia" w:hAnsiTheme="minorEastAsia" w:eastAsiaTheme="minorEastAsia" w:cstheme="minorBidi"/>
          <w:sz w:val="24"/>
          <w:highlight w:val="none"/>
          <w:lang w:eastAsia="zh-CN"/>
        </w:rPr>
        <w:t>浙江政府采购网</w:t>
      </w:r>
      <w:r>
        <w:rPr>
          <w:rFonts w:hint="eastAsia" w:asciiTheme="minorEastAsia" w:hAnsiTheme="minorEastAsia" w:eastAsiaTheme="minorEastAsia" w:cstheme="minorBidi"/>
          <w:sz w:val="24"/>
          <w:highlight w:val="none"/>
        </w:rPr>
        <w:t>上以更正公告的形式通知各潜在的投标人；不足3日的，采购组织机构应当顺延提交投标文件的截止时间。</w:t>
      </w:r>
    </w:p>
    <w:p w14:paraId="6E17A884">
      <w:pPr>
        <w:keepNext w:val="0"/>
        <w:keepLines w:val="0"/>
        <w:pageBreakBefore w:val="0"/>
        <w:numPr>
          <w:ilvl w:val="0"/>
          <w:numId w:val="18"/>
        </w:numPr>
        <w:tabs>
          <w:tab w:val="left" w:pos="1418"/>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投标文件</w:t>
      </w:r>
    </w:p>
    <w:p w14:paraId="6A511739">
      <w:pPr>
        <w:pStyle w:val="7"/>
        <w:keepNext w:val="0"/>
        <w:keepLines w:val="0"/>
        <w:pageBreakBefore w:val="0"/>
        <w:numPr>
          <w:ilvl w:val="0"/>
          <w:numId w:val="25"/>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b/>
          <w:kern w:val="0"/>
          <w:sz w:val="24"/>
          <w:highlight w:val="none"/>
        </w:rPr>
      </w:pPr>
      <w:r>
        <w:rPr>
          <w:rFonts w:hint="eastAsia" w:asciiTheme="minorEastAsia" w:hAnsiTheme="minorEastAsia" w:eastAsiaTheme="minorEastAsia"/>
          <w:b/>
          <w:kern w:val="0"/>
          <w:sz w:val="24"/>
          <w:highlight w:val="none"/>
        </w:rPr>
        <w:t>投标文件的编制</w:t>
      </w:r>
    </w:p>
    <w:p w14:paraId="7C6E12FA">
      <w:pPr>
        <w:pStyle w:val="7"/>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kern w:val="0"/>
          <w:sz w:val="24"/>
          <w:highlight w:val="none"/>
        </w:rPr>
        <w:t>投标人获取招标文件后，按照采购组织机构的要求提供：资格标、技术标和商务标</w:t>
      </w:r>
      <w:r>
        <w:rPr>
          <w:rFonts w:hint="eastAsia" w:asciiTheme="minorEastAsia" w:hAnsiTheme="minorEastAsia" w:eastAsiaTheme="minorEastAsia"/>
          <w:kern w:val="0"/>
          <w:sz w:val="24"/>
          <w:highlight w:val="none"/>
          <w:lang w:val="zh-CN"/>
        </w:rPr>
        <w:t>。</w:t>
      </w:r>
    </w:p>
    <w:p w14:paraId="4A405BEE">
      <w:pPr>
        <w:keepNext w:val="0"/>
        <w:keepLines w:val="0"/>
        <w:pageBreakBefore w:val="0"/>
        <w:numPr>
          <w:ilvl w:val="0"/>
          <w:numId w:val="26"/>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bCs w:val="0"/>
          <w:kern w:val="0"/>
          <w:sz w:val="24"/>
          <w:highlight w:val="none"/>
        </w:rPr>
      </w:pPr>
      <w:r>
        <w:rPr>
          <w:rFonts w:hint="eastAsia" w:asciiTheme="minorEastAsia" w:hAnsiTheme="minorEastAsia" w:eastAsiaTheme="minorEastAsia"/>
          <w:b/>
          <w:bCs w:val="0"/>
          <w:sz w:val="24"/>
          <w:highlight w:val="none"/>
        </w:rPr>
        <w:t>资格标</w:t>
      </w:r>
      <w:r>
        <w:rPr>
          <w:rFonts w:hint="eastAsia" w:ascii="宋体" w:hAnsi="宋体"/>
          <w:b/>
          <w:bCs w:val="0"/>
          <w:sz w:val="24"/>
          <w:highlight w:val="none"/>
        </w:rPr>
        <w:t>组成</w:t>
      </w:r>
    </w:p>
    <w:p w14:paraId="06976573">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cs="宋体"/>
          <w:b/>
          <w:bCs w:val="0"/>
          <w:sz w:val="24"/>
          <w:highlight w:val="none"/>
        </w:rPr>
      </w:pPr>
      <w:r>
        <w:rPr>
          <w:rFonts w:hint="eastAsia" w:ascii="宋体" w:hAnsi="宋体" w:cs="宋体"/>
          <w:b/>
          <w:bCs w:val="0"/>
          <w:sz w:val="24"/>
          <w:highlight w:val="none"/>
        </w:rPr>
        <w:t>▲投标声明书（附件1）；</w:t>
      </w:r>
    </w:p>
    <w:p w14:paraId="31548BB0">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cs="宋体"/>
          <w:b/>
          <w:bCs w:val="0"/>
          <w:sz w:val="24"/>
          <w:highlight w:val="none"/>
        </w:rPr>
      </w:pPr>
      <w:r>
        <w:rPr>
          <w:rFonts w:hint="eastAsia" w:ascii="宋体" w:hAnsi="宋体" w:cs="宋体"/>
          <w:b/>
          <w:bCs w:val="0"/>
          <w:sz w:val="24"/>
          <w:highlight w:val="none"/>
        </w:rPr>
        <w:t>▲授权委托书（法定代表人亲自办理投标事宜的，则无需提交；附件2）；</w:t>
      </w:r>
    </w:p>
    <w:p w14:paraId="0316066D">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cs="宋体"/>
          <w:b/>
          <w:bCs w:val="0"/>
          <w:sz w:val="24"/>
          <w:highlight w:val="none"/>
        </w:rPr>
      </w:pPr>
      <w:r>
        <w:rPr>
          <w:rFonts w:hint="eastAsia" w:ascii="宋体" w:hAnsi="宋体" w:cs="宋体"/>
          <w:b/>
          <w:bCs w:val="0"/>
          <w:sz w:val="24"/>
          <w:highlight w:val="none"/>
        </w:rPr>
        <w:t>▲法人或者其他组织的营业执照等证明文件，自然人的身份证明；</w:t>
      </w:r>
    </w:p>
    <w:p w14:paraId="5464B945">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cs="宋体"/>
          <w:b/>
          <w:bCs w:val="0"/>
          <w:sz w:val="24"/>
          <w:highlight w:val="none"/>
        </w:rPr>
      </w:pPr>
      <w:r>
        <w:rPr>
          <w:rFonts w:hint="eastAsia" w:ascii="宋体" w:hAnsi="宋体" w:cs="宋体"/>
          <w:b/>
          <w:bCs w:val="0"/>
          <w:sz w:val="24"/>
          <w:highlight w:val="none"/>
        </w:rPr>
        <w:t>▲食品经营许可证</w:t>
      </w:r>
      <w:r>
        <w:rPr>
          <w:rFonts w:hint="eastAsia" w:ascii="宋体" w:hAnsi="宋体" w:cs="宋体"/>
          <w:b/>
          <w:bCs w:val="0"/>
          <w:sz w:val="24"/>
          <w:highlight w:val="none"/>
          <w:lang w:eastAsia="zh-CN"/>
        </w:rPr>
        <w:t>；</w:t>
      </w:r>
    </w:p>
    <w:p w14:paraId="08DC1283">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cs="宋体"/>
          <w:b/>
          <w:bCs w:val="0"/>
          <w:sz w:val="24"/>
          <w:highlight w:val="none"/>
        </w:rPr>
      </w:pPr>
      <w:r>
        <w:rPr>
          <w:rFonts w:hint="eastAsia" w:ascii="宋体" w:hAnsi="宋体" w:cs="宋体"/>
          <w:b/>
          <w:bCs w:val="0"/>
          <w:sz w:val="24"/>
          <w:highlight w:val="none"/>
        </w:rPr>
        <w:t>▲具有依法缴纳税收和社会保障资金证明的承诺函（附件3）；</w:t>
      </w:r>
    </w:p>
    <w:p w14:paraId="3176689F">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cs="宋体"/>
          <w:b/>
          <w:bCs w:val="0"/>
          <w:sz w:val="24"/>
          <w:highlight w:val="none"/>
        </w:rPr>
      </w:pPr>
      <w:r>
        <w:rPr>
          <w:rFonts w:hint="eastAsia" w:ascii="宋体" w:hAnsi="宋体" w:cs="宋体"/>
          <w:b/>
          <w:bCs w:val="0"/>
          <w:sz w:val="24"/>
          <w:highlight w:val="none"/>
        </w:rPr>
        <w:t>▲具有良好的商业信誉和健全的财务会计制度的承诺函（附件4）；</w:t>
      </w:r>
    </w:p>
    <w:p w14:paraId="465EBB95">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cs="宋体"/>
          <w:sz w:val="24"/>
          <w:highlight w:val="none"/>
        </w:rPr>
      </w:pPr>
      <w:r>
        <w:rPr>
          <w:rFonts w:hint="eastAsia" w:ascii="宋体" w:hAnsi="宋体" w:cs="宋体"/>
          <w:b/>
          <w:bCs w:val="0"/>
          <w:sz w:val="24"/>
          <w:highlight w:val="none"/>
        </w:rPr>
        <w:t>▲具有履行合同所</w:t>
      </w:r>
      <w:r>
        <w:rPr>
          <w:rFonts w:hint="eastAsia" w:ascii="宋体" w:hAnsi="宋体" w:cs="宋体"/>
          <w:b/>
          <w:bCs w:val="0"/>
          <w:sz w:val="24"/>
          <w:highlight w:val="none"/>
          <w:lang w:eastAsia="zh-CN"/>
        </w:rPr>
        <w:t>必需的设备</w:t>
      </w:r>
      <w:r>
        <w:rPr>
          <w:rFonts w:hint="eastAsia" w:ascii="宋体" w:hAnsi="宋体" w:cs="宋体"/>
          <w:b/>
          <w:bCs w:val="0"/>
          <w:sz w:val="24"/>
          <w:highlight w:val="none"/>
        </w:rPr>
        <w:t>和专业技术能力的承诺函（附件5）</w:t>
      </w:r>
      <w:r>
        <w:rPr>
          <w:rFonts w:hint="eastAsia" w:ascii="宋体" w:hAnsi="宋体" w:cs="宋体"/>
          <w:sz w:val="24"/>
          <w:highlight w:val="none"/>
        </w:rPr>
        <w:t>。</w:t>
      </w:r>
    </w:p>
    <w:p w14:paraId="26BD65DB">
      <w:pPr>
        <w:keepNext w:val="0"/>
        <w:keepLines w:val="0"/>
        <w:pageBreakBefore w:val="0"/>
        <w:numPr>
          <w:ilvl w:val="0"/>
          <w:numId w:val="26"/>
        </w:numPr>
        <w:kinsoku/>
        <w:wordWrap/>
        <w:overflowPunct/>
        <w:topLinePunct w:val="0"/>
        <w:bidi w:val="0"/>
        <w:adjustRightInd/>
        <w:snapToGrid/>
        <w:spacing w:line="360" w:lineRule="auto"/>
        <w:ind w:left="0" w:leftChars="0" w:right="0" w:firstLine="482" w:firstLineChars="200"/>
        <w:jc w:val="left"/>
        <w:textAlignment w:val="auto"/>
        <w:rPr>
          <w:rFonts w:ascii="宋体" w:hAnsi="宋体"/>
          <w:b/>
          <w:sz w:val="24"/>
          <w:highlight w:val="none"/>
        </w:rPr>
      </w:pPr>
      <w:r>
        <w:rPr>
          <w:rFonts w:hint="eastAsia" w:ascii="宋体" w:hAnsi="宋体" w:eastAsiaTheme="minorEastAsia"/>
          <w:b/>
          <w:sz w:val="24"/>
          <w:highlight w:val="none"/>
        </w:rPr>
        <w:t>技术标</w:t>
      </w:r>
      <w:r>
        <w:rPr>
          <w:rFonts w:hint="eastAsia" w:ascii="宋体" w:hAnsi="宋体"/>
          <w:b/>
          <w:sz w:val="24"/>
          <w:highlight w:val="none"/>
        </w:rPr>
        <w:t>组成</w:t>
      </w:r>
    </w:p>
    <w:p w14:paraId="3B9F7DAA">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b/>
          <w:bCs w:val="0"/>
          <w:sz w:val="24"/>
          <w:highlight w:val="none"/>
        </w:rPr>
      </w:pPr>
      <w:r>
        <w:rPr>
          <w:rFonts w:hint="eastAsia" w:ascii="宋体" w:hAnsi="宋体"/>
          <w:b/>
          <w:bCs w:val="0"/>
          <w:sz w:val="24"/>
          <w:highlight w:val="none"/>
        </w:rPr>
        <w:t>▲需求响应表（附件6）；</w:t>
      </w:r>
    </w:p>
    <w:p w14:paraId="22F1E0A4">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right="0" w:firstLine="480" w:firstLineChars="200"/>
        <w:jc w:val="left"/>
        <w:textAlignment w:val="auto"/>
        <w:rPr>
          <w:rFonts w:ascii="宋体" w:hAnsi="宋体"/>
          <w:bCs/>
          <w:sz w:val="24"/>
          <w:highlight w:val="none"/>
        </w:rPr>
      </w:pPr>
      <w:r>
        <w:rPr>
          <w:rFonts w:hint="eastAsia" w:ascii="宋体" w:hAnsi="宋体"/>
          <w:bCs/>
          <w:sz w:val="24"/>
          <w:highlight w:val="none"/>
        </w:rPr>
        <w:t>其余内容根据评标办法自拟；</w:t>
      </w:r>
    </w:p>
    <w:p w14:paraId="695AAA12">
      <w:pPr>
        <w:pStyle w:val="7"/>
        <w:keepNext w:val="0"/>
        <w:keepLines w:val="0"/>
        <w:pageBreakBefore w:val="0"/>
        <w:widowControl/>
        <w:numPr>
          <w:ilvl w:val="255"/>
          <w:numId w:val="0"/>
        </w:numPr>
        <w:kinsoku/>
        <w:wordWrap/>
        <w:overflowPunct/>
        <w:topLinePunct w:val="0"/>
        <w:bidi w:val="0"/>
        <w:adjustRightInd/>
        <w:snapToGrid/>
        <w:spacing w:line="360" w:lineRule="auto"/>
        <w:ind w:left="0" w:leftChars="0" w:right="0" w:firstLine="480" w:firstLineChars="200"/>
        <w:jc w:val="left"/>
        <w:textAlignment w:val="auto"/>
        <w:rPr>
          <w:rFonts w:ascii="宋体" w:hAnsi="宋体"/>
          <w:bCs/>
          <w:sz w:val="24"/>
          <w:highlight w:val="none"/>
        </w:rPr>
      </w:pPr>
      <w:r>
        <w:rPr>
          <w:rFonts w:hint="eastAsia" w:ascii="宋体" w:hAnsi="宋体"/>
          <w:bCs/>
          <w:sz w:val="24"/>
          <w:highlight w:val="none"/>
        </w:rPr>
        <w:t>招标需求中要求提供的相关证明材料及根据评标办法提供的证明材料均需在投标文件中提供。</w:t>
      </w:r>
    </w:p>
    <w:p w14:paraId="2D143F94">
      <w:pPr>
        <w:keepNext w:val="0"/>
        <w:keepLines w:val="0"/>
        <w:pageBreakBefore w:val="0"/>
        <w:numPr>
          <w:ilvl w:val="0"/>
          <w:numId w:val="26"/>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商务标组成</w:t>
      </w:r>
    </w:p>
    <w:p w14:paraId="402DDE6F">
      <w:pPr>
        <w:keepNext w:val="0"/>
        <w:keepLines w:val="0"/>
        <w:pageBreakBefore w:val="0"/>
        <w:widowControl w:val="0"/>
        <w:numPr>
          <w:ilvl w:val="0"/>
          <w:numId w:val="29"/>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eastAsiaTheme="minorEastAsia"/>
          <w:b/>
          <w:bCs/>
          <w:kern w:val="0"/>
          <w:sz w:val="24"/>
          <w:highlight w:val="none"/>
        </w:rPr>
      </w:pPr>
      <w:r>
        <w:rPr>
          <w:rFonts w:hint="eastAsia" w:ascii="宋体" w:hAnsi="宋体" w:cs="宋体"/>
          <w:b/>
          <w:bCs/>
          <w:sz w:val="24"/>
          <w:highlight w:val="none"/>
        </w:rPr>
        <w:t>▲</w:t>
      </w:r>
      <w:r>
        <w:rPr>
          <w:rFonts w:hint="eastAsia" w:asciiTheme="minorEastAsia" w:hAnsiTheme="minorEastAsia" w:eastAsiaTheme="minorEastAsia"/>
          <w:b/>
          <w:bCs/>
          <w:kern w:val="0"/>
          <w:sz w:val="24"/>
          <w:highlight w:val="none"/>
        </w:rPr>
        <w:t>开标一览表（附件</w:t>
      </w:r>
      <w:r>
        <w:rPr>
          <w:rFonts w:hint="eastAsia" w:asciiTheme="minorEastAsia" w:hAnsiTheme="minorEastAsia" w:eastAsiaTheme="minorEastAsia"/>
          <w:b/>
          <w:bCs/>
          <w:kern w:val="0"/>
          <w:sz w:val="24"/>
          <w:highlight w:val="none"/>
          <w:lang w:val="en-US" w:eastAsia="zh-CN"/>
        </w:rPr>
        <w:t>7</w:t>
      </w:r>
      <w:r>
        <w:rPr>
          <w:rFonts w:hint="eastAsia" w:asciiTheme="minorEastAsia" w:hAnsiTheme="minorEastAsia" w:eastAsiaTheme="minorEastAsia"/>
          <w:b/>
          <w:bCs/>
          <w:kern w:val="0"/>
          <w:sz w:val="24"/>
          <w:highlight w:val="none"/>
        </w:rPr>
        <w:t>）；</w:t>
      </w:r>
    </w:p>
    <w:p w14:paraId="1213CED4">
      <w:pPr>
        <w:keepNext w:val="0"/>
        <w:keepLines w:val="0"/>
        <w:pageBreakBefore w:val="0"/>
        <w:numPr>
          <w:ilvl w:val="0"/>
          <w:numId w:val="25"/>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ajorEastAsia" w:hAnsiTheme="majorEastAsia" w:eastAsiaTheme="majorEastAsia" w:cstheme="majorEastAsia"/>
          <w:b/>
          <w:kern w:val="0"/>
          <w:sz w:val="24"/>
          <w:highlight w:val="none"/>
        </w:rPr>
      </w:pPr>
      <w:r>
        <w:rPr>
          <w:rFonts w:hint="eastAsia" w:asciiTheme="majorEastAsia" w:hAnsiTheme="majorEastAsia" w:eastAsiaTheme="majorEastAsia" w:cstheme="majorEastAsia"/>
          <w:b/>
          <w:kern w:val="0"/>
          <w:sz w:val="24"/>
          <w:highlight w:val="none"/>
        </w:rPr>
        <w:t>投标报价</w:t>
      </w:r>
    </w:p>
    <w:p w14:paraId="67DCF408">
      <w:pPr>
        <w:pStyle w:val="7"/>
        <w:keepNext w:val="0"/>
        <w:keepLines w:val="0"/>
        <w:pageBreakBefore w:val="0"/>
        <w:numPr>
          <w:ilvl w:val="0"/>
          <w:numId w:val="30"/>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投标人应按照招标需求内容、责任范围以及合同条款进行报价。并按“开标一览表”规定的格式报出总价。投标总价中不得包含招标文件要求以外的内容，否则，在评标时不予核减。</w:t>
      </w:r>
    </w:p>
    <w:p w14:paraId="10239A18">
      <w:pPr>
        <w:keepNext w:val="0"/>
        <w:keepLines w:val="0"/>
        <w:pageBreakBefore w:val="0"/>
        <w:numPr>
          <w:ilvl w:val="0"/>
          <w:numId w:val="30"/>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投标报价是履行合同的最终价格</w:t>
      </w:r>
      <w:r>
        <w:rPr>
          <w:rFonts w:hint="eastAsia" w:asciiTheme="minorEastAsia" w:hAnsiTheme="minorEastAsia" w:eastAsiaTheme="minorEastAsia"/>
          <w:bCs/>
          <w:kern w:val="0"/>
          <w:sz w:val="24"/>
          <w:highlight w:val="none"/>
          <w:lang w:eastAsia="zh-CN"/>
        </w:rPr>
        <w:t>，</w:t>
      </w:r>
      <w:r>
        <w:rPr>
          <w:rFonts w:hint="eastAsia" w:asciiTheme="minorEastAsia" w:hAnsiTheme="minorEastAsia" w:eastAsiaTheme="minorEastAsia"/>
          <w:bCs/>
          <w:kern w:val="0"/>
          <w:sz w:val="24"/>
          <w:highlight w:val="none"/>
        </w:rPr>
        <w:t>各投标人应根据本</w:t>
      </w:r>
      <w:r>
        <w:rPr>
          <w:rFonts w:hint="eastAsia" w:asciiTheme="minorEastAsia" w:hAnsiTheme="minorEastAsia" w:eastAsiaTheme="minorEastAsia"/>
          <w:bCs/>
          <w:kern w:val="0"/>
          <w:sz w:val="24"/>
          <w:highlight w:val="none"/>
          <w:lang w:val="en-US" w:eastAsia="zh-CN"/>
        </w:rPr>
        <w:t>项目</w:t>
      </w:r>
      <w:r>
        <w:rPr>
          <w:rFonts w:hint="eastAsia" w:asciiTheme="minorEastAsia" w:hAnsiTheme="minorEastAsia" w:eastAsiaTheme="minorEastAsia"/>
          <w:bCs/>
          <w:kern w:val="0"/>
          <w:sz w:val="24"/>
          <w:highlight w:val="none"/>
        </w:rPr>
        <w:t>实际情况和自身的综合实力，竞报投标报价。总报价以人民币元计。</w:t>
      </w:r>
    </w:p>
    <w:p w14:paraId="718E241A">
      <w:pPr>
        <w:pStyle w:val="7"/>
        <w:keepNext w:val="0"/>
        <w:keepLines w:val="0"/>
        <w:pageBreakBefore w:val="0"/>
        <w:numPr>
          <w:ilvl w:val="0"/>
          <w:numId w:val="30"/>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投标报价不得为选择性报价和附有条件的报价。</w:t>
      </w:r>
    </w:p>
    <w:p w14:paraId="20761DD2">
      <w:pPr>
        <w:pStyle w:val="7"/>
        <w:keepNext w:val="0"/>
        <w:keepLines w:val="0"/>
        <w:pageBreakBefore w:val="0"/>
        <w:numPr>
          <w:ilvl w:val="0"/>
          <w:numId w:val="25"/>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投标文件的有效期</w:t>
      </w:r>
    </w:p>
    <w:p w14:paraId="2C2F0180">
      <w:pPr>
        <w:pStyle w:val="7"/>
        <w:keepNext w:val="0"/>
        <w:keepLines w:val="0"/>
        <w:pageBreakBefore w:val="0"/>
        <w:numPr>
          <w:ilvl w:val="0"/>
          <w:numId w:val="31"/>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rPr>
        <w:t>投标文件有效期为</w:t>
      </w:r>
      <w:r>
        <w:rPr>
          <w:rFonts w:hint="eastAsia" w:asciiTheme="minorEastAsia" w:hAnsiTheme="minorEastAsia" w:eastAsiaTheme="minorEastAsia" w:cstheme="minorEastAsia"/>
          <w:sz w:val="24"/>
          <w:highlight w:val="none"/>
          <w:lang w:val="en-GB"/>
        </w:rPr>
        <w:t>投标截止日起90天。</w:t>
      </w:r>
    </w:p>
    <w:p w14:paraId="4E6CB962">
      <w:pPr>
        <w:pStyle w:val="7"/>
        <w:keepNext w:val="0"/>
        <w:keepLines w:val="0"/>
        <w:pageBreakBefore w:val="0"/>
        <w:numPr>
          <w:ilvl w:val="0"/>
          <w:numId w:val="31"/>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lang w:val="en-GB"/>
        </w:rPr>
        <w:t>在特殊情况下，采购人可与投标人协商延长投标文件的有效期。</w:t>
      </w:r>
    </w:p>
    <w:p w14:paraId="20980F48">
      <w:pPr>
        <w:keepNext w:val="0"/>
        <w:keepLines w:val="0"/>
        <w:pageBreakBefore w:val="0"/>
        <w:numPr>
          <w:ilvl w:val="0"/>
          <w:numId w:val="31"/>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中标人的投标文件自开标之日起至合同履行完毕均应保持有效。</w:t>
      </w:r>
    </w:p>
    <w:p w14:paraId="2FFFE127">
      <w:pPr>
        <w:keepNext w:val="0"/>
        <w:keepLines w:val="0"/>
        <w:pageBreakBefore w:val="0"/>
        <w:numPr>
          <w:ilvl w:val="0"/>
          <w:numId w:val="25"/>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投标文件的签署</w:t>
      </w:r>
    </w:p>
    <w:p w14:paraId="1BA611E8">
      <w:pPr>
        <w:pStyle w:val="7"/>
        <w:keepNext w:val="0"/>
        <w:keepLines w:val="0"/>
        <w:pageBreakBefore w:val="0"/>
        <w:numPr>
          <w:ilvl w:val="0"/>
          <w:numId w:val="32"/>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投标文件需由法定代表人或经其正式授权的代表签字或盖章。授权代表须出具书面授权证明，其《法定代表人授权书》应附在投标文件中。</w:t>
      </w:r>
    </w:p>
    <w:p w14:paraId="37CAFDE9">
      <w:pPr>
        <w:pStyle w:val="7"/>
        <w:keepNext w:val="0"/>
        <w:keepLines w:val="0"/>
        <w:pageBreakBefore w:val="0"/>
        <w:numPr>
          <w:ilvl w:val="0"/>
          <w:numId w:val="32"/>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投标文件中所有的插字、涂改和增删，必须由法定代表人或经其正式授权的代表在旁边签字或盖章才有效。</w:t>
      </w:r>
    </w:p>
    <w:p w14:paraId="6953942E">
      <w:pPr>
        <w:pStyle w:val="7"/>
        <w:keepNext w:val="0"/>
        <w:keepLines w:val="0"/>
        <w:pageBreakBefore w:val="0"/>
        <w:numPr>
          <w:ilvl w:val="0"/>
          <w:numId w:val="32"/>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投标文件中要求加盖公章处，可使用有效安全的电子签章替代。</w:t>
      </w:r>
    </w:p>
    <w:p w14:paraId="11C8767E">
      <w:pPr>
        <w:keepNext w:val="0"/>
        <w:keepLines w:val="0"/>
        <w:pageBreakBefore w:val="0"/>
        <w:numPr>
          <w:ilvl w:val="0"/>
          <w:numId w:val="25"/>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b/>
          <w:bCs/>
          <w:sz w:val="24"/>
          <w:highlight w:val="none"/>
        </w:rPr>
      </w:pPr>
      <w:r>
        <w:rPr>
          <w:rFonts w:hint="eastAsia" w:asciiTheme="minorEastAsia" w:hAnsiTheme="minorEastAsia" w:eastAsiaTheme="minorEastAsia"/>
          <w:b/>
          <w:bCs/>
          <w:sz w:val="24"/>
          <w:highlight w:val="none"/>
        </w:rPr>
        <w:t>投标文件</w:t>
      </w:r>
      <w:r>
        <w:rPr>
          <w:rFonts w:hint="eastAsia" w:asciiTheme="minorEastAsia" w:hAnsiTheme="minorEastAsia"/>
          <w:b/>
          <w:bCs/>
          <w:sz w:val="24"/>
          <w:highlight w:val="none"/>
        </w:rPr>
        <w:t>的递交要求</w:t>
      </w:r>
    </w:p>
    <w:p w14:paraId="4E8838C4">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Theme="minorEastAsia" w:hAnsiTheme="minorEastAsia" w:eastAsiaTheme="minorEastAsia"/>
          <w:kern w:val="0"/>
          <w:sz w:val="24"/>
          <w:highlight w:val="none"/>
        </w:rPr>
      </w:pPr>
      <w:r>
        <w:rPr>
          <w:rFonts w:hint="eastAsia" w:asciiTheme="majorEastAsia" w:hAnsiTheme="majorEastAsia" w:eastAsiaTheme="majorEastAsia" w:cstheme="majorEastAsia"/>
          <w:sz w:val="24"/>
          <w:highlight w:val="none"/>
        </w:rPr>
        <w:t>按照前附表要求提交，</w:t>
      </w:r>
      <w:r>
        <w:rPr>
          <w:rFonts w:hint="eastAsia" w:asciiTheme="minorEastAsia" w:hAnsiTheme="minorEastAsia" w:eastAsiaTheme="minorEastAsia"/>
          <w:kern w:val="0"/>
          <w:sz w:val="24"/>
          <w:highlight w:val="none"/>
        </w:rPr>
        <w:t>如采购组织机构延长截止时间和开标时间，采购组织机构和投标人的权利和义务将受到新的截止时间和开标时间的约束。</w:t>
      </w:r>
    </w:p>
    <w:p w14:paraId="2ABA5A18">
      <w:pPr>
        <w:keepNext w:val="0"/>
        <w:keepLines w:val="0"/>
        <w:pageBreakBefore w:val="0"/>
        <w:numPr>
          <w:ilvl w:val="0"/>
          <w:numId w:val="18"/>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开标</w:t>
      </w:r>
    </w:p>
    <w:p w14:paraId="707233E6">
      <w:pPr>
        <w:pStyle w:val="13"/>
        <w:keepNext w:val="0"/>
        <w:keepLines w:val="0"/>
        <w:pageBreakBefore w:val="0"/>
        <w:numPr>
          <w:ilvl w:val="0"/>
          <w:numId w:val="33"/>
        </w:numPr>
        <w:kinsoku/>
        <w:wordWrap/>
        <w:overflowPunct/>
        <w:topLinePunct w:val="0"/>
        <w:bidi w:val="0"/>
        <w:adjustRightInd/>
        <w:snapToGrid/>
        <w:spacing w:line="360" w:lineRule="auto"/>
        <w:ind w:left="0" w:leftChars="0" w:right="0" w:firstLine="482" w:firstLineChars="200"/>
        <w:jc w:val="left"/>
        <w:textAlignment w:val="auto"/>
        <w:rPr>
          <w:rFonts w:hAnsi="宋体"/>
          <w:b/>
          <w:bCs/>
          <w:sz w:val="24"/>
          <w:szCs w:val="32"/>
          <w:highlight w:val="none"/>
        </w:rPr>
      </w:pPr>
      <w:r>
        <w:rPr>
          <w:rFonts w:hAnsi="宋体"/>
          <w:b/>
          <w:bCs/>
          <w:sz w:val="24"/>
          <w:szCs w:val="32"/>
          <w:highlight w:val="none"/>
        </w:rPr>
        <w:t>开标</w:t>
      </w:r>
    </w:p>
    <w:p w14:paraId="5E3FAD05">
      <w:pPr>
        <w:pStyle w:val="22"/>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bCs/>
          <w:highlight w:val="none"/>
        </w:rPr>
      </w:pPr>
      <w:r>
        <w:rPr>
          <w:szCs w:val="21"/>
          <w:highlight w:val="none"/>
        </w:rPr>
        <w:t>投标人代表一律不参加现场开标，通过在线直播参与监督开标过程。直播网络地址：</w:t>
      </w:r>
      <w:r>
        <w:rPr>
          <w:highlight w:val="none"/>
        </w:rPr>
        <w:fldChar w:fldCharType="begin"/>
      </w:r>
      <w:r>
        <w:rPr>
          <w:highlight w:val="none"/>
        </w:rPr>
        <w:instrText xml:space="preserve"> HYPERLINK "http://www.tzwztb.com/live/" </w:instrText>
      </w:r>
      <w:r>
        <w:rPr>
          <w:highlight w:val="none"/>
        </w:rPr>
        <w:fldChar w:fldCharType="separate"/>
      </w:r>
      <w:r>
        <w:rPr>
          <w:rStyle w:val="29"/>
          <w:highlight w:val="none"/>
        </w:rPr>
        <w:t>http://www.tzwztb.com/live/</w:t>
      </w:r>
      <w:r>
        <w:rPr>
          <w:rStyle w:val="29"/>
          <w:highlight w:val="none"/>
        </w:rPr>
        <w:fldChar w:fldCharType="end"/>
      </w:r>
      <w:r>
        <w:rPr>
          <w:rFonts w:hint="default"/>
          <w:highlight w:val="none"/>
        </w:rPr>
        <w:t xml:space="preserve"> </w:t>
      </w:r>
      <w:r>
        <w:rPr>
          <w:highlight w:val="none"/>
        </w:rPr>
        <w:t>。</w:t>
      </w:r>
    </w:p>
    <w:p w14:paraId="0F167491">
      <w:pPr>
        <w:pStyle w:val="13"/>
        <w:keepNext w:val="0"/>
        <w:keepLines w:val="0"/>
        <w:pageBreakBefore w:val="0"/>
        <w:numPr>
          <w:ilvl w:val="0"/>
          <w:numId w:val="33"/>
        </w:numPr>
        <w:kinsoku/>
        <w:wordWrap/>
        <w:overflowPunct/>
        <w:topLinePunct w:val="0"/>
        <w:bidi w:val="0"/>
        <w:adjustRightInd/>
        <w:snapToGrid/>
        <w:spacing w:line="360" w:lineRule="auto"/>
        <w:ind w:left="0" w:leftChars="0" w:right="0" w:firstLine="482" w:firstLineChars="200"/>
        <w:jc w:val="left"/>
        <w:textAlignment w:val="auto"/>
        <w:rPr>
          <w:rFonts w:hAnsi="宋体" w:cs="宋体"/>
          <w:b/>
          <w:bCs/>
          <w:sz w:val="24"/>
          <w:highlight w:val="none"/>
        </w:rPr>
      </w:pPr>
      <w:r>
        <w:rPr>
          <w:rFonts w:hAnsi="宋体" w:cs="宋体"/>
          <w:b/>
          <w:bCs/>
          <w:sz w:val="24"/>
          <w:highlight w:val="none"/>
        </w:rPr>
        <w:t>开标程序：</w:t>
      </w:r>
    </w:p>
    <w:p w14:paraId="6DA6D035">
      <w:pPr>
        <w:keepNext w:val="0"/>
        <w:keepLines w:val="0"/>
        <w:pageBreakBefore w:val="0"/>
        <w:numPr>
          <w:ilvl w:val="0"/>
          <w:numId w:val="34"/>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开标由采购代理机构工作人员主持</w:t>
      </w:r>
      <w:r>
        <w:rPr>
          <w:rFonts w:hint="eastAsia" w:ascii="宋体" w:hAnsi="宋体" w:cs="宋体"/>
          <w:sz w:val="24"/>
          <w:highlight w:val="none"/>
        </w:rPr>
        <w:t>。</w:t>
      </w:r>
    </w:p>
    <w:p w14:paraId="347840A4">
      <w:pPr>
        <w:keepNext w:val="0"/>
        <w:keepLines w:val="0"/>
        <w:pageBreakBefore w:val="0"/>
        <w:numPr>
          <w:ilvl w:val="0"/>
          <w:numId w:val="34"/>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投标人</w:t>
      </w:r>
      <w:r>
        <w:rPr>
          <w:rFonts w:hint="eastAsia" w:ascii="宋体" w:hAnsi="宋体" w:cs="宋体"/>
          <w:sz w:val="24"/>
          <w:highlight w:val="none"/>
        </w:rPr>
        <w:t>可</w:t>
      </w:r>
      <w:r>
        <w:rPr>
          <w:rFonts w:ascii="宋体" w:hAnsi="宋体" w:cs="宋体"/>
          <w:sz w:val="24"/>
          <w:highlight w:val="none"/>
        </w:rPr>
        <w:t>进行在线</w:t>
      </w:r>
      <w:r>
        <w:rPr>
          <w:rFonts w:hint="eastAsia" w:ascii="宋体" w:hAnsi="宋体" w:cs="宋体"/>
          <w:sz w:val="24"/>
          <w:highlight w:val="none"/>
        </w:rPr>
        <w:t>沟通</w:t>
      </w:r>
      <w:r>
        <w:rPr>
          <w:rFonts w:ascii="宋体" w:hAnsi="宋体" w:cs="宋体"/>
          <w:sz w:val="24"/>
          <w:highlight w:val="none"/>
        </w:rPr>
        <w:t>。</w:t>
      </w:r>
    </w:p>
    <w:p w14:paraId="796B94C0">
      <w:pPr>
        <w:keepNext w:val="0"/>
        <w:keepLines w:val="0"/>
        <w:pageBreakBefore w:val="0"/>
        <w:numPr>
          <w:ilvl w:val="0"/>
          <w:numId w:val="34"/>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采购人依法对资格文件进行审查，评标委员会对技术文件进行评审。</w:t>
      </w:r>
    </w:p>
    <w:p w14:paraId="68B6B151">
      <w:pPr>
        <w:keepNext w:val="0"/>
        <w:keepLines w:val="0"/>
        <w:pageBreakBefore w:val="0"/>
        <w:numPr>
          <w:ilvl w:val="0"/>
          <w:numId w:val="34"/>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技术文件评审完成后，主持人宣告技术文件评审无效投标人名称及理由，公布经技术文件评审符合采购需求的投标人名单以及技术文件得分情况。</w:t>
      </w:r>
    </w:p>
    <w:p w14:paraId="3D34E6DA">
      <w:pPr>
        <w:keepNext w:val="0"/>
        <w:keepLines w:val="0"/>
        <w:pageBreakBefore w:val="0"/>
        <w:numPr>
          <w:ilvl w:val="0"/>
          <w:numId w:val="34"/>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开启各投标人</w:t>
      </w:r>
      <w:r>
        <w:rPr>
          <w:rFonts w:hint="eastAsia" w:ascii="宋体" w:hAnsi="宋体" w:cs="宋体"/>
          <w:sz w:val="24"/>
          <w:highlight w:val="none"/>
        </w:rPr>
        <w:t>商务</w:t>
      </w:r>
      <w:r>
        <w:rPr>
          <w:rFonts w:ascii="宋体" w:hAnsi="宋体" w:cs="宋体"/>
          <w:sz w:val="24"/>
          <w:highlight w:val="none"/>
        </w:rPr>
        <w:t>文件。</w:t>
      </w:r>
    </w:p>
    <w:p w14:paraId="4855CFB1">
      <w:pPr>
        <w:keepNext w:val="0"/>
        <w:keepLines w:val="0"/>
        <w:pageBreakBefore w:val="0"/>
        <w:numPr>
          <w:ilvl w:val="0"/>
          <w:numId w:val="34"/>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lang w:val="zh-CN"/>
        </w:rPr>
      </w:pPr>
      <w:r>
        <w:rPr>
          <w:rFonts w:ascii="宋体" w:hAnsi="宋体" w:cs="宋体"/>
          <w:sz w:val="24"/>
          <w:highlight w:val="none"/>
        </w:rPr>
        <w:t>当场制作并打印开标记录表，由记录人、监督人当场签字确认。唱标结束后，由评标委员会对报价的合理性、准确性等进行审查核实。</w:t>
      </w:r>
    </w:p>
    <w:p w14:paraId="08FB9951">
      <w:pPr>
        <w:keepNext w:val="0"/>
        <w:keepLines w:val="0"/>
        <w:pageBreakBefore w:val="0"/>
        <w:numPr>
          <w:ilvl w:val="0"/>
          <w:numId w:val="34"/>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评标结束后，主持人公布投标</w:t>
      </w:r>
      <w:r>
        <w:rPr>
          <w:rFonts w:hint="eastAsia" w:ascii="宋体" w:hAnsi="宋体" w:cs="宋体"/>
          <w:sz w:val="24"/>
          <w:highlight w:val="none"/>
        </w:rPr>
        <w:t>商务</w:t>
      </w:r>
      <w:r>
        <w:rPr>
          <w:rFonts w:ascii="宋体" w:hAnsi="宋体" w:cs="宋体"/>
          <w:sz w:val="24"/>
          <w:highlight w:val="none"/>
        </w:rPr>
        <w:t>得分、综合得分以及推荐中标候选人排序名单。</w:t>
      </w:r>
    </w:p>
    <w:p w14:paraId="3879C4DA">
      <w:pPr>
        <w:keepNext w:val="0"/>
        <w:keepLines w:val="0"/>
        <w:pageBreakBefore w:val="0"/>
        <w:numPr>
          <w:ilvl w:val="0"/>
          <w:numId w:val="34"/>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开标会议结束。</w:t>
      </w:r>
    </w:p>
    <w:p w14:paraId="593AC17A">
      <w:pPr>
        <w:keepNext w:val="0"/>
        <w:keepLines w:val="0"/>
        <w:pageBreakBefore w:val="0"/>
        <w:numPr>
          <w:ilvl w:val="0"/>
          <w:numId w:val="34"/>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其他注意事项：</w:t>
      </w:r>
    </w:p>
    <w:p w14:paraId="29C256A4">
      <w:pPr>
        <w:keepNext w:val="0"/>
        <w:keepLines w:val="0"/>
        <w:pageBreakBefore w:val="0"/>
        <w:numPr>
          <w:ilvl w:val="0"/>
          <w:numId w:val="35"/>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hint="eastAsia" w:ascii="宋体" w:hAnsi="宋体" w:cs="宋体"/>
          <w:sz w:val="24"/>
          <w:highlight w:val="none"/>
        </w:rPr>
        <w:t>开标当日，投标人不必抵达开标现场，通过台州湾新区小额工程电子交易平台不见面开标大厅参加开标会议，并根据需要使用开标系统与现场</w:t>
      </w:r>
      <w:r>
        <w:rPr>
          <w:rFonts w:hint="eastAsia" w:ascii="宋体" w:hAnsi="宋体" w:cs="宋体"/>
          <w:sz w:val="24"/>
          <w:highlight w:val="none"/>
          <w:lang w:eastAsia="zh-CN"/>
        </w:rPr>
        <w:t>采购人</w:t>
      </w:r>
      <w:r>
        <w:rPr>
          <w:rFonts w:hint="eastAsia" w:ascii="宋体" w:hAnsi="宋体" w:cs="宋体"/>
          <w:sz w:val="24"/>
          <w:highlight w:val="none"/>
        </w:rPr>
        <w:t xml:space="preserve">进行互动交流、澄清、质疑等活动。未能在开标会议区内全程参与交互的，视为放弃交互和放弃对开评标全过程提疑的权利。 </w:t>
      </w:r>
    </w:p>
    <w:p w14:paraId="684B557A">
      <w:pPr>
        <w:keepNext w:val="0"/>
        <w:keepLines w:val="0"/>
        <w:pageBreakBefore w:val="0"/>
        <w:numPr>
          <w:ilvl w:val="0"/>
          <w:numId w:val="35"/>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hint="eastAsia" w:ascii="宋体" w:hAnsi="宋体" w:cs="宋体"/>
          <w:sz w:val="24"/>
          <w:highlight w:val="none"/>
        </w:rPr>
        <w:t>因投标人网络与电源不稳定、未按操作手册要求配置软硬件等自身原因，导致投标文件未在规定时间内上传，视为投标人放弃投标；因</w:t>
      </w:r>
      <w:r>
        <w:rPr>
          <w:rFonts w:hint="eastAsia" w:ascii="宋体" w:hAnsi="宋体" w:cs="宋体"/>
          <w:sz w:val="24"/>
          <w:highlight w:val="none"/>
          <w:lang w:eastAsia="zh-CN"/>
        </w:rPr>
        <w:t>采购人</w:t>
      </w:r>
      <w:r>
        <w:rPr>
          <w:rFonts w:hint="eastAsia" w:ascii="宋体" w:hAnsi="宋体" w:cs="宋体"/>
          <w:sz w:val="24"/>
          <w:highlight w:val="none"/>
        </w:rPr>
        <w:t>原因或网上招投标平台发生故障等，导致无法按时完成投标文件解密或开、评标工作无法进行的，可根据实际情况相应延迟解密时间或调整开、评标时间。</w:t>
      </w:r>
    </w:p>
    <w:p w14:paraId="0F0C154C">
      <w:pPr>
        <w:keepNext w:val="0"/>
        <w:keepLines w:val="0"/>
        <w:pageBreakBefore w:val="0"/>
        <w:numPr>
          <w:ilvl w:val="0"/>
          <w:numId w:val="35"/>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hint="eastAsia" w:ascii="宋体" w:hAnsi="宋体" w:cs="宋体"/>
          <w:sz w:val="24"/>
          <w:highlight w:val="none"/>
        </w:rPr>
        <w:t>开评标全过程中，各投标人参与远程交互的授权委托人或法人代表应始终为同一个人，中途不得更换，在唱标、提疑、传送文件等特殊情况下需要交互时，投标人一端参与交互的人员将均被视为</w:t>
      </w:r>
      <w:r>
        <w:rPr>
          <w:rFonts w:hint="eastAsia" w:ascii="宋体" w:hAnsi="宋体" w:cs="宋体"/>
          <w:sz w:val="24"/>
          <w:highlight w:val="none"/>
          <w:lang w:eastAsia="zh-CN"/>
        </w:rPr>
        <w:t>投标人</w:t>
      </w:r>
      <w:r>
        <w:rPr>
          <w:rFonts w:hint="eastAsia" w:ascii="宋体" w:hAnsi="宋体" w:cs="宋体"/>
          <w:sz w:val="24"/>
          <w:highlight w:val="none"/>
        </w:rPr>
        <w:t>的授权委托人或法人代表，投标人不得以不承认交互人员的资格或身份等为借口抵赖推脱，投标人自行承担随意更换人员所导致的一切后果。</w:t>
      </w:r>
    </w:p>
    <w:p w14:paraId="48BDD56A">
      <w:pPr>
        <w:keepNext w:val="0"/>
        <w:keepLines w:val="0"/>
        <w:pageBreakBefore w:val="0"/>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b/>
          <w:sz w:val="24"/>
          <w:highlight w:val="none"/>
        </w:rPr>
      </w:pPr>
      <w:r>
        <w:rPr>
          <w:rFonts w:hint="eastAsia" w:ascii="宋体" w:hAnsi="宋体"/>
          <w:b/>
          <w:sz w:val="24"/>
          <w:highlight w:val="none"/>
        </w:rPr>
        <w:t>重要事项说明：</w:t>
      </w:r>
    </w:p>
    <w:p w14:paraId="25D89F06">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hint="eastAsia" w:ascii="宋体" w:hAnsi="宋体" w:cs="宋体"/>
          <w:sz w:val="24"/>
          <w:highlight w:val="none"/>
        </w:rPr>
        <w:t>开标项目的时间均以国家授时中心发布的时间为准。</w:t>
      </w:r>
    </w:p>
    <w:p w14:paraId="739507D0">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hint="eastAsia" w:ascii="宋体" w:hAnsi="宋体" w:cs="宋体"/>
          <w:sz w:val="24"/>
          <w:highlight w:val="none"/>
        </w:rPr>
        <w:t>若投标人已申请多把CA锁，请注意使用差别。因ca锁使用错误引发的问题，由投标人自己负责。</w:t>
      </w:r>
    </w:p>
    <w:p w14:paraId="4474FC43">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right="0" w:firstLine="480" w:firstLineChars="200"/>
        <w:jc w:val="left"/>
        <w:textAlignment w:val="auto"/>
        <w:rPr>
          <w:rFonts w:hAnsi="宋体"/>
          <w:bCs/>
          <w:highlight w:val="none"/>
        </w:rPr>
      </w:pPr>
      <w:r>
        <w:rPr>
          <w:rFonts w:hint="eastAsia" w:ascii="宋体" w:hAnsi="宋体" w:cs="宋体"/>
          <w:sz w:val="24"/>
          <w:highlight w:val="none"/>
        </w:rPr>
        <w:t>如有疑问，请咨询平台技术服务电话：蔡先生，13454667697；王女士，13757680207。QQ “台州湾新区小额工程交易平台交流”（群号：435057190），进行业务咨询。此群也作为不见面开标的备用远程交互群。</w:t>
      </w:r>
    </w:p>
    <w:p w14:paraId="4D9A6F14">
      <w:pPr>
        <w:keepNext w:val="0"/>
        <w:keepLines w:val="0"/>
        <w:pageBreakBefore w:val="0"/>
        <w:numPr>
          <w:ilvl w:val="0"/>
          <w:numId w:val="33"/>
        </w:numPr>
        <w:kinsoku/>
        <w:wordWrap/>
        <w:overflowPunct/>
        <w:topLinePunct w:val="0"/>
        <w:bidi w:val="0"/>
        <w:adjustRightInd/>
        <w:snapToGrid/>
        <w:spacing w:line="360" w:lineRule="auto"/>
        <w:ind w:left="0" w:leftChars="0" w:right="0" w:firstLine="482" w:firstLineChars="200"/>
        <w:jc w:val="left"/>
        <w:textAlignment w:val="auto"/>
        <w:rPr>
          <w:rFonts w:ascii="宋体" w:hAnsi="宋体"/>
          <w:b/>
          <w:bCs/>
          <w:kern w:val="0"/>
          <w:sz w:val="24"/>
          <w:highlight w:val="none"/>
        </w:rPr>
      </w:pPr>
      <w:r>
        <w:rPr>
          <w:rFonts w:hint="eastAsia" w:ascii="宋体" w:hAnsi="宋体"/>
          <w:b/>
          <w:bCs/>
          <w:kern w:val="0"/>
          <w:sz w:val="24"/>
          <w:highlight w:val="none"/>
        </w:rPr>
        <w:t>异常情况处理：</w:t>
      </w:r>
    </w:p>
    <w:p w14:paraId="2DB57289">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采购过程中出现以下情形，导致电子交易平台无法正常运行，或者无法保证电子交易的公平、公正和安全时，采购组织机构可中止电子交易活动：</w:t>
      </w:r>
    </w:p>
    <w:p w14:paraId="669F87D4">
      <w:pPr>
        <w:keepNext w:val="0"/>
        <w:keepLines w:val="0"/>
        <w:pageBreakBefore w:val="0"/>
        <w:numPr>
          <w:ilvl w:val="0"/>
          <w:numId w:val="37"/>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电子交易平台发生故障而无法登录访问的；</w:t>
      </w:r>
    </w:p>
    <w:p w14:paraId="6055F639">
      <w:pPr>
        <w:keepNext w:val="0"/>
        <w:keepLines w:val="0"/>
        <w:pageBreakBefore w:val="0"/>
        <w:numPr>
          <w:ilvl w:val="0"/>
          <w:numId w:val="37"/>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电子交易平台应用或数据库出现错误，不能进行正常操作的；</w:t>
      </w:r>
    </w:p>
    <w:p w14:paraId="2F84C78D">
      <w:pPr>
        <w:keepNext w:val="0"/>
        <w:keepLines w:val="0"/>
        <w:pageBreakBefore w:val="0"/>
        <w:numPr>
          <w:ilvl w:val="0"/>
          <w:numId w:val="37"/>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电子交易平台发现严重安全漏洞，有潜在泄密危险的；</w:t>
      </w:r>
    </w:p>
    <w:p w14:paraId="1A6F5CE9">
      <w:pPr>
        <w:keepNext w:val="0"/>
        <w:keepLines w:val="0"/>
        <w:pageBreakBefore w:val="0"/>
        <w:numPr>
          <w:ilvl w:val="0"/>
          <w:numId w:val="37"/>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病毒发作导致不能进行正常操作的；</w:t>
      </w:r>
    </w:p>
    <w:p w14:paraId="5BA04ECC">
      <w:pPr>
        <w:keepNext w:val="0"/>
        <w:keepLines w:val="0"/>
        <w:pageBreakBefore w:val="0"/>
        <w:numPr>
          <w:ilvl w:val="0"/>
          <w:numId w:val="37"/>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其他无法保证电子交易的公平、公正和安全的情况。</w:t>
      </w:r>
    </w:p>
    <w:p w14:paraId="62241D46">
      <w:pPr>
        <w:pStyle w:val="7"/>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出现前款规定情形，不影响采购公平、公正性的，采购组织机构可以待上述情形消除后继续组织电子交易活动。</w:t>
      </w:r>
    </w:p>
    <w:p w14:paraId="571F7118">
      <w:pPr>
        <w:pStyle w:val="7"/>
        <w:keepNext w:val="0"/>
        <w:keepLines w:val="0"/>
        <w:pageBreakBefore w:val="0"/>
        <w:numPr>
          <w:ilvl w:val="0"/>
          <w:numId w:val="33"/>
        </w:numPr>
        <w:kinsoku/>
        <w:wordWrap/>
        <w:overflowPunct/>
        <w:topLinePunct w:val="0"/>
        <w:bidi w:val="0"/>
        <w:adjustRightInd/>
        <w:snapToGrid/>
        <w:spacing w:line="360" w:lineRule="auto"/>
        <w:ind w:left="0" w:leftChars="0" w:right="0" w:firstLine="482" w:firstLineChars="200"/>
        <w:jc w:val="left"/>
        <w:textAlignment w:val="auto"/>
        <w:rPr>
          <w:b/>
          <w:bCs/>
          <w:sz w:val="24"/>
          <w:szCs w:val="22"/>
          <w:highlight w:val="none"/>
        </w:rPr>
      </w:pPr>
      <w:r>
        <w:rPr>
          <w:rFonts w:hint="eastAsia"/>
          <w:b/>
          <w:bCs/>
          <w:sz w:val="24"/>
          <w:szCs w:val="22"/>
          <w:highlight w:val="none"/>
        </w:rPr>
        <w:t>开标异议</w:t>
      </w:r>
    </w:p>
    <w:p w14:paraId="6CF69729">
      <w:pPr>
        <w:pStyle w:val="7"/>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sz w:val="24"/>
          <w:szCs w:val="22"/>
          <w:highlight w:val="none"/>
        </w:rPr>
      </w:pPr>
      <w:r>
        <w:rPr>
          <w:rFonts w:hint="eastAsia"/>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30EF4D04">
      <w:pPr>
        <w:pStyle w:val="7"/>
        <w:keepNext w:val="0"/>
        <w:keepLines w:val="0"/>
        <w:pageBreakBefore w:val="0"/>
        <w:numPr>
          <w:ilvl w:val="0"/>
          <w:numId w:val="33"/>
        </w:numPr>
        <w:kinsoku/>
        <w:wordWrap/>
        <w:overflowPunct/>
        <w:topLinePunct w:val="0"/>
        <w:bidi w:val="0"/>
        <w:adjustRightInd/>
        <w:snapToGrid/>
        <w:spacing w:line="360" w:lineRule="auto"/>
        <w:ind w:left="0" w:leftChars="0" w:right="0" w:firstLine="482" w:firstLineChars="200"/>
        <w:jc w:val="left"/>
        <w:textAlignment w:val="auto"/>
        <w:rPr>
          <w:b/>
          <w:bCs/>
          <w:sz w:val="24"/>
          <w:szCs w:val="22"/>
          <w:highlight w:val="none"/>
        </w:rPr>
      </w:pPr>
      <w:r>
        <w:rPr>
          <w:rFonts w:hint="eastAsia"/>
          <w:b/>
          <w:bCs/>
          <w:sz w:val="24"/>
          <w:szCs w:val="22"/>
          <w:highlight w:val="none"/>
        </w:rPr>
        <w:t>投标人不足三家，不得开标。</w:t>
      </w:r>
    </w:p>
    <w:p w14:paraId="5A9CCDC3">
      <w:pPr>
        <w:pStyle w:val="13"/>
        <w:keepNext w:val="0"/>
        <w:keepLines w:val="0"/>
        <w:pageBreakBefore w:val="0"/>
        <w:numPr>
          <w:ilvl w:val="0"/>
          <w:numId w:val="18"/>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b/>
          <w:sz w:val="24"/>
          <w:highlight w:val="none"/>
        </w:rPr>
      </w:pPr>
      <w:r>
        <w:rPr>
          <w:rFonts w:hint="eastAsia" w:asciiTheme="minorEastAsia" w:hAnsiTheme="minorEastAsia" w:eastAsiaTheme="minorEastAsia"/>
          <w:b/>
          <w:sz w:val="24"/>
          <w:highlight w:val="none"/>
        </w:rPr>
        <w:t>评标（详见第四章）</w:t>
      </w:r>
    </w:p>
    <w:p w14:paraId="6069B53D">
      <w:pPr>
        <w:pStyle w:val="22"/>
        <w:keepNext w:val="0"/>
        <w:keepLines w:val="0"/>
        <w:pageBreakBefore w:val="0"/>
        <w:numPr>
          <w:ilvl w:val="0"/>
          <w:numId w:val="18"/>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rPr>
          <w:rFonts w:hint="default" w:asciiTheme="minorEastAsia" w:hAnsiTheme="minorEastAsia" w:eastAsiaTheme="minorEastAsia"/>
          <w:b/>
          <w:highlight w:val="none"/>
        </w:rPr>
      </w:pPr>
      <w:r>
        <w:rPr>
          <w:rFonts w:asciiTheme="minorEastAsia" w:hAnsiTheme="minorEastAsia" w:eastAsiaTheme="minorEastAsia"/>
          <w:b/>
          <w:highlight w:val="none"/>
        </w:rPr>
        <w:t>定标</w:t>
      </w:r>
    </w:p>
    <w:p w14:paraId="66A933C1">
      <w:pPr>
        <w:keepNext w:val="0"/>
        <w:keepLines w:val="0"/>
        <w:pageBreakBefore w:val="0"/>
        <w:numPr>
          <w:ilvl w:val="0"/>
          <w:numId w:val="38"/>
        </w:numPr>
        <w:kinsoku/>
        <w:wordWrap/>
        <w:overflowPunct/>
        <w:topLinePunct w:val="0"/>
        <w:bidi w:val="0"/>
        <w:adjustRightInd/>
        <w:snapToGrid/>
        <w:spacing w:line="360" w:lineRule="auto"/>
        <w:ind w:left="0" w:leftChars="0" w:right="0" w:firstLine="482" w:firstLineChars="200"/>
        <w:jc w:val="left"/>
        <w:textAlignment w:val="auto"/>
        <w:rPr>
          <w:rFonts w:ascii="宋体" w:hAnsi="宋体"/>
          <w:b/>
          <w:bCs/>
          <w:kern w:val="0"/>
          <w:sz w:val="24"/>
          <w:highlight w:val="none"/>
        </w:rPr>
      </w:pPr>
      <w:r>
        <w:rPr>
          <w:rFonts w:hint="eastAsia" w:ascii="宋体" w:hAnsi="宋体"/>
          <w:b/>
          <w:bCs/>
          <w:kern w:val="0"/>
          <w:sz w:val="24"/>
          <w:highlight w:val="none"/>
        </w:rPr>
        <w:t>发布</w:t>
      </w:r>
      <w:r>
        <w:rPr>
          <w:b/>
          <w:bCs/>
          <w:sz w:val="24"/>
          <w:highlight w:val="none"/>
        </w:rPr>
        <w:t>中标</w:t>
      </w:r>
      <w:r>
        <w:rPr>
          <w:rFonts w:hint="eastAsia" w:ascii="宋体" w:hAnsi="宋体"/>
          <w:b/>
          <w:bCs/>
          <w:kern w:val="0"/>
          <w:sz w:val="24"/>
          <w:highlight w:val="none"/>
        </w:rPr>
        <w:t>结果公示</w:t>
      </w:r>
    </w:p>
    <w:p w14:paraId="7987D68A">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kern w:val="0"/>
          <w:sz w:val="24"/>
          <w:highlight w:val="none"/>
        </w:rPr>
      </w:pPr>
      <w:r>
        <w:rPr>
          <w:rFonts w:hint="eastAsia" w:ascii="宋体" w:hAnsi="宋体"/>
          <w:kern w:val="0"/>
          <w:sz w:val="24"/>
          <w:highlight w:val="none"/>
        </w:rPr>
        <w:t>评标委员会推荐综合得分从高到低排名第一的为第一中标候选人，综合得分从高到低排名第二的为第二中标候选人，如综合得分相同的，则现场抽签确定名次。</w:t>
      </w:r>
    </w:p>
    <w:p w14:paraId="732CE730">
      <w:pPr>
        <w:pStyle w:val="22"/>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highlight w:val="none"/>
        </w:rPr>
      </w:pPr>
      <w:r>
        <w:rPr>
          <w:highlight w:val="none"/>
        </w:rPr>
        <w:t>采购组织机构自中标候选人确定之日起3日内，在</w:t>
      </w:r>
      <w:r>
        <w:rPr>
          <w:rFonts w:hint="eastAsia"/>
          <w:highlight w:val="none"/>
          <w:lang w:eastAsia="zh-CN"/>
        </w:rPr>
        <w:t>浙江政府采购网</w:t>
      </w:r>
      <w:r>
        <w:rPr>
          <w:highlight w:val="none"/>
        </w:rPr>
        <w:t>和</w:t>
      </w:r>
      <w:r>
        <w:rPr>
          <w:rFonts w:cs="宋体"/>
          <w:highlight w:val="none"/>
        </w:rPr>
        <w:t>台州湾新区小额工程电子交易平台</w:t>
      </w:r>
      <w:r>
        <w:rPr>
          <w:rFonts w:hint="eastAsia" w:cs="宋体"/>
          <w:highlight w:val="none"/>
          <w:lang w:val="en-US" w:eastAsia="zh-CN"/>
        </w:rPr>
        <w:t>进行</w:t>
      </w:r>
      <w:r>
        <w:rPr>
          <w:highlight w:val="none"/>
        </w:rPr>
        <w:t>中标</w:t>
      </w:r>
      <w:r>
        <w:rPr>
          <w:rFonts w:hint="eastAsia"/>
          <w:highlight w:val="none"/>
          <w:lang w:val="en-US" w:eastAsia="zh-CN"/>
        </w:rPr>
        <w:t>候选人公示</w:t>
      </w:r>
      <w:r>
        <w:rPr>
          <w:highlight w:val="none"/>
        </w:rPr>
        <w:t>，公示期</w:t>
      </w:r>
      <w:r>
        <w:rPr>
          <w:rFonts w:hint="eastAsia"/>
          <w:highlight w:val="none"/>
          <w:lang w:val="en-US" w:eastAsia="zh-CN"/>
        </w:rPr>
        <w:t>不少于</w:t>
      </w:r>
      <w:r>
        <w:rPr>
          <w:highlight w:val="none"/>
        </w:rPr>
        <w:t>3日。</w:t>
      </w:r>
    </w:p>
    <w:p w14:paraId="3CB53C35">
      <w:pPr>
        <w:pStyle w:val="22"/>
        <w:keepNext w:val="0"/>
        <w:keepLines w:val="0"/>
        <w:pageBreakBefore w:val="0"/>
        <w:numPr>
          <w:ilvl w:val="0"/>
          <w:numId w:val="38"/>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rPr>
          <w:rFonts w:hint="default"/>
          <w:b/>
          <w:bCs/>
          <w:highlight w:val="none"/>
        </w:rPr>
      </w:pPr>
      <w:r>
        <w:rPr>
          <w:b/>
          <w:bCs/>
          <w:highlight w:val="none"/>
        </w:rPr>
        <w:t>确定中标人</w:t>
      </w:r>
    </w:p>
    <w:p w14:paraId="1DE0EA60">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kern w:val="0"/>
          <w:sz w:val="24"/>
          <w:highlight w:val="none"/>
        </w:rPr>
      </w:pPr>
      <w:r>
        <w:rPr>
          <w:rFonts w:hint="eastAsia" w:ascii="宋体" w:hAnsi="宋体"/>
          <w:kern w:val="0"/>
          <w:sz w:val="24"/>
          <w:highlight w:val="none"/>
        </w:rPr>
        <w:t>本项目确定一名中标人，公示期满后，采购人应确定本项目第一中标候选人为本项目中标人。</w:t>
      </w:r>
    </w:p>
    <w:p w14:paraId="4FC9443F">
      <w:pPr>
        <w:pStyle w:val="10"/>
        <w:keepNext w:val="0"/>
        <w:keepLines w:val="0"/>
        <w:pageBreakBefore w:val="0"/>
        <w:numPr>
          <w:ilvl w:val="0"/>
          <w:numId w:val="38"/>
        </w:numPr>
        <w:kinsoku/>
        <w:wordWrap/>
        <w:overflowPunct/>
        <w:topLinePunct w:val="0"/>
        <w:bidi w:val="0"/>
        <w:adjustRightInd/>
        <w:snapToGrid/>
        <w:spacing w:line="360" w:lineRule="auto"/>
        <w:ind w:left="0" w:leftChars="0" w:right="0" w:firstLine="482" w:firstLineChars="200"/>
        <w:jc w:val="left"/>
        <w:textAlignment w:val="auto"/>
        <w:rPr>
          <w:b/>
          <w:bCs/>
          <w:sz w:val="24"/>
          <w:highlight w:val="none"/>
        </w:rPr>
      </w:pPr>
      <w:r>
        <w:rPr>
          <w:rFonts w:hint="eastAsia"/>
          <w:b/>
          <w:bCs/>
          <w:sz w:val="24"/>
          <w:highlight w:val="none"/>
        </w:rPr>
        <w:t>发放中标通知书</w:t>
      </w:r>
    </w:p>
    <w:p w14:paraId="37390BAB">
      <w:pPr>
        <w:pStyle w:val="11"/>
        <w:keepNext w:val="0"/>
        <w:keepLines w:val="0"/>
        <w:pageBreakBefore w:val="0"/>
        <w:tabs>
          <w:tab w:val="left" w:pos="574"/>
        </w:tabs>
        <w:kinsoku/>
        <w:wordWrap/>
        <w:overflowPunct/>
        <w:topLinePunct w:val="0"/>
        <w:bidi w:val="0"/>
        <w:adjustRightInd/>
        <w:snapToGrid/>
        <w:spacing w:line="360" w:lineRule="auto"/>
        <w:ind w:left="0" w:leftChars="0" w:right="0" w:firstLine="480" w:firstLineChars="200"/>
        <w:jc w:val="left"/>
        <w:textAlignment w:val="auto"/>
        <w:rPr>
          <w:highlight w:val="none"/>
        </w:rPr>
      </w:pPr>
      <w:r>
        <w:rPr>
          <w:rFonts w:hint="eastAsia"/>
          <w:szCs w:val="32"/>
          <w:highlight w:val="none"/>
        </w:rPr>
        <w:t>采购人应当确定第一中标候选人为中标人。如涉及第二中标候选人和其他投标人资格无效的，评标结果不作调整。</w:t>
      </w:r>
    </w:p>
    <w:p w14:paraId="1D452BB4">
      <w:pPr>
        <w:pStyle w:val="11"/>
        <w:keepNext w:val="0"/>
        <w:keepLines w:val="0"/>
        <w:pageBreakBefore w:val="0"/>
        <w:tabs>
          <w:tab w:val="left" w:pos="574"/>
        </w:tabs>
        <w:kinsoku/>
        <w:wordWrap/>
        <w:overflowPunct/>
        <w:topLinePunct w:val="0"/>
        <w:bidi w:val="0"/>
        <w:adjustRightInd/>
        <w:snapToGrid/>
        <w:spacing w:line="360" w:lineRule="auto"/>
        <w:ind w:left="0" w:leftChars="0" w:right="0" w:firstLine="480" w:firstLineChars="200"/>
        <w:jc w:val="left"/>
        <w:textAlignment w:val="auto"/>
        <w:rPr>
          <w:highlight w:val="none"/>
        </w:rPr>
      </w:pPr>
      <w:r>
        <w:rPr>
          <w:rFonts w:hint="eastAsia"/>
          <w:szCs w:val="32"/>
          <w:highlight w:val="none"/>
        </w:rPr>
        <w:t>第一中标候选人放弃中标，或者因不可抗力提出不能履行合同，或者因违反规定造成其资格无效的，</w:t>
      </w:r>
      <w:r>
        <w:rPr>
          <w:rFonts w:hint="eastAsia"/>
          <w:szCs w:val="32"/>
          <w:highlight w:val="none"/>
          <w:lang w:eastAsia="zh-CN"/>
        </w:rPr>
        <w:t>采购人</w:t>
      </w:r>
      <w:r>
        <w:rPr>
          <w:rFonts w:hint="eastAsia"/>
          <w:szCs w:val="32"/>
          <w:highlight w:val="none"/>
        </w:rPr>
        <w:t>可以确定第二中标候选人为中标人。如涉及其他投标人资格无效的，评标结果不作调整。如第二中标候选人存在上述同样情形的，本次招标失败，重新组织招标。</w:t>
      </w:r>
    </w:p>
    <w:p w14:paraId="2B2D5980">
      <w:pPr>
        <w:pStyle w:val="11"/>
        <w:keepNext w:val="0"/>
        <w:keepLines w:val="0"/>
        <w:pageBreakBefore w:val="0"/>
        <w:tabs>
          <w:tab w:val="left" w:pos="574"/>
        </w:tabs>
        <w:kinsoku/>
        <w:wordWrap/>
        <w:overflowPunct/>
        <w:topLinePunct w:val="0"/>
        <w:bidi w:val="0"/>
        <w:adjustRightInd/>
        <w:snapToGrid/>
        <w:spacing w:line="360" w:lineRule="auto"/>
        <w:ind w:left="0" w:leftChars="0" w:right="0" w:firstLine="480" w:firstLineChars="200"/>
        <w:jc w:val="left"/>
        <w:textAlignment w:val="auto"/>
        <w:rPr>
          <w:highlight w:val="none"/>
        </w:rPr>
      </w:pPr>
      <w:r>
        <w:rPr>
          <w:rFonts w:hint="eastAsia"/>
          <w:szCs w:val="32"/>
          <w:highlight w:val="none"/>
        </w:rPr>
        <w:t>中标人确定后，采购人应当向中标人发出《中标通知书》。</w:t>
      </w:r>
    </w:p>
    <w:p w14:paraId="66698092">
      <w:pPr>
        <w:pStyle w:val="11"/>
        <w:keepNext w:val="0"/>
        <w:keepLines w:val="0"/>
        <w:pageBreakBefore w:val="0"/>
        <w:tabs>
          <w:tab w:val="left" w:pos="574"/>
        </w:tabs>
        <w:kinsoku/>
        <w:wordWrap/>
        <w:overflowPunct/>
        <w:topLinePunct w:val="0"/>
        <w:bidi w:val="0"/>
        <w:adjustRightInd/>
        <w:snapToGrid/>
        <w:spacing w:line="360" w:lineRule="auto"/>
        <w:ind w:left="0" w:leftChars="0" w:right="0" w:firstLine="480" w:firstLineChars="200"/>
        <w:jc w:val="left"/>
        <w:textAlignment w:val="auto"/>
        <w:rPr>
          <w:szCs w:val="32"/>
          <w:highlight w:val="none"/>
        </w:rPr>
      </w:pPr>
      <w:r>
        <w:rPr>
          <w:rFonts w:hint="eastAsia"/>
          <w:szCs w:val="32"/>
          <w:highlight w:val="none"/>
        </w:rPr>
        <w:t>《中标通知书》对采购人和中标人具有法律约束力。《中标通知书》发出后，如中标人因违反法律法规规定而中标无效的，应承担相应的法律责任，本次招标失败，应重新组织招标。</w:t>
      </w:r>
    </w:p>
    <w:p w14:paraId="60A89142">
      <w:pPr>
        <w:keepNext w:val="0"/>
        <w:keepLines w:val="0"/>
        <w:pageBreakBefore w:val="0"/>
        <w:numPr>
          <w:ilvl w:val="0"/>
          <w:numId w:val="18"/>
        </w:numPr>
        <w:kinsoku/>
        <w:wordWrap/>
        <w:overflowPunct/>
        <w:topLinePunct w:val="0"/>
        <w:bidi w:val="0"/>
        <w:adjustRightInd/>
        <w:snapToGrid/>
        <w:spacing w:line="360" w:lineRule="auto"/>
        <w:ind w:left="0" w:leftChars="0" w:right="0" w:firstLine="482" w:firstLineChars="200"/>
        <w:jc w:val="left"/>
        <w:textAlignment w:val="auto"/>
        <w:rPr>
          <w:rFonts w:ascii="宋体" w:hAnsi="宋体"/>
          <w:kern w:val="0"/>
          <w:sz w:val="24"/>
          <w:highlight w:val="none"/>
        </w:rPr>
      </w:pPr>
      <w:r>
        <w:rPr>
          <w:rFonts w:hint="eastAsia" w:ascii="宋体" w:hAnsi="宋体"/>
          <w:b/>
          <w:kern w:val="0"/>
          <w:sz w:val="24"/>
          <w:highlight w:val="none"/>
        </w:rPr>
        <w:t>合同签订</w:t>
      </w:r>
    </w:p>
    <w:p w14:paraId="1CF828DA">
      <w:pPr>
        <w:pStyle w:val="22"/>
        <w:keepNext w:val="0"/>
        <w:keepLines w:val="0"/>
        <w:pageBreakBefore w:val="0"/>
        <w:numPr>
          <w:ilvl w:val="0"/>
          <w:numId w:val="39"/>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采购人应当自中标通知书发出之</w:t>
      </w:r>
      <w:r>
        <w:rPr>
          <w:rFonts w:asciiTheme="minorEastAsia" w:hAnsiTheme="minorEastAsia" w:eastAsiaTheme="minorEastAsia" w:cstheme="minorEastAsia"/>
          <w:color w:val="auto"/>
          <w:highlight w:val="none"/>
        </w:rPr>
        <w:t>日起</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eastAsia="zh-CN"/>
        </w:rPr>
        <w:t>0日内</w:t>
      </w:r>
      <w:r>
        <w:rPr>
          <w:rFonts w:asciiTheme="minorEastAsia" w:hAnsiTheme="minorEastAsia" w:eastAsiaTheme="minorEastAsia" w:cstheme="minorEastAsia"/>
          <w:color w:val="auto"/>
          <w:highlight w:val="none"/>
        </w:rPr>
        <w:t>，按照招标文件和中标人投标文件内容要求，与中标人签订合同。所签订的合同不得对招标</w:t>
      </w:r>
      <w:r>
        <w:rPr>
          <w:rFonts w:asciiTheme="minorEastAsia" w:hAnsiTheme="minorEastAsia" w:eastAsiaTheme="minorEastAsia" w:cstheme="minorEastAsia"/>
          <w:highlight w:val="none"/>
        </w:rPr>
        <w:t>文件确定的事项和中标人投标文件作实质性修改。</w:t>
      </w:r>
    </w:p>
    <w:p w14:paraId="0F2C2574">
      <w:pPr>
        <w:pStyle w:val="22"/>
        <w:keepNext w:val="0"/>
        <w:keepLines w:val="0"/>
        <w:pageBreakBefore w:val="0"/>
        <w:numPr>
          <w:ilvl w:val="0"/>
          <w:numId w:val="39"/>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采购人不得向中标人提出任何不合理的要求作为签订合同的条件。</w:t>
      </w:r>
    </w:p>
    <w:p w14:paraId="302C85CC">
      <w:pPr>
        <w:pStyle w:val="22"/>
        <w:keepNext w:val="0"/>
        <w:keepLines w:val="0"/>
        <w:pageBreakBefore w:val="0"/>
        <w:numPr>
          <w:ilvl w:val="0"/>
          <w:numId w:val="39"/>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中标人无故拖延、拒签合同的，将取消中标资格。</w:t>
      </w:r>
    </w:p>
    <w:p w14:paraId="0D77BBA8">
      <w:pPr>
        <w:pStyle w:val="22"/>
        <w:keepNext w:val="0"/>
        <w:keepLines w:val="0"/>
        <w:pageBreakBefore w:val="0"/>
        <w:numPr>
          <w:ilvl w:val="0"/>
          <w:numId w:val="39"/>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519163AC">
      <w:pPr>
        <w:pStyle w:val="22"/>
        <w:keepNext w:val="0"/>
        <w:keepLines w:val="0"/>
        <w:pageBreakBefore w:val="0"/>
        <w:numPr>
          <w:ilvl w:val="0"/>
          <w:numId w:val="39"/>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询问或者质疑事项可能影响中标结果的，采购人应当暂停签订合同，已经签订合同的，应当中止履行合同。</w:t>
      </w:r>
    </w:p>
    <w:p w14:paraId="7F90B1CB">
      <w:pPr>
        <w:pStyle w:val="10"/>
        <w:keepNext w:val="0"/>
        <w:keepLines w:val="0"/>
        <w:pageBreakBefore w:val="0"/>
        <w:numPr>
          <w:ilvl w:val="0"/>
          <w:numId w:val="18"/>
        </w:numPr>
        <w:kinsoku/>
        <w:wordWrap/>
        <w:overflowPunct/>
        <w:topLinePunct w:val="0"/>
        <w:bidi w:val="0"/>
        <w:adjustRightInd/>
        <w:snapToGrid/>
        <w:spacing w:line="360" w:lineRule="auto"/>
        <w:ind w:left="0" w:leftChars="0" w:right="0" w:firstLine="482" w:firstLineChars="200"/>
        <w:jc w:val="left"/>
        <w:textAlignment w:val="auto"/>
        <w:rPr>
          <w:rFonts w:ascii="宋体" w:hAnsi="宋体"/>
          <w:b/>
          <w:bCs/>
          <w:sz w:val="24"/>
          <w:highlight w:val="none"/>
        </w:rPr>
      </w:pPr>
      <w:r>
        <w:rPr>
          <w:rFonts w:hint="eastAsia" w:ascii="宋体" w:hAnsi="宋体"/>
          <w:b/>
          <w:bCs/>
          <w:sz w:val="24"/>
          <w:highlight w:val="none"/>
        </w:rPr>
        <w:t>询问、质疑与投诉</w:t>
      </w:r>
    </w:p>
    <w:p w14:paraId="6A2E1D44">
      <w:pPr>
        <w:pStyle w:val="10"/>
        <w:keepNext w:val="0"/>
        <w:keepLines w:val="0"/>
        <w:pageBreakBefore w:val="0"/>
        <w:numPr>
          <w:ilvl w:val="0"/>
          <w:numId w:val="40"/>
        </w:numPr>
        <w:kinsoku/>
        <w:wordWrap/>
        <w:overflowPunct/>
        <w:topLinePunct w:val="0"/>
        <w:bidi w:val="0"/>
        <w:adjustRightInd/>
        <w:snapToGrid/>
        <w:spacing w:line="360" w:lineRule="auto"/>
        <w:ind w:left="0" w:leftChars="0" w:right="0" w:firstLine="482" w:firstLineChars="200"/>
        <w:jc w:val="left"/>
        <w:textAlignment w:val="auto"/>
        <w:rPr>
          <w:rFonts w:ascii="宋体" w:hAnsi="宋体"/>
          <w:b/>
          <w:bCs/>
          <w:sz w:val="24"/>
          <w:highlight w:val="none"/>
        </w:rPr>
      </w:pPr>
      <w:r>
        <w:rPr>
          <w:rFonts w:hint="eastAsia" w:ascii="宋体" w:hAnsi="宋体"/>
          <w:b/>
          <w:bCs/>
          <w:sz w:val="24"/>
          <w:highlight w:val="none"/>
        </w:rPr>
        <w:t>询问</w:t>
      </w:r>
    </w:p>
    <w:p w14:paraId="532DE617">
      <w:pPr>
        <w:pStyle w:val="10"/>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w:t>
      </w:r>
      <w:r>
        <w:rPr>
          <w:rFonts w:hint="eastAsia" w:ascii="宋体" w:hAnsi="宋体"/>
          <w:sz w:val="24"/>
          <w:highlight w:val="none"/>
          <w:lang w:eastAsia="zh-CN"/>
        </w:rPr>
        <w:t>招标公告</w:t>
      </w:r>
      <w:r>
        <w:rPr>
          <w:rFonts w:hint="eastAsia" w:ascii="宋体" w:hAnsi="宋体"/>
          <w:sz w:val="24"/>
          <w:highlight w:val="none"/>
        </w:rPr>
        <w:t>”中“采购人、采购组织机构的名称、地址和联系方式”。</w:t>
      </w:r>
    </w:p>
    <w:p w14:paraId="1D7A668C">
      <w:pPr>
        <w:pStyle w:val="10"/>
        <w:keepNext w:val="0"/>
        <w:keepLines w:val="0"/>
        <w:pageBreakBefore w:val="0"/>
        <w:numPr>
          <w:ilvl w:val="0"/>
          <w:numId w:val="40"/>
        </w:numPr>
        <w:kinsoku/>
        <w:wordWrap/>
        <w:overflowPunct/>
        <w:topLinePunct w:val="0"/>
        <w:bidi w:val="0"/>
        <w:adjustRightInd/>
        <w:snapToGrid/>
        <w:spacing w:line="360" w:lineRule="auto"/>
        <w:ind w:left="0" w:leftChars="0" w:right="0" w:firstLine="482" w:firstLineChars="200"/>
        <w:jc w:val="left"/>
        <w:textAlignment w:val="auto"/>
        <w:rPr>
          <w:rFonts w:ascii="宋体" w:hAnsi="宋体"/>
          <w:b/>
          <w:bCs/>
          <w:sz w:val="24"/>
          <w:highlight w:val="none"/>
        </w:rPr>
      </w:pPr>
      <w:r>
        <w:rPr>
          <w:rFonts w:hint="eastAsia" w:ascii="宋体" w:hAnsi="宋体"/>
          <w:b/>
          <w:bCs/>
          <w:sz w:val="24"/>
          <w:highlight w:val="none"/>
        </w:rPr>
        <w:t>质疑</w:t>
      </w:r>
    </w:p>
    <w:p w14:paraId="23BFE48E">
      <w:pPr>
        <w:pStyle w:val="10"/>
        <w:keepNext w:val="0"/>
        <w:keepLines w:val="0"/>
        <w:pageBreakBefore w:val="0"/>
        <w:numPr>
          <w:ilvl w:val="0"/>
          <w:numId w:val="41"/>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报名本项目的投标人认为招标文件、采购过程和中标结果使自己的权益受到损害的，通过书面形式一次性向采购人或采购组织机构提出质疑：</w:t>
      </w:r>
    </w:p>
    <w:p w14:paraId="6DC5DEF6">
      <w:pPr>
        <w:pStyle w:val="10"/>
        <w:keepNext w:val="0"/>
        <w:keepLines w:val="0"/>
        <w:pageBreakBefore w:val="0"/>
        <w:numPr>
          <w:ilvl w:val="0"/>
          <w:numId w:val="42"/>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投标人认为招标文件的内容损害其权益的，应当</w:t>
      </w:r>
      <w:r>
        <w:rPr>
          <w:rFonts w:hint="eastAsia" w:ascii="宋体" w:hAnsi="宋体"/>
          <w:sz w:val="24"/>
          <w:highlight w:val="none"/>
          <w:lang w:val="en-US" w:eastAsia="zh-CN"/>
        </w:rPr>
        <w:t>在投标截止时间前</w:t>
      </w:r>
      <w:r>
        <w:rPr>
          <w:rFonts w:hint="eastAsia" w:ascii="宋体" w:hAnsi="宋体"/>
          <w:sz w:val="24"/>
          <w:highlight w:val="none"/>
        </w:rPr>
        <w:t>提出质疑；</w:t>
      </w:r>
    </w:p>
    <w:p w14:paraId="1BBB9DEC">
      <w:pPr>
        <w:pStyle w:val="10"/>
        <w:keepNext w:val="0"/>
        <w:keepLines w:val="0"/>
        <w:pageBreakBefore w:val="0"/>
        <w:numPr>
          <w:ilvl w:val="0"/>
          <w:numId w:val="42"/>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投标人对中标结果提出质疑的，应当在</w:t>
      </w:r>
      <w:r>
        <w:rPr>
          <w:rFonts w:hint="eastAsia" w:ascii="宋体" w:hAnsi="宋体"/>
          <w:sz w:val="24"/>
          <w:highlight w:val="none"/>
          <w:lang w:val="en-US" w:eastAsia="zh-CN"/>
        </w:rPr>
        <w:t>公示期满前</w:t>
      </w:r>
      <w:r>
        <w:rPr>
          <w:rFonts w:hint="eastAsia" w:ascii="宋体" w:hAnsi="宋体"/>
          <w:sz w:val="24"/>
          <w:highlight w:val="none"/>
        </w:rPr>
        <w:t>提出质疑。</w:t>
      </w:r>
    </w:p>
    <w:p w14:paraId="292FD6E8">
      <w:pPr>
        <w:pStyle w:val="10"/>
        <w:keepNext w:val="0"/>
        <w:keepLines w:val="0"/>
        <w:pageBreakBefore w:val="0"/>
        <w:numPr>
          <w:ilvl w:val="0"/>
          <w:numId w:val="41"/>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采购人或采购组织机构在收到投标人的书面质疑后7个工作日内作出答复，并以书面形式回复质疑投标人和其他有关投标人，但答复内容不涉及商业秘密。</w:t>
      </w:r>
    </w:p>
    <w:p w14:paraId="6E23BC6F">
      <w:pPr>
        <w:pStyle w:val="10"/>
        <w:keepNext w:val="0"/>
        <w:keepLines w:val="0"/>
        <w:pageBreakBefore w:val="0"/>
        <w:numPr>
          <w:ilvl w:val="0"/>
          <w:numId w:val="41"/>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1470074D">
      <w:pPr>
        <w:pStyle w:val="10"/>
        <w:keepNext w:val="0"/>
        <w:keepLines w:val="0"/>
        <w:pageBreakBefore w:val="0"/>
        <w:numPr>
          <w:ilvl w:val="0"/>
          <w:numId w:val="40"/>
        </w:numPr>
        <w:kinsoku/>
        <w:wordWrap/>
        <w:overflowPunct/>
        <w:topLinePunct w:val="0"/>
        <w:bidi w:val="0"/>
        <w:adjustRightInd/>
        <w:snapToGrid/>
        <w:spacing w:line="360" w:lineRule="auto"/>
        <w:ind w:left="0" w:leftChars="0" w:right="0" w:firstLine="482" w:firstLineChars="200"/>
        <w:jc w:val="left"/>
        <w:textAlignment w:val="auto"/>
        <w:rPr>
          <w:rFonts w:ascii="宋体" w:hAnsi="宋体"/>
          <w:b/>
          <w:bCs/>
          <w:sz w:val="24"/>
          <w:highlight w:val="none"/>
        </w:rPr>
      </w:pPr>
      <w:r>
        <w:rPr>
          <w:rFonts w:hint="eastAsia" w:ascii="宋体" w:hAnsi="宋体"/>
          <w:b/>
          <w:bCs/>
          <w:sz w:val="24"/>
          <w:highlight w:val="none"/>
        </w:rPr>
        <w:t>投诉</w:t>
      </w:r>
    </w:p>
    <w:p w14:paraId="72DBDD1F">
      <w:pPr>
        <w:pStyle w:val="10"/>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投标人对采购人或采购组织机构的质疑答复不满意或在规定时间内未得到答复的，可以在答复期满后15个工作日内，向同级政府采购监督管理机构投诉。</w:t>
      </w:r>
    </w:p>
    <w:p w14:paraId="2BD5ACBF">
      <w:pPr>
        <w:pStyle w:val="10"/>
        <w:spacing w:line="360" w:lineRule="auto"/>
        <w:ind w:firstLine="480" w:firstLineChars="200"/>
        <w:jc w:val="both"/>
        <w:rPr>
          <w:rFonts w:asciiTheme="minorEastAsia" w:hAnsiTheme="minorEastAsia" w:eastAsiaTheme="minorEastAsia"/>
          <w:b/>
          <w:sz w:val="36"/>
          <w:szCs w:val="36"/>
          <w:highlight w:val="none"/>
        </w:rPr>
      </w:pPr>
      <w:r>
        <w:rPr>
          <w:rFonts w:hint="eastAsia" w:ascii="宋体" w:hAnsi="宋体"/>
          <w:sz w:val="24"/>
          <w:highlight w:val="none"/>
        </w:rPr>
        <w:br w:type="page"/>
      </w:r>
    </w:p>
    <w:p w14:paraId="4E7D7080">
      <w:pPr>
        <w:numPr>
          <w:ilvl w:val="0"/>
          <w:numId w:val="17"/>
        </w:numPr>
        <w:spacing w:line="360" w:lineRule="auto"/>
        <w:jc w:val="center"/>
        <w:outlineLvl w:val="0"/>
        <w:rPr>
          <w:rFonts w:asciiTheme="minorEastAsia" w:hAnsiTheme="minorEastAsia" w:eastAsiaTheme="minorEastAsia"/>
          <w:b/>
          <w:sz w:val="36"/>
          <w:szCs w:val="36"/>
          <w:highlight w:val="none"/>
        </w:rPr>
      </w:pPr>
      <w:bookmarkStart w:id="40" w:name="_Toc9992"/>
      <w:r>
        <w:rPr>
          <w:rFonts w:hint="eastAsia" w:asciiTheme="minorEastAsia" w:hAnsiTheme="minorEastAsia" w:eastAsiaTheme="minorEastAsia"/>
          <w:b/>
          <w:sz w:val="36"/>
          <w:szCs w:val="36"/>
          <w:highlight w:val="none"/>
        </w:rPr>
        <w:t>招标需求</w:t>
      </w:r>
      <w:bookmarkEnd w:id="40"/>
    </w:p>
    <w:p w14:paraId="5CA03448">
      <w:pPr>
        <w:numPr>
          <w:ilvl w:val="0"/>
          <w:numId w:val="43"/>
        </w:numPr>
        <w:snapToGrid w:val="0"/>
        <w:spacing w:line="360" w:lineRule="auto"/>
        <w:ind w:left="0" w:leftChars="0" w:firstLine="420" w:firstLineChars="0"/>
        <w:rPr>
          <w:rStyle w:val="70"/>
          <w:rFonts w:ascii="宋体"/>
          <w:b/>
          <w:bCs w:val="0"/>
          <w:color w:val="auto"/>
          <w:sz w:val="24"/>
          <w:szCs w:val="24"/>
        </w:rPr>
      </w:pPr>
      <w:r>
        <w:rPr>
          <w:rStyle w:val="70"/>
          <w:rFonts w:ascii="宋体"/>
          <w:b/>
          <w:bCs w:val="0"/>
          <w:color w:val="auto"/>
          <w:sz w:val="24"/>
          <w:szCs w:val="24"/>
        </w:rPr>
        <w:t>项目概况</w:t>
      </w:r>
    </w:p>
    <w:p w14:paraId="61AE5F5E">
      <w:pPr>
        <w:snapToGrid w:val="0"/>
        <w:spacing w:line="360" w:lineRule="auto"/>
        <w:ind w:firstLine="480" w:firstLineChars="200"/>
        <w:rPr>
          <w:rStyle w:val="70"/>
          <w:rFonts w:hint="eastAsia" w:ascii="宋体"/>
          <w:color w:val="auto"/>
          <w:sz w:val="24"/>
          <w:szCs w:val="24"/>
        </w:rPr>
      </w:pPr>
      <w:r>
        <w:rPr>
          <w:rStyle w:val="70"/>
          <w:rFonts w:hint="eastAsia" w:ascii="宋体"/>
          <w:color w:val="auto"/>
          <w:sz w:val="24"/>
          <w:szCs w:val="24"/>
          <w:lang w:val="en-US"/>
        </w:rPr>
        <w:t>中标人</w:t>
      </w:r>
      <w:r>
        <w:rPr>
          <w:rStyle w:val="70"/>
          <w:rFonts w:ascii="宋体"/>
          <w:color w:val="auto"/>
          <w:sz w:val="24"/>
          <w:szCs w:val="24"/>
        </w:rPr>
        <w:t>提供食堂日常管理与运行（包括各项台账的建立）、每日</w:t>
      </w:r>
      <w:r>
        <w:rPr>
          <w:rStyle w:val="70"/>
          <w:rFonts w:hint="eastAsia" w:ascii="宋体"/>
          <w:color w:val="auto"/>
          <w:sz w:val="24"/>
          <w:szCs w:val="24"/>
          <w:lang w:val="en-US" w:eastAsia="zh-CN"/>
        </w:rPr>
        <w:t>两</w:t>
      </w:r>
      <w:r>
        <w:rPr>
          <w:rStyle w:val="70"/>
          <w:rFonts w:ascii="宋体"/>
          <w:color w:val="auto"/>
          <w:sz w:val="24"/>
          <w:szCs w:val="24"/>
        </w:rPr>
        <w:t>餐的食品制作以及食品安全、食堂的卫生保洁等服务</w:t>
      </w:r>
      <w:r>
        <w:rPr>
          <w:rStyle w:val="70"/>
          <w:rFonts w:hint="eastAsia" w:ascii="宋体"/>
          <w:color w:val="auto"/>
          <w:sz w:val="24"/>
          <w:szCs w:val="24"/>
        </w:rPr>
        <w:t>。</w:t>
      </w:r>
    </w:p>
    <w:p w14:paraId="2CFB1E24">
      <w:pPr>
        <w:snapToGrid w:val="0"/>
        <w:spacing w:line="360" w:lineRule="auto"/>
        <w:ind w:firstLine="480" w:firstLineChars="200"/>
        <w:rPr>
          <w:rStyle w:val="70"/>
          <w:rFonts w:ascii="宋体"/>
          <w:color w:val="auto"/>
          <w:sz w:val="24"/>
          <w:szCs w:val="24"/>
          <w:highlight w:val="none"/>
        </w:rPr>
      </w:pPr>
      <w:r>
        <w:rPr>
          <w:rStyle w:val="70"/>
          <w:rFonts w:ascii="宋体"/>
          <w:color w:val="auto"/>
          <w:sz w:val="24"/>
          <w:szCs w:val="24"/>
          <w:highlight w:val="none"/>
        </w:rPr>
        <w:t>用餐人数</w:t>
      </w:r>
      <w:r>
        <w:rPr>
          <w:rStyle w:val="70"/>
          <w:rFonts w:hint="eastAsia" w:ascii="宋体"/>
          <w:color w:val="auto"/>
          <w:sz w:val="24"/>
          <w:szCs w:val="24"/>
          <w:highlight w:val="none"/>
        </w:rPr>
        <w:t>：早餐</w:t>
      </w:r>
      <w:r>
        <w:rPr>
          <w:rStyle w:val="70"/>
          <w:rFonts w:hint="eastAsia" w:ascii="宋体"/>
          <w:color w:val="auto"/>
          <w:sz w:val="24"/>
          <w:szCs w:val="24"/>
          <w:highlight w:val="none"/>
          <w:lang w:val="en-US"/>
        </w:rPr>
        <w:t>100</w:t>
      </w:r>
      <w:r>
        <w:rPr>
          <w:rStyle w:val="70"/>
          <w:rFonts w:hint="eastAsia" w:ascii="宋体"/>
          <w:color w:val="auto"/>
          <w:sz w:val="24"/>
          <w:szCs w:val="24"/>
          <w:highlight w:val="none"/>
        </w:rPr>
        <w:t>人左右（</w:t>
      </w:r>
      <w:r>
        <w:rPr>
          <w:rStyle w:val="70"/>
          <w:rFonts w:hint="eastAsia" w:ascii="宋体"/>
          <w:color w:val="auto"/>
          <w:sz w:val="24"/>
          <w:szCs w:val="24"/>
          <w:highlight w:val="none"/>
          <w:lang w:val="en-US"/>
        </w:rPr>
        <w:t>教职工</w:t>
      </w:r>
      <w:r>
        <w:rPr>
          <w:rStyle w:val="70"/>
          <w:rFonts w:hint="eastAsia" w:ascii="宋体"/>
          <w:color w:val="auto"/>
          <w:sz w:val="24"/>
          <w:szCs w:val="24"/>
          <w:highlight w:val="none"/>
        </w:rPr>
        <w:t>），中餐</w:t>
      </w:r>
      <w:r>
        <w:rPr>
          <w:rStyle w:val="70"/>
          <w:rFonts w:hint="eastAsia" w:ascii="宋体"/>
          <w:color w:val="auto"/>
          <w:sz w:val="24"/>
          <w:szCs w:val="24"/>
          <w:highlight w:val="none"/>
          <w:lang w:val="en-US"/>
        </w:rPr>
        <w:t>1</w:t>
      </w:r>
      <w:r>
        <w:rPr>
          <w:rStyle w:val="70"/>
          <w:rFonts w:hint="eastAsia" w:ascii="宋体"/>
          <w:color w:val="auto"/>
          <w:sz w:val="24"/>
          <w:szCs w:val="24"/>
          <w:highlight w:val="none"/>
          <w:lang w:val="en-US" w:eastAsia="zh-CN"/>
        </w:rPr>
        <w:t>50</w:t>
      </w:r>
      <w:r>
        <w:rPr>
          <w:rStyle w:val="70"/>
          <w:rFonts w:hint="eastAsia" w:ascii="宋体"/>
          <w:color w:val="auto"/>
          <w:sz w:val="24"/>
          <w:szCs w:val="24"/>
          <w:highlight w:val="none"/>
          <w:lang w:val="en-US"/>
        </w:rPr>
        <w:t>0</w:t>
      </w:r>
      <w:r>
        <w:rPr>
          <w:rStyle w:val="70"/>
          <w:rFonts w:ascii="宋体"/>
          <w:color w:val="auto"/>
          <w:sz w:val="24"/>
          <w:szCs w:val="24"/>
          <w:highlight w:val="none"/>
        </w:rPr>
        <w:t>人左右</w:t>
      </w:r>
      <w:r>
        <w:rPr>
          <w:rStyle w:val="70"/>
          <w:rFonts w:hint="eastAsia" w:ascii="宋体"/>
          <w:color w:val="auto"/>
          <w:sz w:val="24"/>
          <w:szCs w:val="24"/>
          <w:highlight w:val="none"/>
        </w:rPr>
        <w:t>（</w:t>
      </w:r>
      <w:r>
        <w:rPr>
          <w:rStyle w:val="70"/>
          <w:rFonts w:hint="eastAsia" w:ascii="宋体"/>
          <w:color w:val="auto"/>
          <w:sz w:val="24"/>
          <w:szCs w:val="24"/>
          <w:highlight w:val="none"/>
          <w:lang w:val="en-US"/>
        </w:rPr>
        <w:t>学生1</w:t>
      </w:r>
      <w:r>
        <w:rPr>
          <w:rStyle w:val="70"/>
          <w:rFonts w:hint="eastAsia" w:ascii="宋体"/>
          <w:color w:val="auto"/>
          <w:sz w:val="24"/>
          <w:szCs w:val="24"/>
          <w:highlight w:val="none"/>
          <w:lang w:val="en-US" w:eastAsia="zh-CN"/>
        </w:rPr>
        <w:t>40</w:t>
      </w:r>
      <w:r>
        <w:rPr>
          <w:rStyle w:val="70"/>
          <w:rFonts w:hint="eastAsia" w:ascii="宋体"/>
          <w:color w:val="auto"/>
          <w:sz w:val="24"/>
          <w:szCs w:val="24"/>
          <w:highlight w:val="none"/>
          <w:lang w:val="en-US"/>
        </w:rPr>
        <w:t>0+教职工100</w:t>
      </w:r>
      <w:r>
        <w:rPr>
          <w:rStyle w:val="70"/>
          <w:rFonts w:hint="eastAsia" w:ascii="宋体"/>
          <w:color w:val="auto"/>
          <w:sz w:val="24"/>
          <w:szCs w:val="24"/>
          <w:highlight w:val="none"/>
        </w:rPr>
        <w:t>）。</w:t>
      </w:r>
    </w:p>
    <w:p w14:paraId="0F7266A8">
      <w:pPr>
        <w:numPr>
          <w:ilvl w:val="0"/>
          <w:numId w:val="43"/>
        </w:numPr>
        <w:snapToGrid w:val="0"/>
        <w:spacing w:line="360" w:lineRule="auto"/>
        <w:ind w:left="0" w:leftChars="0" w:firstLine="420" w:firstLineChars="0"/>
        <w:rPr>
          <w:rStyle w:val="70"/>
          <w:rFonts w:ascii="宋体"/>
          <w:b/>
          <w:bCs w:val="0"/>
          <w:color w:val="auto"/>
          <w:sz w:val="24"/>
          <w:szCs w:val="24"/>
        </w:rPr>
      </w:pPr>
      <w:r>
        <w:rPr>
          <w:rStyle w:val="70"/>
          <w:rFonts w:hint="eastAsia" w:ascii="宋体"/>
          <w:b/>
          <w:bCs w:val="0"/>
          <w:color w:val="auto"/>
          <w:sz w:val="24"/>
          <w:szCs w:val="24"/>
          <w:lang w:val="en-US"/>
        </w:rPr>
        <w:t>具体要求</w:t>
      </w:r>
    </w:p>
    <w:p w14:paraId="074CF6EA">
      <w:pPr>
        <w:numPr>
          <w:ilvl w:val="0"/>
          <w:numId w:val="44"/>
        </w:numPr>
        <w:snapToGrid w:val="0"/>
        <w:spacing w:line="360" w:lineRule="auto"/>
        <w:ind w:left="0" w:leftChars="0" w:firstLine="420" w:firstLineChars="0"/>
        <w:rPr>
          <w:rStyle w:val="70"/>
          <w:rFonts w:ascii="宋体"/>
          <w:b/>
          <w:color w:val="auto"/>
          <w:sz w:val="24"/>
          <w:szCs w:val="24"/>
        </w:rPr>
      </w:pPr>
      <w:r>
        <w:rPr>
          <w:rStyle w:val="70"/>
          <w:rFonts w:ascii="宋体"/>
          <w:b/>
          <w:color w:val="auto"/>
          <w:sz w:val="24"/>
          <w:szCs w:val="24"/>
        </w:rPr>
        <w:t>服务内容、服务范围</w:t>
      </w:r>
    </w:p>
    <w:p w14:paraId="1056AC90">
      <w:pPr>
        <w:numPr>
          <w:ilvl w:val="0"/>
          <w:numId w:val="45"/>
        </w:numPr>
        <w:snapToGrid w:val="0"/>
        <w:spacing w:line="360" w:lineRule="auto"/>
        <w:ind w:left="0" w:leftChars="0" w:firstLine="480" w:firstLineChars="200"/>
        <w:rPr>
          <w:rStyle w:val="70"/>
          <w:rFonts w:ascii="宋体"/>
          <w:color w:val="auto"/>
          <w:sz w:val="24"/>
          <w:szCs w:val="24"/>
        </w:rPr>
      </w:pPr>
      <w:r>
        <w:rPr>
          <w:rStyle w:val="70"/>
          <w:rFonts w:ascii="宋体"/>
          <w:color w:val="auto"/>
          <w:sz w:val="24"/>
          <w:szCs w:val="24"/>
        </w:rPr>
        <w:t>服务内容：</w:t>
      </w:r>
    </w:p>
    <w:p w14:paraId="09977445">
      <w:pPr>
        <w:snapToGrid w:val="0"/>
        <w:spacing w:line="360" w:lineRule="auto"/>
        <w:ind w:firstLine="480" w:firstLineChars="200"/>
        <w:rPr>
          <w:rStyle w:val="70"/>
          <w:rFonts w:ascii="宋体"/>
          <w:color w:val="auto"/>
          <w:sz w:val="24"/>
          <w:szCs w:val="24"/>
        </w:rPr>
      </w:pPr>
      <w:r>
        <w:rPr>
          <w:rStyle w:val="70"/>
          <w:rFonts w:ascii="宋体"/>
          <w:color w:val="auto"/>
          <w:sz w:val="24"/>
          <w:szCs w:val="24"/>
        </w:rPr>
        <w:t>本项目以劳务输出的形式进行食堂后勤服务总承包，食堂日常的食材、调味品等原材料的采购由</w:t>
      </w:r>
      <w:r>
        <w:rPr>
          <w:rStyle w:val="70"/>
          <w:rFonts w:hint="eastAsia" w:ascii="宋体"/>
          <w:color w:val="auto"/>
          <w:sz w:val="24"/>
          <w:szCs w:val="24"/>
        </w:rPr>
        <w:t>采购人</w:t>
      </w:r>
      <w:r>
        <w:rPr>
          <w:rStyle w:val="70"/>
          <w:rFonts w:ascii="宋体"/>
          <w:color w:val="auto"/>
          <w:sz w:val="24"/>
          <w:szCs w:val="24"/>
        </w:rPr>
        <w:t>自行负责。</w:t>
      </w:r>
      <w:r>
        <w:rPr>
          <w:rStyle w:val="70"/>
          <w:rFonts w:hint="eastAsia" w:ascii="宋体"/>
          <w:color w:val="auto"/>
          <w:sz w:val="24"/>
          <w:szCs w:val="24"/>
          <w:lang w:val="en-US"/>
        </w:rPr>
        <w:t>中标人</w:t>
      </w:r>
      <w:r>
        <w:rPr>
          <w:rStyle w:val="70"/>
          <w:rFonts w:ascii="宋体"/>
          <w:color w:val="auto"/>
          <w:sz w:val="24"/>
          <w:szCs w:val="24"/>
        </w:rPr>
        <w:t>负责劳务输出及服务，包括食堂日常管理与运行（包括各项台账的建立）、每日三餐的食品制作以及食品安全、食堂及周边的卫生保洁等服务。</w:t>
      </w:r>
      <w:r>
        <w:rPr>
          <w:rStyle w:val="70"/>
          <w:rFonts w:hint="eastAsia" w:ascii="宋体"/>
          <w:color w:val="auto"/>
          <w:sz w:val="24"/>
          <w:szCs w:val="24"/>
        </w:rPr>
        <w:t>采购人</w:t>
      </w:r>
      <w:r>
        <w:rPr>
          <w:rStyle w:val="70"/>
          <w:rFonts w:ascii="宋体"/>
          <w:color w:val="auto"/>
          <w:sz w:val="24"/>
          <w:szCs w:val="24"/>
        </w:rPr>
        <w:t>提供食堂设施和餐饮用具，承担食堂水电、燃料的费用。</w:t>
      </w:r>
    </w:p>
    <w:p w14:paraId="627DB166">
      <w:pPr>
        <w:snapToGrid w:val="0"/>
        <w:spacing w:line="360" w:lineRule="auto"/>
        <w:ind w:firstLine="480" w:firstLineChars="200"/>
        <w:rPr>
          <w:rStyle w:val="70"/>
          <w:rFonts w:ascii="宋体"/>
          <w:color w:val="auto"/>
          <w:sz w:val="24"/>
          <w:szCs w:val="24"/>
        </w:rPr>
      </w:pPr>
      <w:r>
        <w:rPr>
          <w:rStyle w:val="70"/>
          <w:rFonts w:hint="eastAsia" w:ascii="宋体"/>
          <w:color w:val="auto"/>
          <w:sz w:val="24"/>
          <w:szCs w:val="24"/>
          <w:lang w:val="en-US"/>
        </w:rPr>
        <w:t>中标人</w:t>
      </w:r>
      <w:r>
        <w:rPr>
          <w:rStyle w:val="70"/>
          <w:rFonts w:ascii="宋体"/>
          <w:color w:val="auto"/>
          <w:sz w:val="24"/>
          <w:szCs w:val="24"/>
        </w:rPr>
        <w:t>负责食堂员工管理及日常运行；负责每日用餐所需食品及原材料、调料的领用、保管、制作加工等工作；负责制订每周菜谱；负责日常菜肴、面点等食品制作；负责粗加工、清洗等厨房前后道工作；负责窗口、大厅等各项服务以及食堂区域内的安全、卫生保洁等工作。</w:t>
      </w:r>
    </w:p>
    <w:p w14:paraId="6B7A4CD6">
      <w:pPr>
        <w:snapToGrid w:val="0"/>
        <w:spacing w:line="360" w:lineRule="auto"/>
        <w:ind w:firstLine="480" w:firstLineChars="200"/>
        <w:rPr>
          <w:rStyle w:val="70"/>
          <w:rFonts w:ascii="宋体"/>
          <w:color w:val="auto"/>
          <w:sz w:val="24"/>
          <w:szCs w:val="24"/>
        </w:rPr>
      </w:pPr>
      <w:r>
        <w:rPr>
          <w:rStyle w:val="70"/>
          <w:rFonts w:hint="eastAsia" w:ascii="宋体"/>
          <w:color w:val="auto"/>
          <w:sz w:val="24"/>
          <w:szCs w:val="24"/>
          <w:lang w:val="en-US"/>
        </w:rPr>
        <w:t>中标人</w:t>
      </w:r>
      <w:r>
        <w:rPr>
          <w:rStyle w:val="70"/>
          <w:rFonts w:ascii="宋体"/>
          <w:color w:val="auto"/>
          <w:sz w:val="24"/>
          <w:szCs w:val="24"/>
        </w:rPr>
        <w:t>每天定时提供食品采购清单，由学校专人负责食品采购，</w:t>
      </w:r>
      <w:r>
        <w:rPr>
          <w:rStyle w:val="70"/>
          <w:rFonts w:hint="eastAsia" w:ascii="宋体"/>
          <w:color w:val="auto"/>
          <w:sz w:val="24"/>
          <w:szCs w:val="24"/>
          <w:lang w:val="en-US"/>
        </w:rPr>
        <w:t>中标人</w:t>
      </w:r>
      <w:r>
        <w:rPr>
          <w:rStyle w:val="70"/>
          <w:rFonts w:ascii="宋体"/>
          <w:color w:val="auto"/>
          <w:sz w:val="24"/>
          <w:szCs w:val="24"/>
        </w:rPr>
        <w:t>与学校食堂管理人员共同负责食品数量与质量的验收工作。</w:t>
      </w:r>
    </w:p>
    <w:p w14:paraId="642F4FB7">
      <w:pPr>
        <w:numPr>
          <w:ilvl w:val="0"/>
          <w:numId w:val="45"/>
        </w:numPr>
        <w:snapToGrid w:val="0"/>
        <w:spacing w:line="360" w:lineRule="auto"/>
        <w:ind w:left="0" w:leftChars="0" w:firstLine="480" w:firstLineChars="200"/>
        <w:rPr>
          <w:rStyle w:val="70"/>
          <w:rFonts w:ascii="宋体"/>
          <w:color w:val="auto"/>
          <w:sz w:val="24"/>
          <w:szCs w:val="24"/>
        </w:rPr>
      </w:pPr>
      <w:r>
        <w:rPr>
          <w:rStyle w:val="70"/>
          <w:rFonts w:ascii="宋体"/>
          <w:color w:val="auto"/>
          <w:sz w:val="24"/>
          <w:szCs w:val="24"/>
        </w:rPr>
        <w:t>供餐时间及要求：</w:t>
      </w:r>
    </w:p>
    <w:p w14:paraId="12F34A74">
      <w:pPr>
        <w:snapToGrid w:val="0"/>
        <w:spacing w:line="360" w:lineRule="auto"/>
        <w:ind w:firstLine="480" w:firstLineChars="200"/>
        <w:rPr>
          <w:rStyle w:val="70"/>
          <w:rFonts w:ascii="宋体"/>
          <w:color w:val="auto"/>
          <w:sz w:val="24"/>
          <w:szCs w:val="24"/>
        </w:rPr>
      </w:pPr>
      <w:r>
        <w:rPr>
          <w:rStyle w:val="70"/>
          <w:rFonts w:ascii="宋体"/>
          <w:color w:val="auto"/>
          <w:sz w:val="24"/>
          <w:szCs w:val="24"/>
        </w:rPr>
        <w:t>按</w:t>
      </w:r>
      <w:r>
        <w:rPr>
          <w:rStyle w:val="70"/>
          <w:rFonts w:hint="eastAsia" w:ascii="宋体"/>
          <w:color w:val="auto"/>
          <w:sz w:val="24"/>
          <w:szCs w:val="24"/>
        </w:rPr>
        <w:t>采购人</w:t>
      </w:r>
      <w:r>
        <w:rPr>
          <w:rStyle w:val="70"/>
          <w:rFonts w:ascii="宋体"/>
          <w:color w:val="auto"/>
          <w:sz w:val="24"/>
          <w:szCs w:val="24"/>
        </w:rPr>
        <w:t>根据实际需求及学校作息时间确定供餐时间。早餐</w:t>
      </w:r>
      <w:r>
        <w:rPr>
          <w:rStyle w:val="70"/>
          <w:rFonts w:hint="eastAsia" w:ascii="宋体"/>
          <w:color w:val="auto"/>
          <w:sz w:val="24"/>
          <w:szCs w:val="24"/>
        </w:rPr>
        <w:t>：</w:t>
      </w:r>
      <w:r>
        <w:rPr>
          <w:rStyle w:val="70"/>
          <w:rFonts w:ascii="宋体"/>
          <w:color w:val="auto"/>
          <w:sz w:val="24"/>
          <w:szCs w:val="24"/>
        </w:rPr>
        <w:t>全时段内提供粥、豆浆、包子等早点；</w:t>
      </w:r>
      <w:r>
        <w:rPr>
          <w:rStyle w:val="70"/>
          <w:rFonts w:hint="eastAsia" w:ascii="宋体"/>
          <w:color w:val="auto"/>
          <w:sz w:val="24"/>
          <w:szCs w:val="24"/>
          <w:lang w:val="en-US"/>
        </w:rPr>
        <w:t>午餐：</w:t>
      </w:r>
      <w:r>
        <w:rPr>
          <w:rStyle w:val="70"/>
          <w:rFonts w:ascii="宋体"/>
          <w:color w:val="auto"/>
          <w:sz w:val="24"/>
          <w:szCs w:val="24"/>
        </w:rPr>
        <w:t>全时段内</w:t>
      </w:r>
      <w:r>
        <w:rPr>
          <w:rStyle w:val="70"/>
          <w:rFonts w:hint="eastAsia" w:ascii="宋体"/>
          <w:color w:val="auto"/>
          <w:sz w:val="24"/>
          <w:szCs w:val="24"/>
          <w:lang w:val="en-US"/>
        </w:rPr>
        <w:t>提供</w:t>
      </w:r>
      <w:r>
        <w:rPr>
          <w:rStyle w:val="70"/>
          <w:rFonts w:ascii="宋体"/>
          <w:color w:val="auto"/>
          <w:sz w:val="24"/>
          <w:szCs w:val="24"/>
        </w:rPr>
        <w:t>正餐菜肴</w:t>
      </w:r>
      <w:r>
        <w:rPr>
          <w:rStyle w:val="70"/>
          <w:rFonts w:hint="eastAsia" w:ascii="宋体"/>
          <w:color w:val="auto"/>
          <w:sz w:val="24"/>
          <w:szCs w:val="24"/>
        </w:rPr>
        <w:t>。</w:t>
      </w:r>
      <w:r>
        <w:rPr>
          <w:rStyle w:val="70"/>
          <w:rFonts w:ascii="宋体"/>
          <w:color w:val="auto"/>
          <w:sz w:val="24"/>
          <w:szCs w:val="24"/>
        </w:rPr>
        <w:t>每餐菜肴荤素搭配均衡、营养安排合理。</w:t>
      </w:r>
    </w:p>
    <w:p w14:paraId="09575CC6">
      <w:pPr>
        <w:numPr>
          <w:ilvl w:val="0"/>
          <w:numId w:val="45"/>
        </w:numPr>
        <w:snapToGrid w:val="0"/>
        <w:spacing w:line="360" w:lineRule="auto"/>
        <w:ind w:left="0" w:leftChars="0" w:firstLine="480" w:firstLineChars="200"/>
        <w:rPr>
          <w:rStyle w:val="70"/>
          <w:rFonts w:ascii="宋体"/>
          <w:color w:val="auto"/>
          <w:sz w:val="24"/>
          <w:szCs w:val="24"/>
        </w:rPr>
      </w:pPr>
      <w:r>
        <w:rPr>
          <w:rStyle w:val="70"/>
          <w:rFonts w:ascii="宋体"/>
          <w:color w:val="auto"/>
          <w:sz w:val="24"/>
          <w:szCs w:val="24"/>
        </w:rPr>
        <w:t>投标人应根据季节不同提供适时菜品，定期推出特色菜或新菜（主打菜每天有变化），需提供食堂当日成本核算数据，并做好成本控制工作。</w:t>
      </w:r>
    </w:p>
    <w:p w14:paraId="05C999B4">
      <w:pPr>
        <w:numPr>
          <w:ilvl w:val="0"/>
          <w:numId w:val="45"/>
        </w:numPr>
        <w:snapToGrid w:val="0"/>
        <w:spacing w:line="360" w:lineRule="auto"/>
        <w:ind w:left="0" w:leftChars="0" w:firstLine="480" w:firstLineChars="200"/>
        <w:rPr>
          <w:rStyle w:val="70"/>
          <w:rFonts w:ascii="宋体"/>
          <w:color w:val="auto"/>
          <w:sz w:val="24"/>
          <w:szCs w:val="24"/>
        </w:rPr>
      </w:pPr>
      <w:r>
        <w:rPr>
          <w:rStyle w:val="70"/>
          <w:rFonts w:ascii="宋体"/>
          <w:color w:val="auto"/>
          <w:sz w:val="24"/>
          <w:szCs w:val="24"/>
        </w:rPr>
        <w:t>食堂要做好特殊情况下</w:t>
      </w:r>
      <w:r>
        <w:rPr>
          <w:rStyle w:val="70"/>
          <w:rFonts w:hint="eastAsia" w:ascii="宋体"/>
          <w:color w:val="auto"/>
          <w:sz w:val="24"/>
          <w:szCs w:val="24"/>
          <w:lang w:eastAsia="zh-CN"/>
        </w:rPr>
        <w:t>（</w:t>
      </w:r>
      <w:r>
        <w:rPr>
          <w:rStyle w:val="70"/>
          <w:rFonts w:ascii="宋体"/>
          <w:color w:val="auto"/>
          <w:sz w:val="24"/>
          <w:szCs w:val="24"/>
        </w:rPr>
        <w:t>如加班、公务接待、防台、抗寒、重大活动、值班备勤、突发性事件应急处置等情形</w:t>
      </w:r>
      <w:r>
        <w:rPr>
          <w:rStyle w:val="70"/>
          <w:rFonts w:hint="eastAsia" w:ascii="宋体"/>
          <w:color w:val="auto"/>
          <w:sz w:val="24"/>
          <w:szCs w:val="24"/>
          <w:lang w:eastAsia="zh-CN"/>
        </w:rPr>
        <w:t>）</w:t>
      </w:r>
      <w:r>
        <w:rPr>
          <w:rStyle w:val="70"/>
          <w:rFonts w:ascii="宋体"/>
          <w:color w:val="auto"/>
          <w:sz w:val="24"/>
          <w:szCs w:val="24"/>
        </w:rPr>
        <w:t>的供餐服务。</w:t>
      </w:r>
    </w:p>
    <w:p w14:paraId="0347D429">
      <w:pPr>
        <w:numPr>
          <w:ilvl w:val="0"/>
          <w:numId w:val="44"/>
        </w:numPr>
        <w:snapToGrid w:val="0"/>
        <w:spacing w:line="360" w:lineRule="auto"/>
        <w:ind w:left="0" w:leftChars="0" w:firstLine="420" w:firstLineChars="0"/>
        <w:rPr>
          <w:rStyle w:val="70"/>
          <w:rFonts w:ascii="宋体"/>
          <w:b/>
          <w:color w:val="auto"/>
          <w:sz w:val="24"/>
          <w:szCs w:val="24"/>
        </w:rPr>
      </w:pPr>
      <w:r>
        <w:rPr>
          <w:rStyle w:val="70"/>
          <w:rFonts w:ascii="宋体"/>
          <w:b/>
          <w:color w:val="auto"/>
          <w:sz w:val="24"/>
          <w:szCs w:val="24"/>
        </w:rPr>
        <w:t>人员配备要求</w:t>
      </w:r>
    </w:p>
    <w:p w14:paraId="2F1A646A">
      <w:pPr>
        <w:numPr>
          <w:ilvl w:val="0"/>
          <w:numId w:val="46"/>
        </w:numPr>
        <w:snapToGrid w:val="0"/>
        <w:spacing w:line="360" w:lineRule="auto"/>
        <w:ind w:left="0" w:leftChars="0" w:firstLine="482" w:firstLineChars="200"/>
        <w:rPr>
          <w:rStyle w:val="70"/>
          <w:rFonts w:ascii="宋体" w:hAnsi="宋体"/>
          <w:b/>
          <w:bCs/>
          <w:color w:val="auto"/>
          <w:sz w:val="24"/>
          <w:szCs w:val="24"/>
          <w:highlight w:val="none"/>
        </w:rPr>
      </w:pPr>
      <w:r>
        <w:rPr>
          <w:rFonts w:hint="eastAsia" w:ascii="宋体" w:hAnsi="宋体" w:eastAsia="宋体" w:cs="宋体"/>
          <w:b/>
          <w:bCs/>
          <w:color w:val="auto"/>
          <w:sz w:val="24"/>
          <w:szCs w:val="24"/>
          <w:highlight w:val="none"/>
        </w:rPr>
        <w:t>▲</w:t>
      </w:r>
      <w:r>
        <w:rPr>
          <w:rStyle w:val="70"/>
          <w:rFonts w:ascii="宋体" w:hAnsi="宋体"/>
          <w:b/>
          <w:bCs/>
          <w:color w:val="auto"/>
          <w:sz w:val="24"/>
          <w:szCs w:val="24"/>
          <w:highlight w:val="none"/>
        </w:rPr>
        <w:t>工作人员总人数</w:t>
      </w:r>
      <w:r>
        <w:rPr>
          <w:rStyle w:val="70"/>
          <w:rFonts w:hint="eastAsia" w:ascii="宋体" w:hAnsi="宋体"/>
          <w:b/>
          <w:bCs/>
          <w:color w:val="auto"/>
          <w:sz w:val="24"/>
          <w:szCs w:val="24"/>
          <w:highlight w:val="none"/>
        </w:rPr>
        <w:t>：</w:t>
      </w:r>
      <w:r>
        <w:rPr>
          <w:rStyle w:val="70"/>
          <w:rFonts w:hint="eastAsia" w:ascii="宋体" w:hAnsi="宋体"/>
          <w:b/>
          <w:bCs/>
          <w:color w:val="auto"/>
          <w:sz w:val="24"/>
          <w:szCs w:val="24"/>
          <w:highlight w:val="none"/>
          <w:lang w:val="en-US"/>
        </w:rPr>
        <w:t>不少于1</w:t>
      </w:r>
      <w:r>
        <w:rPr>
          <w:rStyle w:val="70"/>
          <w:rFonts w:hint="eastAsia" w:ascii="宋体" w:hAnsi="宋体"/>
          <w:b/>
          <w:bCs/>
          <w:color w:val="auto"/>
          <w:sz w:val="24"/>
          <w:szCs w:val="24"/>
          <w:highlight w:val="none"/>
          <w:lang w:val="en-US" w:eastAsia="zh-CN"/>
        </w:rPr>
        <w:t>3</w:t>
      </w:r>
      <w:r>
        <w:rPr>
          <w:rStyle w:val="70"/>
          <w:rFonts w:hint="eastAsia" w:ascii="宋体" w:hAnsi="宋体"/>
          <w:b/>
          <w:bCs/>
          <w:color w:val="auto"/>
          <w:sz w:val="24"/>
          <w:szCs w:val="24"/>
          <w:highlight w:val="none"/>
          <w:lang w:val="en-US"/>
        </w:rPr>
        <w:t>人。其中，</w:t>
      </w:r>
      <w:r>
        <w:rPr>
          <w:rStyle w:val="70"/>
          <w:rFonts w:ascii="宋体" w:hAnsi="宋体"/>
          <w:b/>
          <w:bCs/>
          <w:color w:val="auto"/>
          <w:sz w:val="24"/>
          <w:szCs w:val="24"/>
          <w:highlight w:val="none"/>
        </w:rPr>
        <w:t>项目经理1名，厨师</w:t>
      </w:r>
      <w:r>
        <w:rPr>
          <w:rStyle w:val="70"/>
          <w:rFonts w:hint="eastAsia" w:ascii="宋体" w:hAnsi="宋体"/>
          <w:b/>
          <w:bCs/>
          <w:color w:val="auto"/>
          <w:sz w:val="24"/>
          <w:szCs w:val="24"/>
          <w:highlight w:val="none"/>
          <w:lang w:val="en-US"/>
        </w:rPr>
        <w:t>1</w:t>
      </w:r>
      <w:r>
        <w:rPr>
          <w:rStyle w:val="70"/>
          <w:rFonts w:ascii="宋体" w:hAnsi="宋体"/>
          <w:b/>
          <w:bCs/>
          <w:color w:val="auto"/>
          <w:sz w:val="24"/>
          <w:szCs w:val="24"/>
          <w:highlight w:val="none"/>
        </w:rPr>
        <w:t>名</w:t>
      </w:r>
      <w:r>
        <w:rPr>
          <w:rStyle w:val="70"/>
          <w:rFonts w:hint="eastAsia" w:ascii="宋体" w:hAnsi="宋体"/>
          <w:b/>
          <w:bCs/>
          <w:color w:val="auto"/>
          <w:sz w:val="24"/>
          <w:szCs w:val="24"/>
          <w:highlight w:val="none"/>
        </w:rPr>
        <w:t>，</w:t>
      </w:r>
      <w:r>
        <w:rPr>
          <w:rStyle w:val="70"/>
          <w:rFonts w:hint="eastAsia" w:ascii="宋体" w:hAnsi="宋体"/>
          <w:b/>
          <w:bCs/>
          <w:color w:val="auto"/>
          <w:sz w:val="24"/>
          <w:szCs w:val="24"/>
          <w:highlight w:val="none"/>
          <w:lang w:val="en-US"/>
        </w:rPr>
        <w:t>面点师1人</w:t>
      </w:r>
      <w:r>
        <w:rPr>
          <w:rStyle w:val="70"/>
          <w:rFonts w:hint="eastAsia" w:ascii="宋体" w:hAnsi="宋体"/>
          <w:b/>
          <w:bCs/>
          <w:color w:val="auto"/>
          <w:sz w:val="24"/>
          <w:szCs w:val="24"/>
          <w:highlight w:val="none"/>
        </w:rPr>
        <w:t>。</w:t>
      </w:r>
    </w:p>
    <w:p w14:paraId="1D89D706">
      <w:pPr>
        <w:numPr>
          <w:ilvl w:val="0"/>
          <w:numId w:val="46"/>
        </w:numPr>
        <w:snapToGrid w:val="0"/>
        <w:spacing w:line="360" w:lineRule="auto"/>
        <w:ind w:left="0" w:leftChars="0" w:firstLine="480" w:firstLineChars="200"/>
        <w:rPr>
          <w:rStyle w:val="70"/>
          <w:rFonts w:ascii="宋体" w:hAnsi="宋体"/>
          <w:color w:val="auto"/>
          <w:sz w:val="24"/>
          <w:szCs w:val="24"/>
        </w:rPr>
      </w:pPr>
      <w:r>
        <w:rPr>
          <w:rStyle w:val="70"/>
          <w:rFonts w:hint="eastAsia" w:ascii="宋体" w:hAnsi="宋体"/>
          <w:color w:val="auto"/>
          <w:sz w:val="24"/>
          <w:szCs w:val="24"/>
        </w:rPr>
        <w:t>中标人</w:t>
      </w:r>
      <w:r>
        <w:rPr>
          <w:rStyle w:val="70"/>
          <w:rFonts w:ascii="宋体" w:hAnsi="宋体"/>
          <w:color w:val="auto"/>
          <w:sz w:val="24"/>
          <w:szCs w:val="24"/>
        </w:rPr>
        <w:t>工作人员必须进行岗前培训，并取得“预防性健康体检合格证”后，方可上岗。“预防性健康体检合格证”办理费用由承包方自行负责。</w:t>
      </w:r>
    </w:p>
    <w:p w14:paraId="2D38532B">
      <w:pPr>
        <w:numPr>
          <w:ilvl w:val="0"/>
          <w:numId w:val="46"/>
        </w:numPr>
        <w:snapToGrid w:val="0"/>
        <w:spacing w:line="360" w:lineRule="auto"/>
        <w:ind w:left="0" w:leftChars="0" w:firstLine="480" w:firstLineChars="200"/>
        <w:rPr>
          <w:color w:val="auto"/>
        </w:rPr>
      </w:pPr>
      <w:r>
        <w:rPr>
          <w:rStyle w:val="70"/>
          <w:rFonts w:ascii="宋体" w:hAnsi="宋体"/>
          <w:color w:val="auto"/>
          <w:sz w:val="24"/>
          <w:szCs w:val="24"/>
        </w:rPr>
        <w:t>员工中有外来务工人员的，必须具有公安部门核发的临时居住证等相关证件。</w:t>
      </w:r>
    </w:p>
    <w:p w14:paraId="28627A73">
      <w:pPr>
        <w:pStyle w:val="2"/>
        <w:numPr>
          <w:ilvl w:val="0"/>
          <w:numId w:val="46"/>
        </w:numPr>
        <w:spacing w:line="360" w:lineRule="auto"/>
        <w:ind w:left="0" w:leftChars="0" w:firstLine="480" w:firstLineChars="200"/>
        <w:rPr>
          <w:rFonts w:hint="default"/>
          <w:color w:val="auto"/>
          <w:lang w:val="en-US"/>
        </w:rPr>
      </w:pPr>
      <w:r>
        <w:rPr>
          <w:rStyle w:val="70"/>
          <w:rFonts w:hint="eastAsia" w:ascii="宋体" w:hAnsi="宋体"/>
          <w:color w:val="auto"/>
          <w:sz w:val="24"/>
          <w:szCs w:val="24"/>
          <w:lang w:val="en-US"/>
        </w:rPr>
        <w:t>工作人员无心理疾病、本人及家人无犯罪记录，以及其他不适宜学校工作的情形。</w:t>
      </w:r>
    </w:p>
    <w:p w14:paraId="6484A18F">
      <w:pPr>
        <w:numPr>
          <w:ilvl w:val="0"/>
          <w:numId w:val="44"/>
        </w:numPr>
        <w:snapToGrid w:val="0"/>
        <w:spacing w:line="360" w:lineRule="auto"/>
        <w:ind w:left="0" w:leftChars="0" w:firstLine="420" w:firstLineChars="0"/>
        <w:rPr>
          <w:rStyle w:val="70"/>
          <w:rFonts w:ascii="宋体"/>
          <w:b/>
          <w:color w:val="auto"/>
          <w:sz w:val="24"/>
          <w:szCs w:val="24"/>
        </w:rPr>
      </w:pPr>
      <w:r>
        <w:rPr>
          <w:rStyle w:val="70"/>
          <w:rFonts w:ascii="宋体"/>
          <w:b/>
          <w:color w:val="auto"/>
          <w:sz w:val="24"/>
          <w:szCs w:val="24"/>
        </w:rPr>
        <w:t>项目管理要求</w:t>
      </w:r>
    </w:p>
    <w:p w14:paraId="1D1D8F3B">
      <w:pPr>
        <w:numPr>
          <w:ilvl w:val="0"/>
          <w:numId w:val="47"/>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项目需推行“五常法”或“四D”、阳光厨房、色标等管理，食堂墙面上需要张贴明显标识，积极实施食品配送、定点采购工程。</w:t>
      </w:r>
    </w:p>
    <w:p w14:paraId="5FCC9E77">
      <w:pPr>
        <w:numPr>
          <w:ilvl w:val="0"/>
          <w:numId w:val="47"/>
        </w:numPr>
        <w:snapToGrid w:val="0"/>
        <w:spacing w:line="360" w:lineRule="auto"/>
        <w:ind w:left="0" w:leftChars="0" w:firstLine="480" w:firstLineChars="200"/>
        <w:rPr>
          <w:rStyle w:val="70"/>
          <w:rFonts w:ascii="宋体" w:hAnsi="宋体"/>
          <w:color w:val="auto"/>
          <w:sz w:val="24"/>
          <w:szCs w:val="24"/>
        </w:rPr>
      </w:pPr>
      <w:r>
        <w:rPr>
          <w:rStyle w:val="70"/>
          <w:rFonts w:hint="eastAsia" w:ascii="宋体" w:hAnsi="宋体"/>
          <w:color w:val="auto"/>
          <w:sz w:val="24"/>
          <w:szCs w:val="24"/>
        </w:rPr>
        <w:t>中标人</w:t>
      </w:r>
      <w:r>
        <w:rPr>
          <w:rStyle w:val="70"/>
          <w:rFonts w:ascii="宋体" w:hAnsi="宋体"/>
          <w:color w:val="auto"/>
          <w:sz w:val="24"/>
          <w:szCs w:val="24"/>
        </w:rPr>
        <w:t>必须按照《</w:t>
      </w:r>
      <w:r>
        <w:rPr>
          <w:rStyle w:val="70"/>
          <w:rFonts w:hint="eastAsia" w:ascii="宋体" w:hAnsi="宋体"/>
          <w:color w:val="auto"/>
          <w:sz w:val="24"/>
          <w:szCs w:val="24"/>
          <w:lang w:eastAsia="zh-CN"/>
        </w:rPr>
        <w:t>中华人民共和国劳动法》《中华人民共和国劳动合同法</w:t>
      </w:r>
      <w:r>
        <w:rPr>
          <w:rStyle w:val="70"/>
          <w:rFonts w:ascii="宋体" w:hAnsi="宋体"/>
          <w:color w:val="auto"/>
          <w:sz w:val="24"/>
          <w:szCs w:val="24"/>
        </w:rPr>
        <w:t>》的规定合法规范用工，并全面承担工作人员涉及劳动关系的所有事宜。</w:t>
      </w:r>
    </w:p>
    <w:p w14:paraId="3C26FA26">
      <w:pPr>
        <w:numPr>
          <w:ilvl w:val="0"/>
          <w:numId w:val="47"/>
        </w:numPr>
        <w:snapToGrid w:val="0"/>
        <w:spacing w:line="360" w:lineRule="auto"/>
        <w:ind w:left="0" w:leftChars="0" w:firstLine="480" w:firstLineChars="200"/>
        <w:rPr>
          <w:rStyle w:val="70"/>
          <w:rFonts w:ascii="宋体" w:hAnsi="宋体"/>
          <w:color w:val="auto"/>
          <w:sz w:val="24"/>
          <w:szCs w:val="24"/>
        </w:rPr>
      </w:pPr>
      <w:r>
        <w:rPr>
          <w:rStyle w:val="70"/>
          <w:rFonts w:hint="eastAsia" w:ascii="宋体" w:hAnsi="宋体"/>
          <w:color w:val="auto"/>
          <w:sz w:val="24"/>
          <w:szCs w:val="24"/>
        </w:rPr>
        <w:t>中标人</w:t>
      </w:r>
      <w:r>
        <w:rPr>
          <w:rStyle w:val="70"/>
          <w:rFonts w:ascii="宋体" w:hAnsi="宋体"/>
          <w:color w:val="auto"/>
          <w:sz w:val="24"/>
          <w:szCs w:val="24"/>
        </w:rPr>
        <w:t>应了解工作人员的思想动态、工作表现、遵纪情况以及</w:t>
      </w:r>
      <w:r>
        <w:rPr>
          <w:rStyle w:val="70"/>
          <w:rFonts w:hint="eastAsia" w:ascii="宋体" w:hAnsi="宋体"/>
          <w:color w:val="auto"/>
          <w:sz w:val="24"/>
          <w:szCs w:val="24"/>
        </w:rPr>
        <w:t>采购人</w:t>
      </w:r>
      <w:r>
        <w:rPr>
          <w:rStyle w:val="70"/>
          <w:rFonts w:ascii="宋体" w:hAnsi="宋体"/>
          <w:color w:val="auto"/>
          <w:sz w:val="24"/>
          <w:szCs w:val="24"/>
        </w:rPr>
        <w:t>其他合理要求，提供最佳服务。</w:t>
      </w:r>
    </w:p>
    <w:p w14:paraId="286FBFE4">
      <w:pPr>
        <w:numPr>
          <w:ilvl w:val="0"/>
          <w:numId w:val="47"/>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根据</w:t>
      </w:r>
      <w:r>
        <w:rPr>
          <w:rStyle w:val="70"/>
          <w:rFonts w:hint="eastAsia" w:ascii="宋体" w:hAnsi="宋体"/>
          <w:color w:val="auto"/>
          <w:sz w:val="24"/>
          <w:szCs w:val="24"/>
        </w:rPr>
        <w:t>采购人</w:t>
      </w:r>
      <w:r>
        <w:rPr>
          <w:rStyle w:val="70"/>
          <w:rFonts w:ascii="宋体" w:hAnsi="宋体"/>
          <w:color w:val="auto"/>
          <w:sz w:val="24"/>
          <w:szCs w:val="24"/>
        </w:rPr>
        <w:t>的服务要求设定工作岗位，分配工作任务，并对工作人员的工作情况实行监督、检查、考核管理。</w:t>
      </w:r>
    </w:p>
    <w:p w14:paraId="107B8B8F">
      <w:pPr>
        <w:numPr>
          <w:ilvl w:val="0"/>
          <w:numId w:val="47"/>
        </w:numPr>
        <w:snapToGrid w:val="0"/>
        <w:spacing w:line="360" w:lineRule="auto"/>
        <w:ind w:left="0" w:leftChars="0" w:firstLine="480" w:firstLineChars="200"/>
        <w:rPr>
          <w:rStyle w:val="70"/>
          <w:rFonts w:ascii="宋体" w:hAnsi="宋体"/>
          <w:color w:val="auto"/>
          <w:sz w:val="24"/>
          <w:szCs w:val="24"/>
        </w:rPr>
      </w:pPr>
      <w:r>
        <w:rPr>
          <w:rStyle w:val="70"/>
          <w:rFonts w:hint="eastAsia" w:ascii="宋体" w:hAnsi="宋体"/>
          <w:color w:val="auto"/>
          <w:sz w:val="24"/>
          <w:szCs w:val="24"/>
        </w:rPr>
        <w:t>中标人</w:t>
      </w:r>
      <w:r>
        <w:rPr>
          <w:rStyle w:val="70"/>
          <w:rFonts w:ascii="宋体" w:hAnsi="宋体"/>
          <w:color w:val="auto"/>
          <w:sz w:val="24"/>
          <w:szCs w:val="24"/>
        </w:rPr>
        <w:t>工作人员应遵守</w:t>
      </w:r>
      <w:r>
        <w:rPr>
          <w:rStyle w:val="70"/>
          <w:rFonts w:hint="eastAsia" w:ascii="宋体" w:hAnsi="宋体"/>
          <w:color w:val="auto"/>
          <w:sz w:val="24"/>
          <w:szCs w:val="24"/>
        </w:rPr>
        <w:t>采购人</w:t>
      </w:r>
      <w:r>
        <w:rPr>
          <w:rStyle w:val="70"/>
          <w:rFonts w:ascii="宋体" w:hAnsi="宋体"/>
          <w:color w:val="auto"/>
          <w:sz w:val="24"/>
          <w:szCs w:val="24"/>
        </w:rPr>
        <w:t>的规章制度。</w:t>
      </w:r>
    </w:p>
    <w:p w14:paraId="265C93C3">
      <w:pPr>
        <w:numPr>
          <w:ilvl w:val="0"/>
          <w:numId w:val="47"/>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工作人员应相对稳定，主要管理岗位人员如需调动需提前征求</w:t>
      </w:r>
      <w:r>
        <w:rPr>
          <w:rStyle w:val="70"/>
          <w:rFonts w:hint="eastAsia" w:ascii="宋体" w:hAnsi="宋体"/>
          <w:color w:val="auto"/>
          <w:sz w:val="24"/>
          <w:szCs w:val="24"/>
        </w:rPr>
        <w:t>采购人</w:t>
      </w:r>
      <w:r>
        <w:rPr>
          <w:rStyle w:val="70"/>
          <w:rFonts w:ascii="宋体" w:hAnsi="宋体"/>
          <w:color w:val="auto"/>
          <w:sz w:val="24"/>
          <w:szCs w:val="24"/>
        </w:rPr>
        <w:t>意见。</w:t>
      </w:r>
    </w:p>
    <w:p w14:paraId="576B43D3">
      <w:pPr>
        <w:numPr>
          <w:ilvl w:val="0"/>
          <w:numId w:val="47"/>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按相关规定建立健全各项规章制度、岗位责任制、操作规程和各项台账。</w:t>
      </w:r>
    </w:p>
    <w:p w14:paraId="343A7412">
      <w:pPr>
        <w:numPr>
          <w:ilvl w:val="0"/>
          <w:numId w:val="47"/>
        </w:numPr>
        <w:snapToGrid w:val="0"/>
        <w:spacing w:line="360" w:lineRule="auto"/>
        <w:ind w:left="0" w:leftChars="0" w:firstLine="480" w:firstLineChars="200"/>
        <w:rPr>
          <w:rStyle w:val="70"/>
          <w:rFonts w:ascii="宋体" w:hAnsi="宋体"/>
          <w:color w:val="auto"/>
          <w:sz w:val="24"/>
          <w:szCs w:val="24"/>
          <w:u w:val="single" w:color="000000"/>
        </w:rPr>
      </w:pPr>
      <w:r>
        <w:rPr>
          <w:rStyle w:val="70"/>
          <w:rFonts w:hint="eastAsia" w:ascii="宋体" w:hAnsi="宋体"/>
          <w:color w:val="auto"/>
          <w:sz w:val="24"/>
          <w:szCs w:val="24"/>
          <w:u w:val="none" w:color="auto"/>
        </w:rPr>
        <w:t>中标人</w:t>
      </w:r>
      <w:r>
        <w:rPr>
          <w:rStyle w:val="70"/>
          <w:rFonts w:ascii="宋体" w:hAnsi="宋体"/>
          <w:color w:val="auto"/>
          <w:sz w:val="24"/>
          <w:szCs w:val="24"/>
          <w:u w:val="none" w:color="auto"/>
        </w:rPr>
        <w:t>根据岗位统一着工作制服，工作服装的选择由</w:t>
      </w:r>
      <w:r>
        <w:rPr>
          <w:rStyle w:val="70"/>
          <w:rFonts w:hint="eastAsia" w:ascii="宋体" w:hAnsi="宋体"/>
          <w:color w:val="auto"/>
          <w:sz w:val="24"/>
          <w:szCs w:val="24"/>
          <w:u w:val="none" w:color="auto"/>
        </w:rPr>
        <w:t>中标人</w:t>
      </w:r>
      <w:r>
        <w:rPr>
          <w:rStyle w:val="70"/>
          <w:rFonts w:ascii="宋体" w:hAnsi="宋体"/>
          <w:color w:val="auto"/>
          <w:sz w:val="24"/>
          <w:szCs w:val="24"/>
          <w:u w:val="none" w:color="auto"/>
        </w:rPr>
        <w:t>提供选型经</w:t>
      </w:r>
      <w:r>
        <w:rPr>
          <w:rStyle w:val="70"/>
          <w:rFonts w:hint="eastAsia" w:ascii="宋体" w:hAnsi="宋体"/>
          <w:color w:val="auto"/>
          <w:sz w:val="24"/>
          <w:szCs w:val="24"/>
          <w:u w:val="none" w:color="auto"/>
        </w:rPr>
        <w:t>采购人</w:t>
      </w:r>
      <w:r>
        <w:rPr>
          <w:rStyle w:val="70"/>
          <w:rFonts w:ascii="宋体" w:hAnsi="宋体"/>
          <w:color w:val="auto"/>
          <w:sz w:val="24"/>
          <w:szCs w:val="24"/>
          <w:u w:val="none" w:color="auto"/>
        </w:rPr>
        <w:t>确认。</w:t>
      </w:r>
    </w:p>
    <w:p w14:paraId="02428934">
      <w:pPr>
        <w:numPr>
          <w:ilvl w:val="0"/>
          <w:numId w:val="47"/>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工作人员不得捎带学校外部人员在校内食堂就餐。严禁工作人员将剩余饭菜打包带出校外。</w:t>
      </w:r>
    </w:p>
    <w:p w14:paraId="3155BC61">
      <w:pPr>
        <w:numPr>
          <w:ilvl w:val="0"/>
          <w:numId w:val="47"/>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员工保险要求</w:t>
      </w:r>
    </w:p>
    <w:p w14:paraId="0C82E539">
      <w:pPr>
        <w:numPr>
          <w:ilvl w:val="0"/>
          <w:numId w:val="48"/>
        </w:numPr>
        <w:snapToGrid w:val="0"/>
        <w:spacing w:line="360" w:lineRule="auto"/>
        <w:ind w:left="845" w:leftChars="0" w:hanging="425" w:firstLineChars="0"/>
        <w:rPr>
          <w:rStyle w:val="70"/>
          <w:rFonts w:ascii="宋体" w:hAnsi="宋体"/>
          <w:color w:val="auto"/>
          <w:sz w:val="24"/>
          <w:szCs w:val="24"/>
        </w:rPr>
      </w:pPr>
      <w:r>
        <w:rPr>
          <w:rStyle w:val="70"/>
          <w:rFonts w:ascii="宋体" w:hAnsi="宋体"/>
          <w:color w:val="auto"/>
          <w:sz w:val="24"/>
          <w:szCs w:val="24"/>
        </w:rPr>
        <w:t>员工人身意外险：在承包期内，</w:t>
      </w:r>
      <w:r>
        <w:rPr>
          <w:rStyle w:val="70"/>
          <w:rFonts w:hint="eastAsia" w:ascii="宋体" w:hAnsi="宋体"/>
          <w:color w:val="auto"/>
          <w:sz w:val="24"/>
          <w:szCs w:val="24"/>
        </w:rPr>
        <w:t>中标人</w:t>
      </w:r>
      <w:r>
        <w:rPr>
          <w:rStyle w:val="70"/>
          <w:rFonts w:ascii="宋体" w:hAnsi="宋体"/>
          <w:color w:val="auto"/>
          <w:sz w:val="24"/>
          <w:szCs w:val="24"/>
        </w:rPr>
        <w:t>所有工作人员的事故由</w:t>
      </w:r>
      <w:r>
        <w:rPr>
          <w:rStyle w:val="70"/>
          <w:rFonts w:hint="eastAsia" w:ascii="宋体" w:hAnsi="宋体"/>
          <w:color w:val="auto"/>
          <w:sz w:val="24"/>
          <w:szCs w:val="24"/>
        </w:rPr>
        <w:t>中标人</w:t>
      </w:r>
      <w:r>
        <w:rPr>
          <w:rStyle w:val="70"/>
          <w:rFonts w:ascii="宋体" w:hAnsi="宋体"/>
          <w:color w:val="auto"/>
          <w:sz w:val="24"/>
          <w:szCs w:val="24"/>
        </w:rPr>
        <w:t>自行全权负责（</w:t>
      </w:r>
      <w:r>
        <w:rPr>
          <w:rStyle w:val="70"/>
          <w:rFonts w:hint="eastAsia" w:ascii="宋体" w:hAnsi="宋体"/>
          <w:color w:val="auto"/>
          <w:sz w:val="24"/>
          <w:szCs w:val="24"/>
        </w:rPr>
        <w:t>中标人</w:t>
      </w:r>
      <w:r>
        <w:rPr>
          <w:rStyle w:val="70"/>
          <w:rFonts w:ascii="宋体" w:hAnsi="宋体"/>
          <w:color w:val="auto"/>
          <w:sz w:val="24"/>
          <w:szCs w:val="24"/>
        </w:rPr>
        <w:t>对其员工投保人身意外险），及时为进场人员投保第三者责任险并及时向</w:t>
      </w:r>
      <w:r>
        <w:rPr>
          <w:rStyle w:val="70"/>
          <w:rFonts w:hint="eastAsia" w:ascii="宋体" w:hAnsi="宋体"/>
          <w:color w:val="auto"/>
          <w:sz w:val="24"/>
          <w:szCs w:val="24"/>
        </w:rPr>
        <w:t>采购人</w:t>
      </w:r>
      <w:r>
        <w:rPr>
          <w:rStyle w:val="70"/>
          <w:rFonts w:ascii="宋体" w:hAnsi="宋体"/>
          <w:color w:val="auto"/>
          <w:sz w:val="24"/>
          <w:szCs w:val="24"/>
        </w:rPr>
        <w:t>出示保险凭证。</w:t>
      </w:r>
    </w:p>
    <w:p w14:paraId="547C4C7F">
      <w:pPr>
        <w:numPr>
          <w:ilvl w:val="0"/>
          <w:numId w:val="48"/>
        </w:numPr>
        <w:snapToGrid w:val="0"/>
        <w:spacing w:line="360" w:lineRule="auto"/>
        <w:ind w:left="845" w:leftChars="0" w:hanging="425" w:firstLineChars="0"/>
        <w:rPr>
          <w:rStyle w:val="70"/>
          <w:rFonts w:ascii="宋体" w:hAnsi="宋体"/>
          <w:color w:val="auto"/>
          <w:sz w:val="24"/>
          <w:szCs w:val="24"/>
        </w:rPr>
      </w:pPr>
      <w:r>
        <w:rPr>
          <w:rStyle w:val="70"/>
          <w:rFonts w:ascii="宋体" w:hAnsi="宋体"/>
          <w:color w:val="auto"/>
          <w:sz w:val="24"/>
          <w:szCs w:val="24"/>
        </w:rPr>
        <w:t>其他保险及费用：</w:t>
      </w:r>
      <w:r>
        <w:rPr>
          <w:rStyle w:val="70"/>
          <w:rFonts w:hint="eastAsia" w:ascii="宋体" w:hAnsi="宋体"/>
          <w:color w:val="auto"/>
          <w:sz w:val="24"/>
          <w:szCs w:val="24"/>
        </w:rPr>
        <w:t>中标人</w:t>
      </w:r>
      <w:r>
        <w:rPr>
          <w:rStyle w:val="70"/>
          <w:rFonts w:ascii="宋体" w:hAnsi="宋体"/>
          <w:color w:val="auto"/>
          <w:sz w:val="24"/>
          <w:szCs w:val="24"/>
        </w:rPr>
        <w:t>应按政府各部门有关规定为全体工作人员交纳所有相关的社会保险及其他相关费用。</w:t>
      </w:r>
      <w:r>
        <w:rPr>
          <w:rStyle w:val="70"/>
          <w:rFonts w:hint="eastAsia" w:ascii="宋体" w:hAnsi="宋体"/>
          <w:color w:val="auto"/>
          <w:sz w:val="24"/>
          <w:szCs w:val="24"/>
        </w:rPr>
        <w:t>中标人</w:t>
      </w:r>
      <w:r>
        <w:rPr>
          <w:rStyle w:val="70"/>
          <w:rFonts w:ascii="宋体" w:hAnsi="宋体"/>
          <w:color w:val="auto"/>
          <w:sz w:val="24"/>
          <w:szCs w:val="24"/>
        </w:rPr>
        <w:t>应对此全权负责。</w:t>
      </w:r>
    </w:p>
    <w:p w14:paraId="25C5FE90">
      <w:pPr>
        <w:numPr>
          <w:ilvl w:val="0"/>
          <w:numId w:val="44"/>
        </w:numPr>
        <w:snapToGrid w:val="0"/>
        <w:spacing w:line="360" w:lineRule="auto"/>
        <w:ind w:left="0" w:leftChars="0" w:firstLine="420" w:firstLineChars="0"/>
        <w:rPr>
          <w:rStyle w:val="70"/>
          <w:rFonts w:ascii="宋体"/>
          <w:b/>
          <w:color w:val="auto"/>
          <w:sz w:val="24"/>
          <w:szCs w:val="24"/>
        </w:rPr>
      </w:pPr>
      <w:r>
        <w:rPr>
          <w:rStyle w:val="70"/>
          <w:rFonts w:ascii="宋体"/>
          <w:b/>
          <w:color w:val="auto"/>
          <w:sz w:val="24"/>
          <w:szCs w:val="24"/>
        </w:rPr>
        <w:t>卫生管理要求</w:t>
      </w:r>
    </w:p>
    <w:p w14:paraId="2AE6BC94">
      <w:pPr>
        <w:numPr>
          <w:ilvl w:val="0"/>
          <w:numId w:val="49"/>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配备卫生负责人，负责全面卫生管理工作。食堂管理须达到餐饮服务食品安全监督量化分级管理的B级标准。</w:t>
      </w:r>
    </w:p>
    <w:p w14:paraId="06E6AC51">
      <w:pPr>
        <w:numPr>
          <w:ilvl w:val="0"/>
          <w:numId w:val="49"/>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食堂的厨房、餐厅、包厢等所有区域的卫生应按“五常法”或“四D”管理模式、色标管理模式，实行分层负责，定置、定量、定位、定进出、定标识、责任到人。</w:t>
      </w:r>
    </w:p>
    <w:p w14:paraId="1053C702">
      <w:pPr>
        <w:numPr>
          <w:ilvl w:val="0"/>
          <w:numId w:val="49"/>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做好食堂卫生管理工作，积极有效地预防食物中毒和食源性疾病的发生，确保师生平安。严格按照《中华人民共和国食品安全法》验收、清洗、加工要求制作食品，厨房用品用具严格实行一洗二过三消毒的规程。</w:t>
      </w:r>
    </w:p>
    <w:p w14:paraId="165A26CF">
      <w:pPr>
        <w:numPr>
          <w:ilvl w:val="0"/>
          <w:numId w:val="49"/>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工作人员必须有良好的卫生习惯，每年必须参加体检，持证上岗。工作期间，工作衣、帽整洁统一，工号、口罩佩戴到位。</w:t>
      </w:r>
    </w:p>
    <w:p w14:paraId="6244DAED">
      <w:pPr>
        <w:numPr>
          <w:ilvl w:val="0"/>
          <w:numId w:val="49"/>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自觉接受卫生管理部门和</w:t>
      </w:r>
      <w:r>
        <w:rPr>
          <w:rStyle w:val="70"/>
          <w:rFonts w:hint="eastAsia" w:ascii="宋体" w:hAnsi="宋体"/>
          <w:color w:val="auto"/>
          <w:sz w:val="24"/>
          <w:szCs w:val="24"/>
        </w:rPr>
        <w:t>采购人</w:t>
      </w:r>
      <w:r>
        <w:rPr>
          <w:rStyle w:val="70"/>
          <w:rFonts w:ascii="宋体" w:hAnsi="宋体"/>
          <w:color w:val="auto"/>
          <w:sz w:val="24"/>
          <w:szCs w:val="24"/>
        </w:rPr>
        <w:t>管理人员对食堂内工作检查、监督。</w:t>
      </w:r>
    </w:p>
    <w:p w14:paraId="74FD078D">
      <w:pPr>
        <w:numPr>
          <w:ilvl w:val="0"/>
          <w:numId w:val="49"/>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按相关规定做好垃圾处置工作，垃圾污物应按指定地点分类放置，不得随意弃放。</w:t>
      </w:r>
    </w:p>
    <w:p w14:paraId="774C4768">
      <w:pPr>
        <w:numPr>
          <w:ilvl w:val="0"/>
          <w:numId w:val="49"/>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做好食堂区域内日常除“四害”工作，做好病原体和传染病防治工作。</w:t>
      </w:r>
    </w:p>
    <w:p w14:paraId="5150B739">
      <w:pPr>
        <w:numPr>
          <w:ilvl w:val="0"/>
          <w:numId w:val="44"/>
        </w:numPr>
        <w:snapToGrid w:val="0"/>
        <w:spacing w:line="360" w:lineRule="auto"/>
        <w:ind w:left="0" w:leftChars="0" w:firstLine="420" w:firstLineChars="0"/>
        <w:rPr>
          <w:rStyle w:val="70"/>
          <w:rFonts w:ascii="宋体"/>
          <w:b/>
          <w:color w:val="auto"/>
          <w:sz w:val="24"/>
          <w:szCs w:val="24"/>
        </w:rPr>
      </w:pPr>
      <w:r>
        <w:rPr>
          <w:rStyle w:val="70"/>
          <w:rFonts w:ascii="宋体"/>
          <w:b/>
          <w:color w:val="auto"/>
          <w:sz w:val="24"/>
          <w:szCs w:val="24"/>
        </w:rPr>
        <w:t>安全管理要求</w:t>
      </w:r>
    </w:p>
    <w:p w14:paraId="0281D53F">
      <w:pPr>
        <w:numPr>
          <w:ilvl w:val="0"/>
          <w:numId w:val="50"/>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把好食材等物品进货验收质量关，严禁使用任何变质或受污染的原料制作食品，防止食物中毒事件发生。</w:t>
      </w:r>
    </w:p>
    <w:p w14:paraId="05FA52BD">
      <w:pPr>
        <w:numPr>
          <w:ilvl w:val="0"/>
          <w:numId w:val="50"/>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严格控制使用食品添加剂，注重食品卫生，防止食物中毒事件发生。</w:t>
      </w:r>
    </w:p>
    <w:p w14:paraId="7527163A">
      <w:pPr>
        <w:numPr>
          <w:ilvl w:val="0"/>
          <w:numId w:val="50"/>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严格执行索证制度、农药残留测试制度，预防食物中毒事件发生。</w:t>
      </w:r>
    </w:p>
    <w:p w14:paraId="38D8F87E">
      <w:pPr>
        <w:numPr>
          <w:ilvl w:val="0"/>
          <w:numId w:val="50"/>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严格遵守设备操作规程，防止发生人身设备安全事故。</w:t>
      </w:r>
    </w:p>
    <w:p w14:paraId="7EB8A023">
      <w:pPr>
        <w:numPr>
          <w:ilvl w:val="0"/>
          <w:numId w:val="50"/>
        </w:numPr>
        <w:snapToGrid w:val="0"/>
        <w:spacing w:line="360" w:lineRule="auto"/>
        <w:ind w:left="0" w:leftChars="0" w:firstLine="480" w:firstLineChars="200"/>
        <w:rPr>
          <w:rStyle w:val="70"/>
          <w:rFonts w:hint="eastAsia" w:ascii="宋体"/>
          <w:b/>
          <w:color w:val="auto"/>
          <w:sz w:val="24"/>
          <w:szCs w:val="24"/>
        </w:rPr>
      </w:pPr>
      <w:r>
        <w:rPr>
          <w:rStyle w:val="70"/>
          <w:rFonts w:ascii="宋体" w:hAnsi="宋体"/>
          <w:color w:val="auto"/>
          <w:sz w:val="24"/>
          <w:szCs w:val="24"/>
        </w:rPr>
        <w:t>下班后和设备使用完后落实关气、关电、关水、关门检查制度，预防火灾、偷盗事件发生。</w:t>
      </w:r>
    </w:p>
    <w:p w14:paraId="543A281D">
      <w:pPr>
        <w:numPr>
          <w:ilvl w:val="0"/>
          <w:numId w:val="44"/>
        </w:numPr>
        <w:snapToGrid w:val="0"/>
        <w:spacing w:line="360" w:lineRule="auto"/>
        <w:ind w:left="0" w:leftChars="0" w:firstLine="420" w:firstLineChars="0"/>
        <w:rPr>
          <w:rStyle w:val="70"/>
          <w:rFonts w:ascii="宋体"/>
          <w:b/>
          <w:color w:val="auto"/>
          <w:sz w:val="24"/>
          <w:szCs w:val="24"/>
        </w:rPr>
      </w:pPr>
      <w:r>
        <w:rPr>
          <w:rStyle w:val="70"/>
          <w:rFonts w:ascii="宋体"/>
          <w:b/>
          <w:color w:val="auto"/>
          <w:sz w:val="24"/>
          <w:szCs w:val="24"/>
        </w:rPr>
        <w:t>节能管理要求</w:t>
      </w:r>
    </w:p>
    <w:p w14:paraId="20E282A4">
      <w:pPr>
        <w:numPr>
          <w:ilvl w:val="0"/>
          <w:numId w:val="51"/>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 xml:space="preserve">餐厅在准备三餐期间要根据季节温度合理开启空调，要充分利用自然光，及时开关照明设备，就餐完毕后及时关闭所有空调电灯。                                                   </w:t>
      </w:r>
    </w:p>
    <w:p w14:paraId="67C1DDEC">
      <w:pPr>
        <w:numPr>
          <w:ilvl w:val="0"/>
          <w:numId w:val="51"/>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落实好“跑冒滴漏”管理制度，做到厨房在光线良好情况下不开灯，更衣间随手关灯，原料和餐具清洗完后应立即关闭水源。</w:t>
      </w:r>
    </w:p>
    <w:p w14:paraId="25724767">
      <w:pPr>
        <w:numPr>
          <w:ilvl w:val="0"/>
          <w:numId w:val="44"/>
        </w:numPr>
        <w:snapToGrid w:val="0"/>
        <w:spacing w:line="360" w:lineRule="auto"/>
        <w:ind w:left="0" w:leftChars="0" w:firstLine="420" w:firstLineChars="0"/>
        <w:rPr>
          <w:rStyle w:val="70"/>
          <w:rFonts w:ascii="宋体"/>
          <w:b/>
          <w:color w:val="auto"/>
          <w:sz w:val="24"/>
          <w:szCs w:val="24"/>
        </w:rPr>
      </w:pPr>
      <w:r>
        <w:rPr>
          <w:rStyle w:val="70"/>
          <w:rFonts w:ascii="宋体"/>
          <w:b/>
          <w:color w:val="auto"/>
          <w:sz w:val="24"/>
          <w:szCs w:val="24"/>
        </w:rPr>
        <w:t>成本管理要求</w:t>
      </w:r>
    </w:p>
    <w:p w14:paraId="786696A3">
      <w:pPr>
        <w:numPr>
          <w:ilvl w:val="0"/>
          <w:numId w:val="52"/>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加强成本核算。抓好餐饮原料、物料和能耗的综合管理工作，配合</w:t>
      </w:r>
      <w:r>
        <w:rPr>
          <w:rStyle w:val="70"/>
          <w:rFonts w:hint="eastAsia" w:ascii="宋体" w:hAnsi="宋体"/>
          <w:color w:val="auto"/>
          <w:sz w:val="24"/>
          <w:szCs w:val="24"/>
        </w:rPr>
        <w:t>采购人</w:t>
      </w:r>
      <w:r>
        <w:rPr>
          <w:rStyle w:val="70"/>
          <w:rFonts w:ascii="宋体" w:hAnsi="宋体"/>
          <w:color w:val="auto"/>
          <w:sz w:val="24"/>
          <w:szCs w:val="24"/>
        </w:rPr>
        <w:t>做好成本核算，实现每学期食堂的收支平衡目标，盈亏不得超过4%。</w:t>
      </w:r>
    </w:p>
    <w:p w14:paraId="12F19DB6">
      <w:pPr>
        <w:numPr>
          <w:ilvl w:val="0"/>
          <w:numId w:val="52"/>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精准数量统计。做好每日各品种菜肴的原料消耗数量、成品数量的统计；</w:t>
      </w:r>
    </w:p>
    <w:p w14:paraId="1000B210">
      <w:pPr>
        <w:numPr>
          <w:ilvl w:val="0"/>
          <w:numId w:val="52"/>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控制损耗浪费。结合食堂具体情况，在做好保障的基础上，抓好原材料损耗和能源消耗等加工成本的管控，抓好供需配比和成品浪费等成品和半成品的控制，努力降低损耗，提高绩效，力争代购代销食品无损耗，加工制作食品少损耗。</w:t>
      </w:r>
    </w:p>
    <w:p w14:paraId="0387C0F8">
      <w:pPr>
        <w:numPr>
          <w:ilvl w:val="0"/>
          <w:numId w:val="44"/>
        </w:numPr>
        <w:snapToGrid w:val="0"/>
        <w:spacing w:line="360" w:lineRule="auto"/>
        <w:ind w:left="0" w:leftChars="0" w:firstLine="420" w:firstLineChars="0"/>
        <w:rPr>
          <w:rStyle w:val="70"/>
          <w:rFonts w:ascii="宋体"/>
          <w:b/>
          <w:color w:val="auto"/>
          <w:sz w:val="24"/>
          <w:szCs w:val="24"/>
        </w:rPr>
      </w:pPr>
      <w:r>
        <w:rPr>
          <w:rStyle w:val="70"/>
          <w:rFonts w:ascii="宋体"/>
          <w:b/>
          <w:color w:val="auto"/>
          <w:sz w:val="24"/>
          <w:szCs w:val="24"/>
        </w:rPr>
        <w:t>设备管理要求</w:t>
      </w:r>
    </w:p>
    <w:p w14:paraId="5EFFB4A4">
      <w:pPr>
        <w:numPr>
          <w:ilvl w:val="0"/>
          <w:numId w:val="53"/>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食堂室内外已经装修，</w:t>
      </w:r>
      <w:r>
        <w:rPr>
          <w:rStyle w:val="70"/>
          <w:rFonts w:hint="eastAsia" w:ascii="宋体" w:hAnsi="宋体"/>
          <w:color w:val="auto"/>
          <w:sz w:val="24"/>
          <w:szCs w:val="24"/>
        </w:rPr>
        <w:t>中标人</w:t>
      </w:r>
      <w:r>
        <w:rPr>
          <w:rStyle w:val="70"/>
          <w:rFonts w:ascii="宋体" w:hAnsi="宋体"/>
          <w:color w:val="auto"/>
          <w:sz w:val="24"/>
          <w:szCs w:val="24"/>
        </w:rPr>
        <w:t>不应私自改变。如确需改动的，必须经</w:t>
      </w:r>
      <w:r>
        <w:rPr>
          <w:rStyle w:val="70"/>
          <w:rFonts w:hint="eastAsia" w:ascii="宋体" w:hAnsi="宋体"/>
          <w:color w:val="auto"/>
          <w:sz w:val="24"/>
          <w:szCs w:val="24"/>
        </w:rPr>
        <w:t>采购人</w:t>
      </w:r>
      <w:r>
        <w:rPr>
          <w:rStyle w:val="70"/>
          <w:rFonts w:ascii="宋体" w:hAnsi="宋体"/>
          <w:color w:val="auto"/>
          <w:sz w:val="24"/>
          <w:szCs w:val="24"/>
        </w:rPr>
        <w:t>同意，方可改动。</w:t>
      </w:r>
    </w:p>
    <w:p w14:paraId="281B47E4">
      <w:pPr>
        <w:numPr>
          <w:ilvl w:val="0"/>
          <w:numId w:val="53"/>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抓好设施设备的使用管理，严格落实设施设备的安全操作和正常维护措施，高效使用现有设施设备，确保设施设备的正常运行。</w:t>
      </w:r>
    </w:p>
    <w:p w14:paraId="578A44AC">
      <w:pPr>
        <w:numPr>
          <w:ilvl w:val="0"/>
          <w:numId w:val="53"/>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食堂的桌椅、厨房设备，提供给</w:t>
      </w:r>
      <w:r>
        <w:rPr>
          <w:rStyle w:val="70"/>
          <w:rFonts w:hint="eastAsia" w:ascii="宋体" w:hAnsi="宋体"/>
          <w:color w:val="auto"/>
          <w:sz w:val="24"/>
          <w:szCs w:val="24"/>
        </w:rPr>
        <w:t>中标人</w:t>
      </w:r>
      <w:r>
        <w:rPr>
          <w:rStyle w:val="70"/>
          <w:rFonts w:ascii="宋体" w:hAnsi="宋体"/>
          <w:color w:val="auto"/>
          <w:sz w:val="24"/>
          <w:szCs w:val="24"/>
        </w:rPr>
        <w:t>免费使用，</w:t>
      </w:r>
      <w:r>
        <w:rPr>
          <w:rStyle w:val="70"/>
          <w:rFonts w:hint="eastAsia" w:ascii="宋体" w:hAnsi="宋体"/>
          <w:color w:val="auto"/>
          <w:sz w:val="24"/>
          <w:szCs w:val="24"/>
        </w:rPr>
        <w:t>中标人</w:t>
      </w:r>
      <w:r>
        <w:rPr>
          <w:rStyle w:val="70"/>
          <w:rFonts w:ascii="宋体" w:hAnsi="宋体"/>
          <w:color w:val="auto"/>
          <w:sz w:val="24"/>
          <w:szCs w:val="24"/>
        </w:rPr>
        <w:t>应爱惜财物保持其完好性。</w:t>
      </w:r>
    </w:p>
    <w:p w14:paraId="40BB0AB4">
      <w:pPr>
        <w:numPr>
          <w:ilvl w:val="0"/>
          <w:numId w:val="44"/>
        </w:numPr>
        <w:snapToGrid w:val="0"/>
        <w:spacing w:line="360" w:lineRule="auto"/>
        <w:ind w:left="0" w:leftChars="0" w:firstLine="420" w:firstLineChars="0"/>
        <w:rPr>
          <w:rStyle w:val="70"/>
          <w:rFonts w:ascii="宋体"/>
          <w:b/>
          <w:color w:val="auto"/>
          <w:sz w:val="24"/>
          <w:szCs w:val="24"/>
        </w:rPr>
      </w:pPr>
      <w:r>
        <w:rPr>
          <w:rStyle w:val="70"/>
          <w:rFonts w:ascii="宋体"/>
          <w:b/>
          <w:color w:val="auto"/>
          <w:sz w:val="24"/>
          <w:szCs w:val="24"/>
        </w:rPr>
        <w:t>质量监督检查和考核</w:t>
      </w:r>
    </w:p>
    <w:p w14:paraId="536E8B01">
      <w:pPr>
        <w:numPr>
          <w:ilvl w:val="0"/>
          <w:numId w:val="54"/>
        </w:numPr>
        <w:snapToGrid w:val="0"/>
        <w:spacing w:line="360" w:lineRule="auto"/>
        <w:ind w:left="0" w:leftChars="0" w:firstLine="480" w:firstLineChars="200"/>
        <w:rPr>
          <w:rStyle w:val="70"/>
          <w:rFonts w:ascii="宋体" w:hAnsi="宋体"/>
          <w:color w:val="auto"/>
          <w:sz w:val="24"/>
          <w:szCs w:val="24"/>
        </w:rPr>
      </w:pPr>
      <w:r>
        <w:rPr>
          <w:rStyle w:val="70"/>
          <w:rFonts w:hint="eastAsia" w:ascii="宋体" w:hAnsi="宋体"/>
          <w:color w:val="auto"/>
          <w:sz w:val="24"/>
          <w:szCs w:val="24"/>
        </w:rPr>
        <w:t>中标人</w:t>
      </w:r>
      <w:r>
        <w:rPr>
          <w:rStyle w:val="70"/>
          <w:rFonts w:ascii="宋体" w:hAnsi="宋体"/>
          <w:color w:val="auto"/>
          <w:sz w:val="24"/>
          <w:szCs w:val="24"/>
        </w:rPr>
        <w:t>所有工作人员，必须服从</w:t>
      </w:r>
      <w:r>
        <w:rPr>
          <w:rStyle w:val="70"/>
          <w:rFonts w:hint="eastAsia" w:ascii="宋体" w:hAnsi="宋体"/>
          <w:color w:val="auto"/>
          <w:sz w:val="24"/>
          <w:szCs w:val="24"/>
        </w:rPr>
        <w:t>采购人</w:t>
      </w:r>
      <w:r>
        <w:rPr>
          <w:rStyle w:val="70"/>
          <w:rFonts w:ascii="宋体" w:hAnsi="宋体"/>
          <w:color w:val="auto"/>
          <w:sz w:val="24"/>
          <w:szCs w:val="24"/>
        </w:rPr>
        <w:t>管理，如发现不符合</w:t>
      </w:r>
      <w:r>
        <w:rPr>
          <w:rStyle w:val="70"/>
          <w:rFonts w:hint="eastAsia" w:ascii="宋体" w:hAnsi="宋体"/>
          <w:color w:val="auto"/>
          <w:sz w:val="24"/>
          <w:szCs w:val="24"/>
        </w:rPr>
        <w:t>采购人</w:t>
      </w:r>
      <w:r>
        <w:rPr>
          <w:rStyle w:val="70"/>
          <w:rFonts w:ascii="宋体" w:hAnsi="宋体"/>
          <w:color w:val="auto"/>
          <w:sz w:val="24"/>
          <w:szCs w:val="24"/>
        </w:rPr>
        <w:t>管理要求的工作人员，</w:t>
      </w:r>
      <w:r>
        <w:rPr>
          <w:rStyle w:val="70"/>
          <w:rFonts w:hint="eastAsia" w:ascii="宋体" w:hAnsi="宋体"/>
          <w:color w:val="auto"/>
          <w:sz w:val="24"/>
          <w:szCs w:val="24"/>
        </w:rPr>
        <w:t>采购人</w:t>
      </w:r>
      <w:r>
        <w:rPr>
          <w:rStyle w:val="70"/>
          <w:rFonts w:ascii="宋体" w:hAnsi="宋体"/>
          <w:color w:val="auto"/>
          <w:sz w:val="24"/>
          <w:szCs w:val="24"/>
        </w:rPr>
        <w:t>有权提出整改、更换</w:t>
      </w:r>
      <w:r>
        <w:rPr>
          <w:rStyle w:val="70"/>
          <w:rFonts w:hint="eastAsia" w:ascii="宋体" w:hAnsi="宋体"/>
          <w:color w:val="auto"/>
          <w:sz w:val="24"/>
          <w:szCs w:val="24"/>
        </w:rPr>
        <w:t>。</w:t>
      </w:r>
      <w:r>
        <w:rPr>
          <w:rStyle w:val="70"/>
          <w:rFonts w:ascii="宋体" w:hAnsi="宋体"/>
          <w:color w:val="auto"/>
          <w:sz w:val="24"/>
          <w:szCs w:val="24"/>
        </w:rPr>
        <w:t>如</w:t>
      </w:r>
      <w:r>
        <w:rPr>
          <w:rStyle w:val="70"/>
          <w:rFonts w:hint="eastAsia" w:ascii="宋体" w:hAnsi="宋体"/>
          <w:color w:val="auto"/>
          <w:sz w:val="24"/>
          <w:szCs w:val="24"/>
        </w:rPr>
        <w:t>中标人7</w:t>
      </w:r>
      <w:r>
        <w:rPr>
          <w:rStyle w:val="70"/>
          <w:rFonts w:ascii="宋体" w:hAnsi="宋体"/>
          <w:color w:val="auto"/>
          <w:sz w:val="24"/>
          <w:szCs w:val="24"/>
        </w:rPr>
        <w:t>天内未整改、更换、不及时或不到位，</w:t>
      </w:r>
      <w:r>
        <w:rPr>
          <w:rStyle w:val="70"/>
          <w:rFonts w:hint="eastAsia" w:ascii="宋体" w:hAnsi="宋体"/>
          <w:color w:val="auto"/>
          <w:sz w:val="24"/>
          <w:szCs w:val="24"/>
        </w:rPr>
        <w:t>采购人</w:t>
      </w:r>
      <w:r>
        <w:rPr>
          <w:rStyle w:val="70"/>
          <w:rFonts w:ascii="宋体" w:hAnsi="宋体"/>
          <w:color w:val="auto"/>
          <w:sz w:val="24"/>
          <w:szCs w:val="24"/>
        </w:rPr>
        <w:t>有权无条件终止合同</w:t>
      </w:r>
      <w:r>
        <w:rPr>
          <w:rStyle w:val="70"/>
          <w:rFonts w:hint="eastAsia" w:ascii="宋体" w:hAnsi="宋体"/>
          <w:color w:val="auto"/>
          <w:sz w:val="24"/>
          <w:szCs w:val="24"/>
        </w:rPr>
        <w:t>，</w:t>
      </w:r>
      <w:r>
        <w:rPr>
          <w:rStyle w:val="70"/>
          <w:rFonts w:hint="eastAsia" w:ascii="宋体" w:hAnsi="宋体"/>
          <w:color w:val="auto"/>
          <w:sz w:val="24"/>
          <w:szCs w:val="24"/>
          <w:lang w:val="en-US"/>
        </w:rPr>
        <w:t>并要求中标人承担合同金额5%的违约金</w:t>
      </w:r>
      <w:r>
        <w:rPr>
          <w:rStyle w:val="70"/>
          <w:rFonts w:ascii="宋体" w:hAnsi="宋体"/>
          <w:color w:val="auto"/>
          <w:sz w:val="24"/>
          <w:szCs w:val="24"/>
        </w:rPr>
        <w:t>。</w:t>
      </w:r>
      <w:r>
        <w:rPr>
          <w:rStyle w:val="70"/>
          <w:rFonts w:hint="eastAsia" w:ascii="宋体" w:hAnsi="宋体"/>
          <w:color w:val="auto"/>
          <w:sz w:val="24"/>
          <w:szCs w:val="24"/>
        </w:rPr>
        <w:t>中标人</w:t>
      </w:r>
      <w:r>
        <w:rPr>
          <w:rStyle w:val="70"/>
          <w:rFonts w:ascii="宋体" w:hAnsi="宋体"/>
          <w:color w:val="auto"/>
          <w:sz w:val="24"/>
          <w:szCs w:val="24"/>
        </w:rPr>
        <w:t>更换或调整人员应提前征求</w:t>
      </w:r>
      <w:r>
        <w:rPr>
          <w:rStyle w:val="70"/>
          <w:rFonts w:hint="eastAsia" w:ascii="宋体" w:hAnsi="宋体"/>
          <w:color w:val="auto"/>
          <w:sz w:val="24"/>
          <w:szCs w:val="24"/>
        </w:rPr>
        <w:t>采购人</w:t>
      </w:r>
      <w:r>
        <w:rPr>
          <w:rStyle w:val="70"/>
          <w:rFonts w:ascii="宋体" w:hAnsi="宋体"/>
          <w:color w:val="auto"/>
          <w:sz w:val="24"/>
          <w:szCs w:val="24"/>
        </w:rPr>
        <w:t>意见，在征得</w:t>
      </w:r>
      <w:r>
        <w:rPr>
          <w:rStyle w:val="70"/>
          <w:rFonts w:hint="eastAsia" w:ascii="宋体" w:hAnsi="宋体"/>
          <w:color w:val="auto"/>
          <w:sz w:val="24"/>
          <w:szCs w:val="24"/>
        </w:rPr>
        <w:t>采购人</w:t>
      </w:r>
      <w:r>
        <w:rPr>
          <w:rStyle w:val="70"/>
          <w:rFonts w:ascii="宋体" w:hAnsi="宋体"/>
          <w:color w:val="auto"/>
          <w:sz w:val="24"/>
          <w:szCs w:val="24"/>
        </w:rPr>
        <w:t>同意后方可更换、调整。</w:t>
      </w:r>
    </w:p>
    <w:p w14:paraId="700301F7">
      <w:pPr>
        <w:numPr>
          <w:ilvl w:val="0"/>
          <w:numId w:val="54"/>
        </w:numPr>
        <w:snapToGrid w:val="0"/>
        <w:spacing w:line="360" w:lineRule="auto"/>
        <w:ind w:left="0" w:leftChars="0" w:firstLine="480" w:firstLineChars="200"/>
        <w:rPr>
          <w:rStyle w:val="70"/>
          <w:rFonts w:ascii="宋体" w:hAnsi="宋体"/>
          <w:color w:val="auto"/>
          <w:sz w:val="24"/>
          <w:szCs w:val="24"/>
        </w:rPr>
      </w:pPr>
      <w:r>
        <w:rPr>
          <w:rStyle w:val="70"/>
          <w:rFonts w:hint="eastAsia" w:ascii="宋体" w:hAnsi="宋体"/>
          <w:color w:val="auto"/>
          <w:sz w:val="24"/>
          <w:szCs w:val="24"/>
        </w:rPr>
        <w:t>采购人</w:t>
      </w:r>
      <w:r>
        <w:rPr>
          <w:rStyle w:val="70"/>
          <w:rFonts w:ascii="宋体" w:hAnsi="宋体"/>
          <w:color w:val="auto"/>
          <w:sz w:val="24"/>
          <w:szCs w:val="24"/>
        </w:rPr>
        <w:t>从供餐质量、服务质量、卫生标准、设备使用、成本管控、安全生产、日常管理等方面定期对</w:t>
      </w:r>
      <w:r>
        <w:rPr>
          <w:rStyle w:val="70"/>
          <w:rFonts w:hint="eastAsia" w:ascii="宋体" w:hAnsi="宋体"/>
          <w:color w:val="auto"/>
          <w:sz w:val="24"/>
          <w:szCs w:val="24"/>
        </w:rPr>
        <w:t>中标人</w:t>
      </w:r>
      <w:r>
        <w:rPr>
          <w:rStyle w:val="70"/>
          <w:rFonts w:ascii="宋体" w:hAnsi="宋体"/>
          <w:color w:val="auto"/>
          <w:sz w:val="24"/>
          <w:szCs w:val="24"/>
        </w:rPr>
        <w:t>进行检查和突击抽查，并根据检查、测评情况对</w:t>
      </w:r>
      <w:r>
        <w:rPr>
          <w:rStyle w:val="70"/>
          <w:rFonts w:hint="eastAsia" w:ascii="宋体" w:hAnsi="宋体"/>
          <w:color w:val="auto"/>
          <w:sz w:val="24"/>
          <w:szCs w:val="24"/>
        </w:rPr>
        <w:t>中标人</w:t>
      </w:r>
      <w:r>
        <w:rPr>
          <w:rStyle w:val="70"/>
          <w:rFonts w:ascii="宋体" w:hAnsi="宋体"/>
          <w:color w:val="auto"/>
          <w:sz w:val="24"/>
          <w:szCs w:val="24"/>
        </w:rPr>
        <w:t>进行相应的考核。</w:t>
      </w:r>
    </w:p>
    <w:p w14:paraId="6D862B75">
      <w:pPr>
        <w:numPr>
          <w:ilvl w:val="0"/>
          <w:numId w:val="54"/>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在承包期内</w:t>
      </w:r>
      <w:r>
        <w:rPr>
          <w:rStyle w:val="70"/>
          <w:rFonts w:hint="eastAsia" w:ascii="宋体" w:hAnsi="宋体"/>
          <w:color w:val="auto"/>
          <w:sz w:val="24"/>
          <w:szCs w:val="24"/>
        </w:rPr>
        <w:t>中标人</w:t>
      </w:r>
      <w:r>
        <w:rPr>
          <w:rStyle w:val="70"/>
          <w:rFonts w:ascii="宋体" w:hAnsi="宋体"/>
          <w:color w:val="auto"/>
          <w:sz w:val="24"/>
          <w:szCs w:val="24"/>
        </w:rPr>
        <w:t>应保持承包区域内的设施完好、环境状况良好，并接受</w:t>
      </w:r>
      <w:r>
        <w:rPr>
          <w:rStyle w:val="70"/>
          <w:rFonts w:hint="eastAsia" w:ascii="宋体" w:hAnsi="宋体"/>
          <w:color w:val="auto"/>
          <w:sz w:val="24"/>
          <w:szCs w:val="24"/>
        </w:rPr>
        <w:t>采购人</w:t>
      </w:r>
      <w:r>
        <w:rPr>
          <w:rStyle w:val="70"/>
          <w:rFonts w:ascii="宋体" w:hAnsi="宋体"/>
          <w:color w:val="auto"/>
          <w:sz w:val="24"/>
          <w:szCs w:val="24"/>
        </w:rPr>
        <w:t>或其授权人员的检查，对由</w:t>
      </w:r>
      <w:r>
        <w:rPr>
          <w:rStyle w:val="70"/>
          <w:rFonts w:hint="eastAsia" w:ascii="宋体" w:hAnsi="宋体"/>
          <w:color w:val="auto"/>
          <w:sz w:val="24"/>
          <w:szCs w:val="24"/>
        </w:rPr>
        <w:t>中标人</w:t>
      </w:r>
      <w:r>
        <w:rPr>
          <w:rStyle w:val="70"/>
          <w:rFonts w:ascii="宋体" w:hAnsi="宋体"/>
          <w:color w:val="auto"/>
          <w:sz w:val="24"/>
          <w:szCs w:val="24"/>
        </w:rPr>
        <w:t>引起或造成设施的损坏及环境卫生不理想状况，</w:t>
      </w:r>
      <w:r>
        <w:rPr>
          <w:rStyle w:val="70"/>
          <w:rFonts w:hint="eastAsia" w:ascii="宋体" w:hAnsi="宋体"/>
          <w:color w:val="auto"/>
          <w:sz w:val="24"/>
          <w:szCs w:val="24"/>
        </w:rPr>
        <w:t>采购人</w:t>
      </w:r>
      <w:r>
        <w:rPr>
          <w:rStyle w:val="70"/>
          <w:rFonts w:ascii="宋体" w:hAnsi="宋体"/>
          <w:color w:val="auto"/>
          <w:sz w:val="24"/>
          <w:szCs w:val="24"/>
        </w:rPr>
        <w:t>将书面通知</w:t>
      </w:r>
      <w:r>
        <w:rPr>
          <w:rStyle w:val="70"/>
          <w:rFonts w:hint="eastAsia" w:ascii="宋体" w:hAnsi="宋体"/>
          <w:color w:val="auto"/>
          <w:sz w:val="24"/>
          <w:szCs w:val="24"/>
        </w:rPr>
        <w:t>中标人</w:t>
      </w:r>
      <w:r>
        <w:rPr>
          <w:rStyle w:val="70"/>
          <w:rFonts w:ascii="宋体" w:hAnsi="宋体"/>
          <w:color w:val="auto"/>
          <w:sz w:val="24"/>
          <w:szCs w:val="24"/>
        </w:rPr>
        <w:t>修复或整改，在书面通知下达一周后，仍未按要求修复或整改，</w:t>
      </w:r>
      <w:r>
        <w:rPr>
          <w:rStyle w:val="70"/>
          <w:rFonts w:hint="eastAsia" w:ascii="宋体" w:hAnsi="宋体"/>
          <w:color w:val="auto"/>
          <w:sz w:val="24"/>
          <w:szCs w:val="24"/>
        </w:rPr>
        <w:t>采购人</w:t>
      </w:r>
      <w:r>
        <w:rPr>
          <w:rStyle w:val="70"/>
          <w:rFonts w:ascii="宋体" w:hAnsi="宋体"/>
          <w:color w:val="auto"/>
          <w:sz w:val="24"/>
          <w:szCs w:val="24"/>
        </w:rPr>
        <w:t>将负责完成这一工作，所需费用及管理费全部</w:t>
      </w:r>
      <w:r>
        <w:rPr>
          <w:rStyle w:val="70"/>
          <w:rFonts w:hint="eastAsia" w:ascii="宋体" w:hAnsi="宋体"/>
          <w:color w:val="auto"/>
          <w:sz w:val="24"/>
          <w:szCs w:val="24"/>
          <w:lang w:eastAsia="zh-CN"/>
        </w:rPr>
        <w:t>由</w:t>
      </w:r>
      <w:r>
        <w:rPr>
          <w:rStyle w:val="70"/>
          <w:rFonts w:hint="eastAsia" w:ascii="宋体" w:hAnsi="宋体"/>
          <w:color w:val="auto"/>
          <w:sz w:val="24"/>
          <w:szCs w:val="24"/>
        </w:rPr>
        <w:t>中标人</w:t>
      </w:r>
      <w:r>
        <w:rPr>
          <w:rStyle w:val="70"/>
          <w:rFonts w:ascii="宋体" w:hAnsi="宋体"/>
          <w:color w:val="auto"/>
          <w:sz w:val="24"/>
          <w:szCs w:val="24"/>
        </w:rPr>
        <w:t>承担。</w:t>
      </w:r>
      <w:r>
        <w:rPr>
          <w:rStyle w:val="70"/>
          <w:rFonts w:hint="eastAsia" w:ascii="宋体" w:hAnsi="宋体"/>
          <w:color w:val="auto"/>
          <w:sz w:val="24"/>
          <w:szCs w:val="24"/>
        </w:rPr>
        <w:t>采购人</w:t>
      </w:r>
      <w:r>
        <w:rPr>
          <w:rStyle w:val="70"/>
          <w:rFonts w:ascii="宋体" w:hAnsi="宋体"/>
          <w:color w:val="auto"/>
          <w:sz w:val="24"/>
          <w:szCs w:val="24"/>
        </w:rPr>
        <w:t>提供的所有设备、设施、工具由</w:t>
      </w:r>
      <w:r>
        <w:rPr>
          <w:rStyle w:val="70"/>
          <w:rFonts w:hint="eastAsia" w:ascii="宋体" w:hAnsi="宋体"/>
          <w:color w:val="auto"/>
          <w:sz w:val="24"/>
          <w:szCs w:val="24"/>
        </w:rPr>
        <w:t>中标人</w:t>
      </w:r>
      <w:r>
        <w:rPr>
          <w:rStyle w:val="70"/>
          <w:rFonts w:ascii="宋体" w:hAnsi="宋体"/>
          <w:color w:val="auto"/>
          <w:sz w:val="24"/>
          <w:szCs w:val="24"/>
        </w:rPr>
        <w:t>使用的，除正常使用折旧外，</w:t>
      </w:r>
      <w:r>
        <w:rPr>
          <w:rStyle w:val="70"/>
          <w:rFonts w:hint="eastAsia" w:ascii="宋体" w:hAnsi="宋体"/>
          <w:color w:val="auto"/>
          <w:sz w:val="24"/>
          <w:szCs w:val="24"/>
        </w:rPr>
        <w:t>中标人</w:t>
      </w:r>
      <w:r>
        <w:rPr>
          <w:rStyle w:val="70"/>
          <w:rFonts w:ascii="宋体" w:hAnsi="宋体"/>
          <w:color w:val="auto"/>
          <w:sz w:val="24"/>
          <w:szCs w:val="24"/>
        </w:rPr>
        <w:t>保证各设备、设施、工具的完好性。</w:t>
      </w:r>
    </w:p>
    <w:p w14:paraId="267FA550">
      <w:pPr>
        <w:numPr>
          <w:ilvl w:val="0"/>
          <w:numId w:val="54"/>
        </w:numPr>
        <w:snapToGrid w:val="0"/>
        <w:spacing w:line="360" w:lineRule="auto"/>
        <w:ind w:left="0" w:leftChars="0" w:firstLine="480" w:firstLineChars="200"/>
        <w:rPr>
          <w:rStyle w:val="70"/>
          <w:rFonts w:ascii="宋体" w:hAnsi="宋体"/>
          <w:color w:val="auto"/>
          <w:sz w:val="24"/>
          <w:szCs w:val="24"/>
        </w:rPr>
      </w:pPr>
      <w:r>
        <w:rPr>
          <w:rStyle w:val="70"/>
          <w:rFonts w:hint="eastAsia" w:ascii="宋体" w:hAnsi="宋体"/>
          <w:color w:val="auto"/>
          <w:sz w:val="24"/>
          <w:szCs w:val="24"/>
        </w:rPr>
        <w:t>中标人</w:t>
      </w:r>
      <w:r>
        <w:rPr>
          <w:rStyle w:val="70"/>
          <w:rFonts w:ascii="宋体" w:hAnsi="宋体"/>
          <w:color w:val="auto"/>
          <w:sz w:val="24"/>
          <w:szCs w:val="24"/>
        </w:rPr>
        <w:t>应切实做好节水、节能、防盗、防火、饭菜食品的卫生安全工作，</w:t>
      </w:r>
      <w:r>
        <w:rPr>
          <w:rStyle w:val="70"/>
          <w:rFonts w:hint="eastAsia" w:ascii="宋体" w:hAnsi="宋体"/>
          <w:color w:val="auto"/>
          <w:sz w:val="24"/>
          <w:szCs w:val="24"/>
          <w:lang w:eastAsia="zh-CN"/>
        </w:rPr>
        <w:t>若</w:t>
      </w:r>
      <w:r>
        <w:rPr>
          <w:rStyle w:val="70"/>
          <w:rFonts w:ascii="宋体" w:hAnsi="宋体"/>
          <w:color w:val="auto"/>
          <w:sz w:val="24"/>
          <w:szCs w:val="24"/>
        </w:rPr>
        <w:t>发生责任事故，如属管理失职或不到位所造成的，后果由</w:t>
      </w:r>
      <w:r>
        <w:rPr>
          <w:rStyle w:val="70"/>
          <w:rFonts w:hint="eastAsia" w:ascii="宋体" w:hAnsi="宋体"/>
          <w:color w:val="auto"/>
          <w:sz w:val="24"/>
          <w:szCs w:val="24"/>
        </w:rPr>
        <w:t>中标人</w:t>
      </w:r>
      <w:r>
        <w:rPr>
          <w:rStyle w:val="70"/>
          <w:rFonts w:ascii="宋体" w:hAnsi="宋体"/>
          <w:color w:val="auto"/>
          <w:sz w:val="24"/>
          <w:szCs w:val="24"/>
        </w:rPr>
        <w:t>全部承担，</w:t>
      </w:r>
      <w:r>
        <w:rPr>
          <w:rStyle w:val="70"/>
          <w:rFonts w:hint="eastAsia" w:ascii="宋体" w:hAnsi="宋体"/>
          <w:color w:val="auto"/>
          <w:sz w:val="24"/>
          <w:szCs w:val="24"/>
        </w:rPr>
        <w:t>采购人</w:t>
      </w:r>
      <w:r>
        <w:rPr>
          <w:rStyle w:val="70"/>
          <w:rFonts w:ascii="宋体" w:hAnsi="宋体"/>
          <w:color w:val="auto"/>
          <w:sz w:val="24"/>
          <w:szCs w:val="24"/>
        </w:rPr>
        <w:t>有权进行监督和检查。</w:t>
      </w:r>
    </w:p>
    <w:p w14:paraId="0D0A881C">
      <w:pPr>
        <w:numPr>
          <w:ilvl w:val="0"/>
          <w:numId w:val="43"/>
        </w:numPr>
        <w:tabs>
          <w:tab w:val="left" w:pos="540"/>
        </w:tabs>
        <w:snapToGrid w:val="0"/>
        <w:spacing w:line="360" w:lineRule="auto"/>
        <w:ind w:left="0" w:leftChars="0" w:firstLine="420" w:firstLineChars="0"/>
        <w:rPr>
          <w:rStyle w:val="70"/>
          <w:rFonts w:ascii="黑体" w:hAnsi="Arial" w:eastAsia="黑体"/>
          <w:b/>
          <w:bCs w:val="0"/>
          <w:color w:val="auto"/>
          <w:sz w:val="24"/>
          <w:szCs w:val="24"/>
          <w:lang w:val="zh-CN"/>
        </w:rPr>
      </w:pPr>
      <w:r>
        <w:rPr>
          <w:rStyle w:val="70"/>
          <w:rFonts w:ascii="宋体"/>
          <w:b/>
          <w:bCs w:val="0"/>
          <w:color w:val="auto"/>
          <w:sz w:val="24"/>
          <w:szCs w:val="24"/>
          <w:lang w:val="zh-CN"/>
        </w:rPr>
        <w:t>承包费用</w:t>
      </w:r>
    </w:p>
    <w:p w14:paraId="3A4DDD07">
      <w:pPr>
        <w:numPr>
          <w:ilvl w:val="0"/>
          <w:numId w:val="55"/>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承包费用包括员工工资、福利、奖金、补贴、社会保险费</w:t>
      </w:r>
      <w:r>
        <w:rPr>
          <w:rStyle w:val="70"/>
          <w:rFonts w:hint="eastAsia" w:ascii="宋体" w:hAnsi="宋体"/>
          <w:color w:val="auto"/>
          <w:sz w:val="24"/>
          <w:szCs w:val="24"/>
        </w:rPr>
        <w:t>、</w:t>
      </w:r>
      <w:r>
        <w:rPr>
          <w:rStyle w:val="70"/>
          <w:rFonts w:hint="eastAsia" w:ascii="宋体" w:hAnsi="宋体"/>
          <w:color w:val="auto"/>
          <w:sz w:val="24"/>
          <w:szCs w:val="24"/>
          <w:lang w:val="en-US"/>
        </w:rPr>
        <w:t>工作服</w:t>
      </w:r>
      <w:r>
        <w:rPr>
          <w:rStyle w:val="70"/>
          <w:rFonts w:ascii="宋体" w:hAnsi="宋体"/>
          <w:color w:val="auto"/>
          <w:sz w:val="24"/>
          <w:szCs w:val="24"/>
        </w:rPr>
        <w:t>，管理费、税金、政策性文件规定及合同包含的所有风险、责任等各项应有费用</w:t>
      </w:r>
      <w:r>
        <w:rPr>
          <w:rStyle w:val="70"/>
          <w:rFonts w:hint="eastAsia" w:ascii="宋体" w:hAnsi="宋体"/>
          <w:color w:val="auto"/>
          <w:sz w:val="24"/>
          <w:szCs w:val="24"/>
        </w:rPr>
        <w:t>。</w:t>
      </w:r>
      <w:r>
        <w:rPr>
          <w:rStyle w:val="70"/>
          <w:rFonts w:hint="eastAsia" w:ascii="宋体" w:hAnsi="宋体"/>
          <w:color w:val="auto"/>
          <w:sz w:val="24"/>
          <w:szCs w:val="24"/>
          <w:lang w:val="en-US"/>
        </w:rPr>
        <w:t>暑托期间的服务费用采购人另行支付</w:t>
      </w:r>
      <w:r>
        <w:rPr>
          <w:rStyle w:val="70"/>
          <w:rFonts w:ascii="宋体" w:hAnsi="宋体"/>
          <w:color w:val="auto"/>
          <w:sz w:val="24"/>
          <w:szCs w:val="24"/>
        </w:rPr>
        <w:t>。</w:t>
      </w:r>
    </w:p>
    <w:p w14:paraId="1E1E6EAF">
      <w:pPr>
        <w:numPr>
          <w:ilvl w:val="0"/>
          <w:numId w:val="55"/>
        </w:numPr>
        <w:snapToGrid w:val="0"/>
        <w:spacing w:line="360" w:lineRule="auto"/>
        <w:ind w:left="0" w:leftChars="0" w:firstLine="480" w:firstLineChars="200"/>
        <w:rPr>
          <w:rStyle w:val="70"/>
          <w:rFonts w:ascii="宋体" w:hAnsi="宋体"/>
          <w:color w:val="auto"/>
          <w:sz w:val="24"/>
          <w:szCs w:val="24"/>
        </w:rPr>
      </w:pPr>
      <w:r>
        <w:rPr>
          <w:rStyle w:val="70"/>
          <w:rFonts w:hint="eastAsia" w:ascii="宋体" w:hAnsi="宋体"/>
          <w:color w:val="auto"/>
          <w:sz w:val="24"/>
          <w:szCs w:val="24"/>
        </w:rPr>
        <w:t>采购人</w:t>
      </w:r>
      <w:r>
        <w:rPr>
          <w:rStyle w:val="70"/>
          <w:rFonts w:ascii="宋体" w:hAnsi="宋体"/>
          <w:color w:val="auto"/>
          <w:sz w:val="24"/>
          <w:szCs w:val="24"/>
        </w:rPr>
        <w:t>将食堂房屋、场地及设备设施免费提供给</w:t>
      </w:r>
      <w:r>
        <w:rPr>
          <w:rStyle w:val="70"/>
          <w:rFonts w:hint="eastAsia" w:ascii="宋体" w:hAnsi="宋体"/>
          <w:color w:val="auto"/>
          <w:sz w:val="24"/>
          <w:szCs w:val="24"/>
        </w:rPr>
        <w:t>中标人</w:t>
      </w:r>
      <w:r>
        <w:rPr>
          <w:rStyle w:val="70"/>
          <w:rFonts w:ascii="宋体" w:hAnsi="宋体"/>
          <w:color w:val="auto"/>
          <w:sz w:val="24"/>
          <w:szCs w:val="24"/>
        </w:rPr>
        <w:t>作经营使用，在经营期间不计设备折旧费。</w:t>
      </w:r>
    </w:p>
    <w:p w14:paraId="4C9A20BC">
      <w:pPr>
        <w:numPr>
          <w:ilvl w:val="0"/>
          <w:numId w:val="55"/>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食堂水、电、天然气等能源费用由</w:t>
      </w:r>
      <w:r>
        <w:rPr>
          <w:rStyle w:val="70"/>
          <w:rFonts w:hint="eastAsia" w:ascii="宋体" w:hAnsi="宋体"/>
          <w:color w:val="auto"/>
          <w:sz w:val="24"/>
          <w:szCs w:val="24"/>
        </w:rPr>
        <w:t>采购人</w:t>
      </w:r>
      <w:r>
        <w:rPr>
          <w:rStyle w:val="70"/>
          <w:rFonts w:ascii="宋体" w:hAnsi="宋体"/>
          <w:color w:val="auto"/>
          <w:sz w:val="24"/>
          <w:szCs w:val="24"/>
        </w:rPr>
        <w:t>承担，</w:t>
      </w:r>
      <w:r>
        <w:rPr>
          <w:rStyle w:val="70"/>
          <w:rFonts w:hint="eastAsia" w:ascii="宋体" w:hAnsi="宋体"/>
          <w:color w:val="auto"/>
          <w:sz w:val="24"/>
          <w:szCs w:val="24"/>
        </w:rPr>
        <w:t>采购人</w:t>
      </w:r>
      <w:r>
        <w:rPr>
          <w:rStyle w:val="70"/>
          <w:rFonts w:ascii="宋体" w:hAnsi="宋体"/>
          <w:color w:val="auto"/>
          <w:sz w:val="24"/>
          <w:szCs w:val="24"/>
        </w:rPr>
        <w:t>按照食堂实际用量及时向相应部门缴纳，费用计入食堂经营成本。</w:t>
      </w:r>
    </w:p>
    <w:p w14:paraId="2C4CB82D">
      <w:pPr>
        <w:numPr>
          <w:ilvl w:val="0"/>
          <w:numId w:val="55"/>
        </w:numPr>
        <w:snapToGrid w:val="0"/>
        <w:spacing w:line="360" w:lineRule="auto"/>
        <w:ind w:left="0" w:leftChars="0" w:firstLine="480" w:firstLineChars="200"/>
        <w:rPr>
          <w:rStyle w:val="70"/>
          <w:rFonts w:ascii="宋体" w:hAnsi="宋体"/>
          <w:b w:val="0"/>
          <w:bCs w:val="0"/>
          <w:color w:val="auto"/>
          <w:sz w:val="24"/>
          <w:szCs w:val="24"/>
        </w:rPr>
      </w:pPr>
      <w:r>
        <w:rPr>
          <w:rFonts w:hint="eastAsia" w:ascii="宋体" w:hAnsi="宋体" w:eastAsia="宋体" w:cs="宋体"/>
          <w:b w:val="0"/>
          <w:bCs w:val="0"/>
          <w:color w:val="auto"/>
          <w:sz w:val="24"/>
          <w:szCs w:val="32"/>
          <w:highlight w:val="none"/>
          <w:lang w:val="en-US" w:eastAsia="zh-CN"/>
        </w:rPr>
        <w:t>中标供应商</w:t>
      </w:r>
      <w:r>
        <w:rPr>
          <w:rFonts w:hint="eastAsia" w:ascii="宋体" w:hAnsi="宋体" w:eastAsia="宋体" w:cs="宋体"/>
          <w:b w:val="0"/>
          <w:bCs w:val="0"/>
          <w:color w:val="auto"/>
          <w:sz w:val="24"/>
          <w:szCs w:val="32"/>
          <w:highlight w:val="none"/>
        </w:rPr>
        <w:t>须向</w:t>
      </w:r>
      <w:r>
        <w:rPr>
          <w:rFonts w:hint="eastAsia" w:ascii="宋体" w:hAnsi="宋体" w:eastAsia="宋体" w:cs="宋体"/>
          <w:b w:val="0"/>
          <w:bCs w:val="0"/>
          <w:color w:val="auto"/>
          <w:sz w:val="24"/>
          <w:szCs w:val="32"/>
          <w:highlight w:val="none"/>
          <w:lang w:val="en-US" w:eastAsia="zh-CN"/>
        </w:rPr>
        <w:t>采购人</w:t>
      </w:r>
      <w:r>
        <w:rPr>
          <w:rFonts w:hint="eastAsia" w:ascii="宋体" w:hAnsi="宋体" w:eastAsia="宋体" w:cs="宋体"/>
          <w:b w:val="0"/>
          <w:bCs w:val="0"/>
          <w:color w:val="auto"/>
          <w:sz w:val="24"/>
          <w:szCs w:val="32"/>
          <w:highlight w:val="none"/>
        </w:rPr>
        <w:t>缴付</w:t>
      </w:r>
      <w:r>
        <w:rPr>
          <w:rFonts w:hint="eastAsia" w:ascii="宋体" w:hAnsi="宋体" w:eastAsia="宋体" w:cs="宋体"/>
          <w:b w:val="0"/>
          <w:bCs w:val="0"/>
          <w:color w:val="auto"/>
          <w:sz w:val="24"/>
          <w:szCs w:val="32"/>
          <w:highlight w:val="none"/>
          <w:lang w:val="en-US" w:eastAsia="zh-CN"/>
        </w:rPr>
        <w:t>其工作人员的</w:t>
      </w:r>
      <w:r>
        <w:rPr>
          <w:rFonts w:hint="eastAsia" w:ascii="宋体" w:hAnsi="宋体" w:eastAsia="宋体" w:cs="宋体"/>
          <w:b w:val="0"/>
          <w:bCs w:val="0"/>
          <w:color w:val="auto"/>
          <w:sz w:val="24"/>
          <w:szCs w:val="32"/>
          <w:highlight w:val="none"/>
        </w:rPr>
        <w:t>餐费</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val="en-US" w:eastAsia="zh-CN"/>
        </w:rPr>
        <w:t>餐费标准同</w:t>
      </w:r>
      <w:r>
        <w:rPr>
          <w:rFonts w:hint="eastAsia" w:ascii="宋体" w:hAnsi="宋体" w:cs="宋体"/>
          <w:b w:val="0"/>
          <w:bCs w:val="0"/>
          <w:color w:val="auto"/>
          <w:sz w:val="24"/>
          <w:szCs w:val="32"/>
          <w:highlight w:val="none"/>
          <w:lang w:val="en-US" w:eastAsia="zh-CN"/>
        </w:rPr>
        <w:t>教职工</w:t>
      </w:r>
      <w:r>
        <w:rPr>
          <w:rFonts w:hint="eastAsia" w:ascii="宋体" w:hAnsi="宋体" w:eastAsia="宋体" w:cs="宋体"/>
          <w:b w:val="0"/>
          <w:bCs w:val="0"/>
          <w:color w:val="auto"/>
          <w:sz w:val="24"/>
          <w:szCs w:val="32"/>
          <w:highlight w:val="none"/>
          <w:lang w:val="en-US" w:eastAsia="zh-CN"/>
        </w:rPr>
        <w:t>一样。</w:t>
      </w:r>
    </w:p>
    <w:p w14:paraId="2CBB5CE6">
      <w:pPr>
        <w:numPr>
          <w:ilvl w:val="0"/>
          <w:numId w:val="55"/>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食堂要做好特殊情况下</w:t>
      </w:r>
      <w:r>
        <w:rPr>
          <w:rStyle w:val="70"/>
          <w:rFonts w:hint="eastAsia" w:ascii="宋体" w:hAnsi="宋体"/>
          <w:color w:val="auto"/>
          <w:sz w:val="24"/>
          <w:szCs w:val="24"/>
          <w:lang w:eastAsia="zh-CN"/>
        </w:rPr>
        <w:t>（</w:t>
      </w:r>
      <w:r>
        <w:rPr>
          <w:rStyle w:val="70"/>
          <w:rFonts w:ascii="宋体" w:hAnsi="宋体"/>
          <w:color w:val="auto"/>
          <w:sz w:val="24"/>
          <w:szCs w:val="24"/>
        </w:rPr>
        <w:t>如加班、公务接待、防台、抗寒、重大活动、值班备勤、突发性事件应急处置等情形</w:t>
      </w:r>
      <w:r>
        <w:rPr>
          <w:rStyle w:val="70"/>
          <w:rFonts w:hint="eastAsia" w:ascii="宋体" w:hAnsi="宋体"/>
          <w:color w:val="auto"/>
          <w:sz w:val="24"/>
          <w:szCs w:val="24"/>
          <w:lang w:eastAsia="zh-CN"/>
        </w:rPr>
        <w:t>）</w:t>
      </w:r>
      <w:r>
        <w:rPr>
          <w:rStyle w:val="70"/>
          <w:rFonts w:ascii="宋体" w:hAnsi="宋体"/>
          <w:color w:val="auto"/>
          <w:sz w:val="24"/>
          <w:szCs w:val="24"/>
        </w:rPr>
        <w:t>的供餐服务。如食堂有特殊供餐任务，中标人必须配备相应数量及专业的服务人员以满足食堂运行的正常需要，相关费用在投标报价时综合考虑，</w:t>
      </w:r>
      <w:r>
        <w:rPr>
          <w:rStyle w:val="70"/>
          <w:rFonts w:hint="eastAsia" w:ascii="宋体" w:hAnsi="宋体"/>
          <w:color w:val="auto"/>
          <w:sz w:val="24"/>
          <w:szCs w:val="24"/>
        </w:rPr>
        <w:t>采购人</w:t>
      </w:r>
      <w:r>
        <w:rPr>
          <w:rStyle w:val="70"/>
          <w:rFonts w:hint="eastAsia" w:ascii="宋体" w:hAnsi="宋体"/>
          <w:color w:val="auto"/>
          <w:sz w:val="24"/>
          <w:szCs w:val="24"/>
          <w:lang w:val="en-US"/>
        </w:rPr>
        <w:t>不再</w:t>
      </w:r>
      <w:r>
        <w:rPr>
          <w:rStyle w:val="70"/>
          <w:rFonts w:ascii="宋体" w:hAnsi="宋体"/>
          <w:color w:val="auto"/>
          <w:sz w:val="24"/>
          <w:szCs w:val="24"/>
        </w:rPr>
        <w:t>另行支付。</w:t>
      </w:r>
    </w:p>
    <w:p w14:paraId="6C27ECB6">
      <w:pPr>
        <w:numPr>
          <w:ilvl w:val="0"/>
          <w:numId w:val="55"/>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合同履行过程中如中标人所派人员不能满足实际正常运行需要的，中标人必须根据实际需要增派人员，相关费用不再另行计取</w:t>
      </w:r>
      <w:r>
        <w:rPr>
          <w:rStyle w:val="70"/>
          <w:rFonts w:hint="eastAsia" w:ascii="宋体" w:hAnsi="宋体"/>
          <w:color w:val="auto"/>
          <w:sz w:val="24"/>
          <w:szCs w:val="24"/>
        </w:rPr>
        <w:t>。</w:t>
      </w:r>
    </w:p>
    <w:p w14:paraId="3CB4F9D2">
      <w:pPr>
        <w:numPr>
          <w:ilvl w:val="0"/>
          <w:numId w:val="43"/>
        </w:numPr>
        <w:tabs>
          <w:tab w:val="left" w:pos="540"/>
        </w:tabs>
        <w:snapToGrid w:val="0"/>
        <w:spacing w:line="360" w:lineRule="auto"/>
        <w:ind w:left="0" w:leftChars="0" w:firstLine="420" w:firstLineChars="0"/>
        <w:rPr>
          <w:rStyle w:val="70"/>
          <w:rFonts w:ascii="宋体"/>
          <w:b/>
          <w:bCs w:val="0"/>
          <w:color w:val="auto"/>
          <w:sz w:val="24"/>
          <w:szCs w:val="24"/>
          <w:lang w:val="zh-CN"/>
        </w:rPr>
      </w:pPr>
      <w:r>
        <w:rPr>
          <w:rStyle w:val="70"/>
          <w:rFonts w:ascii="宋体"/>
          <w:b/>
          <w:bCs w:val="0"/>
          <w:color w:val="auto"/>
          <w:sz w:val="24"/>
          <w:szCs w:val="24"/>
          <w:lang w:val="zh-CN"/>
        </w:rPr>
        <w:t>其他要求</w:t>
      </w:r>
    </w:p>
    <w:p w14:paraId="46C7F9AE">
      <w:pPr>
        <w:numPr>
          <w:ilvl w:val="0"/>
          <w:numId w:val="56"/>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经营期满后，中标人须按</w:t>
      </w:r>
      <w:r>
        <w:rPr>
          <w:rStyle w:val="70"/>
          <w:rFonts w:hint="eastAsia" w:ascii="宋体" w:hAnsi="宋体"/>
          <w:color w:val="auto"/>
          <w:sz w:val="24"/>
          <w:szCs w:val="24"/>
        </w:rPr>
        <w:t>采购人</w:t>
      </w:r>
      <w:r>
        <w:rPr>
          <w:rStyle w:val="70"/>
          <w:rFonts w:ascii="宋体" w:hAnsi="宋体"/>
          <w:color w:val="auto"/>
          <w:sz w:val="24"/>
          <w:szCs w:val="24"/>
        </w:rPr>
        <w:t>要求交还原有设备。原有设备若有损坏要修复、按原价赔偿。</w:t>
      </w:r>
    </w:p>
    <w:p w14:paraId="1558F5B1">
      <w:pPr>
        <w:numPr>
          <w:ilvl w:val="0"/>
          <w:numId w:val="56"/>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中标人因经营管理失职造成食物中毒事件、人身损害事故及其他安全事故，中标人赔偿由此引起的一切损失，情节严重者追究中标人的民事和刑事责任。发生重大事故的，</w:t>
      </w:r>
      <w:r>
        <w:rPr>
          <w:rStyle w:val="70"/>
          <w:rFonts w:hint="eastAsia" w:ascii="宋体" w:hAnsi="宋体"/>
          <w:color w:val="auto"/>
          <w:sz w:val="24"/>
          <w:szCs w:val="24"/>
        </w:rPr>
        <w:t>采购人</w:t>
      </w:r>
      <w:r>
        <w:rPr>
          <w:rStyle w:val="70"/>
          <w:rFonts w:ascii="宋体" w:hAnsi="宋体"/>
          <w:color w:val="auto"/>
          <w:sz w:val="24"/>
          <w:szCs w:val="24"/>
        </w:rPr>
        <w:t>有权无条件终止合同，并要求依法补偿造成的经济损失。</w:t>
      </w:r>
    </w:p>
    <w:p w14:paraId="3185EF28">
      <w:pPr>
        <w:numPr>
          <w:ilvl w:val="0"/>
          <w:numId w:val="56"/>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食堂卫生由中标人负责管理，如卫生检查不能通过的，行政、卫生监督</w:t>
      </w:r>
      <w:r>
        <w:rPr>
          <w:rStyle w:val="70"/>
          <w:rFonts w:hint="eastAsia" w:ascii="宋体" w:hAnsi="宋体"/>
          <w:color w:val="auto"/>
          <w:sz w:val="24"/>
          <w:szCs w:val="24"/>
          <w:lang w:eastAsia="zh-CN"/>
        </w:rPr>
        <w:t>部门</w:t>
      </w:r>
      <w:r>
        <w:rPr>
          <w:rStyle w:val="70"/>
          <w:rFonts w:ascii="宋体" w:hAnsi="宋体"/>
          <w:color w:val="auto"/>
          <w:sz w:val="24"/>
          <w:szCs w:val="24"/>
        </w:rPr>
        <w:t>责令整改、罚款等，均由中标人自行承担。如一学年内被行政、卫生监督部门行政处罚、通报（包括暗访）两次及以上的，</w:t>
      </w:r>
      <w:r>
        <w:rPr>
          <w:rStyle w:val="70"/>
          <w:rFonts w:hint="eastAsia" w:ascii="宋体" w:hAnsi="宋体"/>
          <w:color w:val="auto"/>
          <w:sz w:val="24"/>
          <w:szCs w:val="24"/>
        </w:rPr>
        <w:t>采购人</w:t>
      </w:r>
      <w:r>
        <w:rPr>
          <w:rStyle w:val="70"/>
          <w:rFonts w:ascii="宋体" w:hAnsi="宋体"/>
          <w:color w:val="auto"/>
          <w:sz w:val="24"/>
          <w:szCs w:val="24"/>
        </w:rPr>
        <w:t>有权无条件终止合同。</w:t>
      </w:r>
    </w:p>
    <w:p w14:paraId="1549D5B8">
      <w:pPr>
        <w:numPr>
          <w:ilvl w:val="0"/>
          <w:numId w:val="56"/>
        </w:numPr>
        <w:snapToGrid w:val="0"/>
        <w:spacing w:line="360" w:lineRule="auto"/>
        <w:ind w:left="0" w:leftChars="0" w:firstLine="480" w:firstLineChars="200"/>
        <w:rPr>
          <w:rStyle w:val="70"/>
          <w:rFonts w:ascii="宋体" w:hAnsi="宋体"/>
          <w:color w:val="auto"/>
          <w:sz w:val="24"/>
          <w:szCs w:val="24"/>
        </w:rPr>
      </w:pPr>
      <w:r>
        <w:rPr>
          <w:rStyle w:val="70"/>
          <w:rFonts w:ascii="宋体" w:hAnsi="宋体"/>
          <w:color w:val="auto"/>
          <w:sz w:val="24"/>
          <w:szCs w:val="24"/>
        </w:rPr>
        <w:t>中标人达不到</w:t>
      </w:r>
      <w:r>
        <w:rPr>
          <w:rStyle w:val="70"/>
          <w:rFonts w:hint="eastAsia" w:ascii="宋体" w:hAnsi="宋体"/>
          <w:color w:val="auto"/>
          <w:sz w:val="24"/>
          <w:szCs w:val="24"/>
        </w:rPr>
        <w:t>采购人</w:t>
      </w:r>
      <w:r>
        <w:rPr>
          <w:rStyle w:val="70"/>
          <w:rFonts w:ascii="宋体" w:hAnsi="宋体"/>
          <w:color w:val="auto"/>
          <w:sz w:val="24"/>
          <w:szCs w:val="24"/>
        </w:rPr>
        <w:t>要求及投标时各项服务承诺，</w:t>
      </w:r>
      <w:r>
        <w:rPr>
          <w:rStyle w:val="70"/>
          <w:rFonts w:hint="eastAsia" w:ascii="宋体" w:hAnsi="宋体"/>
          <w:color w:val="auto"/>
          <w:sz w:val="24"/>
          <w:szCs w:val="24"/>
        </w:rPr>
        <w:t>采购人</w:t>
      </w:r>
      <w:r>
        <w:rPr>
          <w:rStyle w:val="70"/>
          <w:rFonts w:ascii="宋体" w:hAnsi="宋体"/>
          <w:color w:val="auto"/>
          <w:sz w:val="24"/>
          <w:szCs w:val="24"/>
        </w:rPr>
        <w:t>有权要求其整改。若拒不整改的，</w:t>
      </w:r>
      <w:r>
        <w:rPr>
          <w:rStyle w:val="70"/>
          <w:rFonts w:hint="eastAsia" w:ascii="宋体" w:hAnsi="宋体"/>
          <w:color w:val="auto"/>
          <w:sz w:val="24"/>
          <w:szCs w:val="24"/>
        </w:rPr>
        <w:t>采购人</w:t>
      </w:r>
      <w:r>
        <w:rPr>
          <w:rStyle w:val="70"/>
          <w:rFonts w:ascii="宋体" w:hAnsi="宋体"/>
          <w:color w:val="auto"/>
          <w:sz w:val="24"/>
          <w:szCs w:val="24"/>
        </w:rPr>
        <w:t>有权无条件终止合同，并</w:t>
      </w:r>
      <w:r>
        <w:rPr>
          <w:rStyle w:val="70"/>
          <w:rFonts w:hint="eastAsia" w:ascii="宋体" w:hAnsi="宋体"/>
          <w:color w:val="auto"/>
          <w:sz w:val="24"/>
          <w:szCs w:val="24"/>
          <w:lang w:val="en-US"/>
        </w:rPr>
        <w:t>要求中标人承担合同金额5%的违约金</w:t>
      </w:r>
      <w:r>
        <w:rPr>
          <w:rStyle w:val="70"/>
          <w:rFonts w:ascii="宋体" w:hAnsi="宋体"/>
          <w:color w:val="auto"/>
          <w:sz w:val="24"/>
          <w:szCs w:val="24"/>
        </w:rPr>
        <w:t>。</w:t>
      </w:r>
    </w:p>
    <w:p w14:paraId="4B18956B">
      <w:pPr>
        <w:numPr>
          <w:ilvl w:val="0"/>
          <w:numId w:val="56"/>
        </w:numPr>
        <w:snapToGrid w:val="0"/>
        <w:spacing w:line="360" w:lineRule="auto"/>
        <w:ind w:left="0" w:leftChars="0" w:firstLine="480" w:firstLineChars="200"/>
        <w:rPr>
          <w:rStyle w:val="70"/>
          <w:rFonts w:ascii="宋体" w:hAnsi="宋体"/>
          <w:color w:val="auto"/>
          <w:sz w:val="24"/>
          <w:szCs w:val="24"/>
        </w:rPr>
      </w:pPr>
      <w:r>
        <w:rPr>
          <w:rStyle w:val="70"/>
          <w:rFonts w:hint="eastAsia" w:ascii="宋体" w:hAnsi="宋体"/>
          <w:color w:val="auto"/>
          <w:sz w:val="24"/>
          <w:szCs w:val="24"/>
        </w:rPr>
        <w:t>采购人</w:t>
      </w:r>
      <w:r>
        <w:rPr>
          <w:rStyle w:val="70"/>
          <w:rFonts w:ascii="宋体" w:hAnsi="宋体"/>
          <w:color w:val="auto"/>
          <w:sz w:val="24"/>
          <w:szCs w:val="24"/>
        </w:rPr>
        <w:t>将根据相关考核标准及师生满意度测评情况对中标人服务质量进行考核，对不足之处</w:t>
      </w:r>
      <w:r>
        <w:rPr>
          <w:rStyle w:val="70"/>
          <w:rFonts w:hint="eastAsia" w:ascii="宋体" w:hAnsi="宋体"/>
          <w:color w:val="auto"/>
          <w:sz w:val="24"/>
          <w:szCs w:val="24"/>
        </w:rPr>
        <w:t>采购人</w:t>
      </w:r>
      <w:r>
        <w:rPr>
          <w:rStyle w:val="70"/>
          <w:rFonts w:ascii="宋体" w:hAnsi="宋体"/>
          <w:color w:val="auto"/>
          <w:sz w:val="24"/>
          <w:szCs w:val="24"/>
        </w:rPr>
        <w:t>有权要求其整改。若拒不整改的，</w:t>
      </w:r>
      <w:r>
        <w:rPr>
          <w:rStyle w:val="70"/>
          <w:rFonts w:hint="eastAsia" w:ascii="宋体" w:hAnsi="宋体"/>
          <w:color w:val="auto"/>
          <w:sz w:val="24"/>
          <w:szCs w:val="24"/>
        </w:rPr>
        <w:t>采购人</w:t>
      </w:r>
      <w:r>
        <w:rPr>
          <w:rStyle w:val="70"/>
          <w:rFonts w:ascii="宋体" w:hAnsi="宋体"/>
          <w:color w:val="auto"/>
          <w:sz w:val="24"/>
          <w:szCs w:val="24"/>
        </w:rPr>
        <w:t>有权无条件终止合同。</w:t>
      </w:r>
    </w:p>
    <w:p w14:paraId="47C9ED07">
      <w:pPr>
        <w:numPr>
          <w:ilvl w:val="0"/>
          <w:numId w:val="56"/>
        </w:numPr>
        <w:snapToGrid w:val="0"/>
        <w:spacing w:line="360" w:lineRule="auto"/>
        <w:ind w:left="0" w:leftChars="0" w:firstLine="480" w:firstLineChars="200"/>
        <w:rPr>
          <w:rStyle w:val="70"/>
          <w:rFonts w:ascii="宋体" w:hAnsi="宋体"/>
          <w:color w:val="auto"/>
          <w:sz w:val="24"/>
          <w:szCs w:val="24"/>
        </w:rPr>
      </w:pPr>
      <w:r>
        <w:rPr>
          <w:rStyle w:val="70"/>
          <w:rFonts w:hint="eastAsia" w:ascii="宋体" w:hAnsi="宋体"/>
          <w:color w:val="auto"/>
          <w:sz w:val="24"/>
          <w:szCs w:val="24"/>
        </w:rPr>
        <w:t>采购人对中标人的厨师和服务员如不满意的，有权要求中标人在一星期内更换厨师和服务员，中标人不得拒绝，否则采购人</w:t>
      </w:r>
      <w:r>
        <w:rPr>
          <w:rStyle w:val="70"/>
          <w:rFonts w:ascii="宋体" w:hAnsi="宋体"/>
          <w:color w:val="auto"/>
          <w:sz w:val="24"/>
          <w:szCs w:val="24"/>
        </w:rPr>
        <w:t>有权无条件终止合同</w:t>
      </w:r>
      <w:r>
        <w:rPr>
          <w:rStyle w:val="70"/>
          <w:rFonts w:hint="eastAsia" w:ascii="宋体" w:hAnsi="宋体"/>
          <w:color w:val="auto"/>
          <w:sz w:val="24"/>
          <w:szCs w:val="24"/>
        </w:rPr>
        <w:t>。</w:t>
      </w:r>
    </w:p>
    <w:p w14:paraId="091D9435">
      <w:pPr>
        <w:pStyle w:val="7"/>
        <w:numPr>
          <w:ilvl w:val="0"/>
          <w:numId w:val="56"/>
        </w:numPr>
        <w:spacing w:line="360" w:lineRule="auto"/>
        <w:ind w:left="0" w:leftChars="0" w:firstLine="480" w:firstLineChars="200"/>
        <w:rPr>
          <w:rFonts w:hint="eastAsia"/>
          <w:color w:val="auto"/>
          <w:sz w:val="24"/>
          <w:szCs w:val="24"/>
        </w:rPr>
      </w:pPr>
      <w:r>
        <w:rPr>
          <w:rStyle w:val="70"/>
          <w:rFonts w:ascii="宋体" w:hAnsi="宋体"/>
          <w:color w:val="auto"/>
          <w:sz w:val="24"/>
          <w:szCs w:val="24"/>
        </w:rPr>
        <w:t>食堂所有台账由中标单位负责组织人员进行记录整理。</w:t>
      </w:r>
    </w:p>
    <w:p w14:paraId="6BF09A90">
      <w:pPr>
        <w:pStyle w:val="7"/>
        <w:numPr>
          <w:ilvl w:val="0"/>
          <w:numId w:val="56"/>
        </w:numPr>
        <w:spacing w:line="360" w:lineRule="auto"/>
        <w:ind w:left="0" w:leftChars="0" w:firstLine="480" w:firstLineChars="200"/>
        <w:rPr>
          <w:rStyle w:val="70"/>
          <w:rFonts w:hint="eastAsia" w:ascii="宋体" w:hAnsi="宋体" w:eastAsia="宋体" w:cs="Times New Roman"/>
          <w:color w:val="auto"/>
          <w:sz w:val="24"/>
          <w:szCs w:val="24"/>
          <w:highlight w:val="none"/>
          <w:lang w:val="en-US"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Style w:val="70"/>
          <w:rFonts w:hint="eastAsia" w:ascii="宋体" w:hAnsi="宋体" w:eastAsia="宋体" w:cs="Times New Roman"/>
          <w:color w:val="auto"/>
          <w:sz w:val="24"/>
          <w:szCs w:val="24"/>
          <w:highlight w:val="none"/>
          <w:lang w:val="en-US" w:eastAsia="zh-CN"/>
        </w:rPr>
        <w:t>中标人需购买校园食品安全责任保险。</w:t>
      </w:r>
    </w:p>
    <w:p w14:paraId="72068538">
      <w:pPr>
        <w:numPr>
          <w:ilvl w:val="0"/>
          <w:numId w:val="57"/>
        </w:numPr>
        <w:ind w:left="0" w:leftChars="0" w:firstLine="420" w:firstLineChars="0"/>
        <w:outlineLvl w:val="1"/>
        <w:rPr>
          <w:rFonts w:hint="eastAsia" w:ascii="宋体" w:hAnsi="宋体" w:eastAsia="宋体" w:cs="宋体"/>
          <w:b/>
          <w:color w:val="auto"/>
          <w:sz w:val="24"/>
          <w:szCs w:val="24"/>
          <w:highlight w:val="none"/>
        </w:rPr>
      </w:pPr>
      <w:bookmarkStart w:id="41" w:name="_Toc1390"/>
      <w:r>
        <w:rPr>
          <w:rFonts w:hint="eastAsia" w:ascii="宋体" w:hAnsi="宋体" w:eastAsia="宋体" w:cs="宋体"/>
          <w:b/>
          <w:color w:val="auto"/>
          <w:sz w:val="24"/>
          <w:szCs w:val="24"/>
          <w:highlight w:val="none"/>
        </w:rPr>
        <w:t>商务需求</w:t>
      </w:r>
      <w:bookmarkEnd w:id="41"/>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01"/>
        <w:gridCol w:w="7057"/>
      </w:tblGrid>
      <w:tr w14:paraId="0C604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01" w:type="dxa"/>
            <w:tcBorders>
              <w:top w:val="single" w:color="auto" w:sz="4" w:space="0"/>
              <w:left w:val="single" w:color="auto" w:sz="4" w:space="0"/>
              <w:bottom w:val="single" w:color="auto" w:sz="4" w:space="0"/>
              <w:right w:val="single" w:color="auto" w:sz="4" w:space="0"/>
            </w:tcBorders>
            <w:vAlign w:val="center"/>
          </w:tcPr>
          <w:p w14:paraId="27CDE31B">
            <w:pPr>
              <w:widowControl/>
              <w:spacing w:line="312" w:lineRule="auto"/>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事项</w:t>
            </w:r>
          </w:p>
        </w:tc>
        <w:tc>
          <w:tcPr>
            <w:tcW w:w="7057" w:type="dxa"/>
            <w:tcBorders>
              <w:top w:val="single" w:color="auto" w:sz="4" w:space="0"/>
              <w:left w:val="single" w:color="auto" w:sz="4" w:space="0"/>
              <w:bottom w:val="single" w:color="auto" w:sz="4" w:space="0"/>
              <w:right w:val="single" w:color="auto" w:sz="4" w:space="0"/>
            </w:tcBorders>
            <w:vAlign w:val="center"/>
          </w:tcPr>
          <w:p w14:paraId="35675289">
            <w:pPr>
              <w:widowControl/>
              <w:spacing w:line="312"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要 求</w:t>
            </w:r>
          </w:p>
        </w:tc>
      </w:tr>
      <w:tr w14:paraId="61FB9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01" w:type="dxa"/>
            <w:tcBorders>
              <w:top w:val="single" w:color="auto" w:sz="4" w:space="0"/>
              <w:left w:val="single" w:color="auto" w:sz="4" w:space="0"/>
              <w:bottom w:val="single" w:color="auto" w:sz="4" w:space="0"/>
              <w:right w:val="single" w:color="auto" w:sz="4" w:space="0"/>
            </w:tcBorders>
            <w:vAlign w:val="center"/>
          </w:tcPr>
          <w:p w14:paraId="7A634C1A">
            <w:pPr>
              <w:widowControl/>
              <w:spacing w:line="312"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服务</w:t>
            </w:r>
            <w:r>
              <w:rPr>
                <w:rFonts w:hint="eastAsia" w:ascii="宋体" w:hAnsi="宋体" w:eastAsia="宋体" w:cs="宋体"/>
                <w:b/>
                <w:bCs/>
                <w:color w:val="auto"/>
                <w:kern w:val="0"/>
                <w:sz w:val="21"/>
                <w:szCs w:val="21"/>
                <w:highlight w:val="none"/>
              </w:rPr>
              <w:t>期</w:t>
            </w:r>
          </w:p>
        </w:tc>
        <w:tc>
          <w:tcPr>
            <w:tcW w:w="7057" w:type="dxa"/>
            <w:tcBorders>
              <w:top w:val="single" w:color="auto" w:sz="4" w:space="0"/>
              <w:left w:val="single" w:color="auto" w:sz="4" w:space="0"/>
              <w:bottom w:val="single" w:color="auto" w:sz="4" w:space="0"/>
              <w:right w:val="single" w:color="auto" w:sz="4" w:space="0"/>
            </w:tcBorders>
            <w:vAlign w:val="center"/>
          </w:tcPr>
          <w:p w14:paraId="7394FB5D">
            <w:pPr>
              <w:widowControl/>
              <w:spacing w:line="312" w:lineRule="auto"/>
              <w:jc w:val="left"/>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val="en-US" w:eastAsia="zh-CN"/>
              </w:rPr>
              <w:t>2025-2026学年。服务期满后，满意度达到80%及以上，并经校行政会议研究通过的，续签合同。续签时的合同金额不变，供应商不得有异议或拒绝。续签期限为一学年，续签2次。</w:t>
            </w:r>
          </w:p>
        </w:tc>
      </w:tr>
      <w:tr w14:paraId="3B3CE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01" w:type="dxa"/>
            <w:tcBorders>
              <w:top w:val="single" w:color="auto" w:sz="4" w:space="0"/>
              <w:left w:val="single" w:color="auto" w:sz="4" w:space="0"/>
              <w:bottom w:val="single" w:color="auto" w:sz="4" w:space="0"/>
              <w:right w:val="single" w:color="auto" w:sz="4" w:space="0"/>
            </w:tcBorders>
            <w:vAlign w:val="center"/>
          </w:tcPr>
          <w:p w14:paraId="6114916B">
            <w:pPr>
              <w:widowControl/>
              <w:spacing w:line="312"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▲付款条件</w:t>
            </w:r>
          </w:p>
        </w:tc>
        <w:tc>
          <w:tcPr>
            <w:tcW w:w="7057" w:type="dxa"/>
            <w:tcBorders>
              <w:top w:val="single" w:color="auto" w:sz="4" w:space="0"/>
              <w:left w:val="single" w:color="auto" w:sz="4" w:space="0"/>
              <w:bottom w:val="single" w:color="auto" w:sz="4" w:space="0"/>
              <w:right w:val="single" w:color="auto" w:sz="4" w:space="0"/>
            </w:tcBorders>
            <w:vAlign w:val="center"/>
          </w:tcPr>
          <w:p w14:paraId="27CC3679">
            <w:pPr>
              <w:widowControl/>
              <w:spacing w:line="312" w:lineRule="auto"/>
              <w:jc w:val="left"/>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每月10日前，由中标人提供正式票据后支付，采购人每月支付上月服务费用的90%。一学年按10个月计，每月服务费=</w:t>
            </w:r>
            <w:r>
              <w:rPr>
                <w:rFonts w:hint="eastAsia" w:ascii="宋体" w:hAnsi="宋体" w:cs="宋体"/>
                <w:b/>
                <w:bCs/>
                <w:color w:val="auto"/>
                <w:sz w:val="21"/>
                <w:szCs w:val="21"/>
                <w:highlight w:val="none"/>
                <w:lang w:val="en-US" w:eastAsia="zh-CN"/>
              </w:rPr>
              <w:t>师生餐费总额*中标价</w:t>
            </w:r>
            <w:r>
              <w:rPr>
                <w:rFonts w:hint="eastAsia" w:ascii="宋体" w:hAnsi="宋体" w:cs="宋体"/>
                <w:b/>
                <w:bCs/>
                <w:color w:val="auto"/>
                <w:kern w:val="0"/>
                <w:sz w:val="21"/>
                <w:szCs w:val="21"/>
                <w:highlight w:val="none"/>
                <w:lang w:val="en-US" w:eastAsia="zh-CN"/>
              </w:rPr>
              <w:t>/10。采购人每月提取的10%服务费用作为考核经费，根据每学期测评结果支付。</w:t>
            </w:r>
          </w:p>
          <w:p w14:paraId="1A30434E">
            <w:pPr>
              <w:widowControl/>
              <w:spacing w:line="312" w:lineRule="auto"/>
              <w:jc w:val="left"/>
              <w:rPr>
                <w:rFonts w:hint="eastAsia" w:ascii="宋体" w:hAnsi="宋体" w:cs="宋体"/>
                <w:b/>
                <w:bCs/>
                <w:color w:val="auto"/>
                <w:kern w:val="0"/>
                <w:sz w:val="21"/>
                <w:szCs w:val="21"/>
                <w:highlight w:val="none"/>
                <w:lang w:val="en-US" w:eastAsia="zh-CN"/>
              </w:rPr>
            </w:pPr>
            <w:r>
              <w:rPr>
                <w:rFonts w:hint="eastAsia" w:ascii="宋体" w:hAnsi="宋体" w:cs="宋体"/>
                <w:b/>
                <w:bCs/>
                <w:color w:val="auto"/>
                <w:sz w:val="21"/>
                <w:szCs w:val="21"/>
                <w:highlight w:val="none"/>
                <w:lang w:val="en-US" w:eastAsia="zh-CN"/>
              </w:rPr>
              <w:t>每学期末结算服务费余额（即最后一次按经校方审定的实际师生餐费总额作为基数，其余月份按预收取的师生餐费总额作为基准）</w:t>
            </w:r>
          </w:p>
          <w:p w14:paraId="589BC5AD">
            <w:pPr>
              <w:widowControl/>
              <w:spacing w:line="312"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若遇特殊情况有服务人员临时不能到位或岗位不符的，按其岗位平均每月人员开支的标准扣除服务费。</w:t>
            </w:r>
          </w:p>
        </w:tc>
      </w:tr>
      <w:tr w14:paraId="4F460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01" w:type="dxa"/>
            <w:tcBorders>
              <w:top w:val="single" w:color="auto" w:sz="4" w:space="0"/>
              <w:left w:val="single" w:color="auto" w:sz="4" w:space="0"/>
              <w:bottom w:val="single" w:color="auto" w:sz="4" w:space="0"/>
              <w:right w:val="single" w:color="auto" w:sz="4" w:space="0"/>
            </w:tcBorders>
            <w:vAlign w:val="center"/>
          </w:tcPr>
          <w:p w14:paraId="28B1775D">
            <w:pPr>
              <w:widowControl/>
              <w:spacing w:line="312" w:lineRule="auto"/>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服务费说明</w:t>
            </w:r>
          </w:p>
        </w:tc>
        <w:tc>
          <w:tcPr>
            <w:tcW w:w="7057" w:type="dxa"/>
            <w:tcBorders>
              <w:top w:val="single" w:color="auto" w:sz="4" w:space="0"/>
              <w:left w:val="single" w:color="auto" w:sz="4" w:space="0"/>
              <w:bottom w:val="single" w:color="auto" w:sz="4" w:space="0"/>
              <w:right w:val="single" w:color="auto" w:sz="4" w:space="0"/>
            </w:tcBorders>
            <w:vAlign w:val="center"/>
          </w:tcPr>
          <w:p w14:paraId="5E58EC82">
            <w:pPr>
              <w:widowControl/>
              <w:spacing w:line="312" w:lineRule="auto"/>
              <w:jc w:val="lef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以师生餐费总额作为基数（不包括其他临时用工人员的餐费），乘以中标价。如：师生餐费总额为300万元，中标价为20%，即该学年服务费为60万元。</w:t>
            </w:r>
          </w:p>
        </w:tc>
      </w:tr>
    </w:tbl>
    <w:p w14:paraId="4FA470BE">
      <w:pPr>
        <w:pStyle w:val="4"/>
        <w:numPr>
          <w:ilvl w:val="0"/>
          <w:numId w:val="0"/>
        </w:numPr>
        <w:ind w:left="425" w:leftChars="0"/>
        <w:jc w:val="both"/>
        <w:outlineLvl w:val="9"/>
        <w:rPr>
          <w:highlight w:val="none"/>
        </w:rPr>
      </w:pPr>
    </w:p>
    <w:p w14:paraId="51DA36F3">
      <w:pPr>
        <w:snapToGrid w:val="0"/>
        <w:spacing w:line="360" w:lineRule="auto"/>
        <w:ind w:firstLine="354" w:firstLineChars="169"/>
        <w:jc w:val="left"/>
        <w:rPr>
          <w:highlight w:val="none"/>
        </w:rPr>
      </w:pPr>
    </w:p>
    <w:p w14:paraId="32A0B3F6">
      <w:pPr>
        <w:pStyle w:val="34"/>
        <w:ind w:firstLine="0" w:firstLineChars="0"/>
        <w:rPr>
          <w:highlight w:val="none"/>
        </w:rPr>
      </w:pPr>
    </w:p>
    <w:p w14:paraId="04BC85CD">
      <w:pPr>
        <w:pStyle w:val="34"/>
        <w:ind w:firstLine="0" w:firstLineChars="0"/>
        <w:rPr>
          <w:highlight w:val="none"/>
        </w:rPr>
      </w:pPr>
    </w:p>
    <w:p w14:paraId="26087AC0">
      <w:pPr>
        <w:pStyle w:val="34"/>
        <w:ind w:firstLine="0" w:firstLineChars="0"/>
        <w:rPr>
          <w:highlight w:val="none"/>
        </w:rPr>
      </w:pPr>
    </w:p>
    <w:p w14:paraId="38F463F3">
      <w:pPr>
        <w:pStyle w:val="34"/>
        <w:ind w:firstLine="0" w:firstLineChars="0"/>
        <w:rPr>
          <w:highlight w:val="none"/>
        </w:rPr>
      </w:pPr>
    </w:p>
    <w:p w14:paraId="349E7CB8">
      <w:pP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br w:type="page"/>
      </w:r>
    </w:p>
    <w:p w14:paraId="3D8C7EF3">
      <w:pPr>
        <w:numPr>
          <w:ilvl w:val="0"/>
          <w:numId w:val="17"/>
        </w:numPr>
        <w:spacing w:line="360" w:lineRule="auto"/>
        <w:jc w:val="center"/>
        <w:outlineLvl w:val="0"/>
        <w:rPr>
          <w:rFonts w:asciiTheme="minorEastAsia" w:hAnsiTheme="minorEastAsia" w:eastAsiaTheme="minorEastAsia"/>
          <w:b/>
          <w:sz w:val="36"/>
          <w:szCs w:val="36"/>
          <w:highlight w:val="none"/>
        </w:rPr>
      </w:pPr>
      <w:bookmarkStart w:id="42" w:name="_Toc13451"/>
      <w:r>
        <w:rPr>
          <w:rFonts w:hint="eastAsia" w:asciiTheme="minorEastAsia" w:hAnsiTheme="minorEastAsia" w:eastAsiaTheme="minorEastAsia"/>
          <w:b/>
          <w:sz w:val="36"/>
          <w:szCs w:val="36"/>
          <w:highlight w:val="none"/>
        </w:rPr>
        <w:t>评标</w:t>
      </w:r>
      <w:bookmarkEnd w:id="42"/>
    </w:p>
    <w:p w14:paraId="68963578">
      <w:pPr>
        <w:keepNext w:val="0"/>
        <w:keepLines w:val="0"/>
        <w:pageBreakBefore w:val="0"/>
        <w:numPr>
          <w:ilvl w:val="0"/>
          <w:numId w:val="58"/>
        </w:numPr>
        <w:kinsoku/>
        <w:wordWrap/>
        <w:overflowPunct/>
        <w:topLinePunct w:val="0"/>
        <w:bidi w:val="0"/>
        <w:adjustRightInd/>
        <w:snapToGrid/>
        <w:spacing w:line="360" w:lineRule="auto"/>
        <w:ind w:left="0" w:leftChars="0" w:firstLine="482" w:firstLineChars="200"/>
        <w:jc w:val="left"/>
        <w:textAlignment w:val="auto"/>
        <w:rPr>
          <w:rFonts w:ascii="宋体" w:hAnsi="宋体" w:cs="宋体"/>
          <w:b/>
          <w:bCs/>
          <w:sz w:val="24"/>
          <w:highlight w:val="none"/>
        </w:rPr>
      </w:pPr>
      <w:r>
        <w:rPr>
          <w:rFonts w:hint="eastAsia" w:ascii="宋体" w:hAnsi="宋体" w:cs="宋体"/>
          <w:b/>
          <w:bCs/>
          <w:sz w:val="24"/>
          <w:highlight w:val="none"/>
        </w:rPr>
        <w:t>评标原则</w:t>
      </w:r>
    </w:p>
    <w:p w14:paraId="4B90D2F0">
      <w:pPr>
        <w:keepNext w:val="0"/>
        <w:keepLines w:val="0"/>
        <w:pageBreakBefore w:val="0"/>
        <w:numPr>
          <w:ilvl w:val="0"/>
          <w:numId w:val="59"/>
        </w:numPr>
        <w:kinsoku/>
        <w:wordWrap/>
        <w:overflowPunct/>
        <w:topLinePunct w:val="0"/>
        <w:bidi w:val="0"/>
        <w:adjustRightInd/>
        <w:snapToGrid/>
        <w:spacing w:line="360" w:lineRule="auto"/>
        <w:ind w:left="0" w:leftChars="0" w:firstLine="480" w:firstLineChars="200"/>
        <w:jc w:val="left"/>
        <w:textAlignment w:val="auto"/>
        <w:rPr>
          <w:rFonts w:ascii="宋体" w:hAnsi="宋体" w:cs="宋体"/>
          <w:sz w:val="24"/>
          <w:highlight w:val="none"/>
        </w:rPr>
      </w:pPr>
      <w:r>
        <w:rPr>
          <w:rFonts w:hint="eastAsia" w:ascii="宋体" w:hAnsi="宋体" w:cs="宋体"/>
          <w:sz w:val="24"/>
          <w:highlight w:val="none"/>
        </w:rPr>
        <w:t>评标活动遵循公平、公正、科学和择优的原则，以招标文件和投标文件为评标的基本依据，并按照招标文件规定的评标方法和评标标准进行评标。</w:t>
      </w:r>
    </w:p>
    <w:p w14:paraId="277DAF48">
      <w:pPr>
        <w:keepNext w:val="0"/>
        <w:keepLines w:val="0"/>
        <w:pageBreakBefore w:val="0"/>
        <w:numPr>
          <w:ilvl w:val="0"/>
          <w:numId w:val="59"/>
        </w:numPr>
        <w:kinsoku/>
        <w:wordWrap/>
        <w:overflowPunct/>
        <w:topLinePunct w:val="0"/>
        <w:bidi w:val="0"/>
        <w:adjustRightInd/>
        <w:snapToGrid/>
        <w:spacing w:line="360" w:lineRule="auto"/>
        <w:ind w:left="0" w:leftChars="0" w:firstLine="480" w:firstLineChars="200"/>
        <w:jc w:val="left"/>
        <w:textAlignment w:val="auto"/>
        <w:rPr>
          <w:rFonts w:ascii="宋体" w:hAnsi="宋体" w:cs="宋体"/>
          <w:sz w:val="24"/>
          <w:highlight w:val="none"/>
        </w:rPr>
      </w:pPr>
      <w:r>
        <w:rPr>
          <w:rFonts w:hint="eastAsia" w:ascii="宋体" w:hAnsi="宋体" w:cs="宋体"/>
          <w:sz w:val="24"/>
          <w:highlight w:val="none"/>
        </w:rPr>
        <w:t>任何单位和个人不得干扰、影响评标的正常进行；评标委员会及有关工作人员应不带任何倾向性和启发性，不得向外界透露任何与评标有关的内容，不得私下与投标人接触。</w:t>
      </w:r>
    </w:p>
    <w:p w14:paraId="31852D4C">
      <w:pPr>
        <w:keepNext w:val="0"/>
        <w:keepLines w:val="0"/>
        <w:pageBreakBefore w:val="0"/>
        <w:numPr>
          <w:ilvl w:val="0"/>
          <w:numId w:val="58"/>
        </w:numPr>
        <w:kinsoku/>
        <w:wordWrap/>
        <w:overflowPunct/>
        <w:topLinePunct w:val="0"/>
        <w:bidi w:val="0"/>
        <w:adjustRightInd/>
        <w:snapToGrid/>
        <w:spacing w:line="360" w:lineRule="auto"/>
        <w:ind w:left="0" w:leftChars="0" w:firstLine="482" w:firstLineChars="200"/>
        <w:jc w:val="left"/>
        <w:textAlignment w:val="auto"/>
        <w:rPr>
          <w:rFonts w:ascii="宋体" w:hAnsi="宋体" w:cs="宋体"/>
          <w:b/>
          <w:bCs/>
          <w:sz w:val="24"/>
          <w:highlight w:val="none"/>
        </w:rPr>
      </w:pPr>
      <w:r>
        <w:rPr>
          <w:rFonts w:hint="eastAsia" w:ascii="宋体" w:hAnsi="宋体" w:cs="宋体"/>
          <w:b/>
          <w:bCs/>
          <w:sz w:val="24"/>
          <w:highlight w:val="none"/>
        </w:rPr>
        <w:t>评标方法</w:t>
      </w:r>
    </w:p>
    <w:p w14:paraId="77BBF60F">
      <w:pPr>
        <w:keepNext w:val="0"/>
        <w:keepLines w:val="0"/>
        <w:pageBreakBefore w:val="0"/>
        <w:kinsoku/>
        <w:wordWrap/>
        <w:overflowPunct/>
        <w:topLinePunct w:val="0"/>
        <w:bidi w:val="0"/>
        <w:adjustRightInd/>
        <w:snapToGrid/>
        <w:spacing w:line="360" w:lineRule="auto"/>
        <w:ind w:firstLine="480" w:firstLineChars="200"/>
        <w:jc w:val="left"/>
        <w:textAlignment w:val="auto"/>
        <w:rPr>
          <w:highlight w:val="none"/>
        </w:rPr>
      </w:pPr>
      <w:r>
        <w:rPr>
          <w:rFonts w:hint="eastAsia" w:ascii="宋体" w:hAnsi="宋体" w:cs="宋体"/>
          <w:sz w:val="24"/>
          <w:highlight w:val="none"/>
        </w:rPr>
        <w:t>综合评分法，是指投标文件满足招标文件全部实质性要求，且按照评审因素的量化指标评审得分最高的投标人为中标候选人的评标方法。</w:t>
      </w:r>
    </w:p>
    <w:p w14:paraId="08A96872">
      <w:pPr>
        <w:pStyle w:val="2"/>
        <w:keepNext w:val="0"/>
        <w:keepLines w:val="0"/>
        <w:pageBreakBefore w:val="0"/>
        <w:numPr>
          <w:ilvl w:val="0"/>
          <w:numId w:val="58"/>
        </w:numPr>
        <w:kinsoku/>
        <w:wordWrap/>
        <w:overflowPunct/>
        <w:topLinePunct w:val="0"/>
        <w:bidi w:val="0"/>
        <w:adjustRightInd/>
        <w:snapToGrid/>
        <w:spacing w:after="0" w:line="360" w:lineRule="auto"/>
        <w:ind w:left="0" w:leftChars="0" w:firstLine="482" w:firstLineChars="200"/>
        <w:jc w:val="left"/>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评标委员会</w:t>
      </w:r>
    </w:p>
    <w:p w14:paraId="052024AC">
      <w:pPr>
        <w:pStyle w:val="7"/>
        <w:keepNext w:val="0"/>
        <w:keepLines w:val="0"/>
        <w:pageBreakBefore w:val="0"/>
        <w:numPr>
          <w:ilvl w:val="0"/>
          <w:numId w:val="60"/>
        </w:numPr>
        <w:kinsoku/>
        <w:wordWrap/>
        <w:overflowPunct/>
        <w:topLinePunct w:val="0"/>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本项目评标委员会由采购人代表和评审专家组成。</w:t>
      </w:r>
    </w:p>
    <w:p w14:paraId="1EB3F240">
      <w:pPr>
        <w:pStyle w:val="7"/>
        <w:keepNext w:val="0"/>
        <w:keepLines w:val="0"/>
        <w:pageBreakBefore w:val="0"/>
        <w:numPr>
          <w:ilvl w:val="0"/>
          <w:numId w:val="60"/>
        </w:numPr>
        <w:kinsoku/>
        <w:wordWrap/>
        <w:overflowPunct/>
        <w:topLinePunct w:val="0"/>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评标委员会成员与参与投标的供应商有下列情形之一的，应当回避：</w:t>
      </w:r>
    </w:p>
    <w:p w14:paraId="7EB735F6">
      <w:pPr>
        <w:pStyle w:val="7"/>
        <w:keepNext w:val="0"/>
        <w:keepLines w:val="0"/>
        <w:pageBreakBefore w:val="0"/>
        <w:numPr>
          <w:ilvl w:val="0"/>
          <w:numId w:val="61"/>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参加采购活动前3年内与供应商存在劳动关系；</w:t>
      </w:r>
    </w:p>
    <w:p w14:paraId="7E9CDF3E">
      <w:pPr>
        <w:pStyle w:val="7"/>
        <w:keepNext w:val="0"/>
        <w:keepLines w:val="0"/>
        <w:pageBreakBefore w:val="0"/>
        <w:numPr>
          <w:ilvl w:val="0"/>
          <w:numId w:val="61"/>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参加采购活动前3年内担任供应商的董事、监事；</w:t>
      </w:r>
    </w:p>
    <w:p w14:paraId="19D2C6D3">
      <w:pPr>
        <w:pStyle w:val="7"/>
        <w:keepNext w:val="0"/>
        <w:keepLines w:val="0"/>
        <w:pageBreakBefore w:val="0"/>
        <w:numPr>
          <w:ilvl w:val="0"/>
          <w:numId w:val="61"/>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参加采购活动前3年内是供应商的控股股东或者实际控制人；</w:t>
      </w:r>
    </w:p>
    <w:p w14:paraId="343A163D">
      <w:pPr>
        <w:pStyle w:val="7"/>
        <w:keepNext w:val="0"/>
        <w:keepLines w:val="0"/>
        <w:pageBreakBefore w:val="0"/>
        <w:numPr>
          <w:ilvl w:val="0"/>
          <w:numId w:val="61"/>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与供应商的法定代表人或者负责人有夫妻、直系血亲、三代以内旁系血亲或者近姻亲关系；</w:t>
      </w:r>
    </w:p>
    <w:p w14:paraId="4B415354">
      <w:pPr>
        <w:pStyle w:val="7"/>
        <w:keepNext w:val="0"/>
        <w:keepLines w:val="0"/>
        <w:pageBreakBefore w:val="0"/>
        <w:numPr>
          <w:ilvl w:val="0"/>
          <w:numId w:val="61"/>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与供应商有其他可能影响政府采购活动公平、公正进行的关系；</w:t>
      </w:r>
    </w:p>
    <w:p w14:paraId="066382E3">
      <w:pPr>
        <w:pStyle w:val="7"/>
        <w:keepNext w:val="0"/>
        <w:keepLines w:val="0"/>
        <w:pageBreakBefore w:val="0"/>
        <w:numPr>
          <w:ilvl w:val="0"/>
          <w:numId w:val="61"/>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法律法规规定的其他情形。</w:t>
      </w:r>
    </w:p>
    <w:p w14:paraId="1AD240FC">
      <w:pPr>
        <w:pStyle w:val="7"/>
        <w:keepNext w:val="0"/>
        <w:keepLines w:val="0"/>
        <w:pageBreakBefore w:val="0"/>
        <w:numPr>
          <w:ilvl w:val="0"/>
          <w:numId w:val="60"/>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评标委员会负责具体评标事务，并独立履行下列职责：</w:t>
      </w:r>
    </w:p>
    <w:p w14:paraId="1F810E27">
      <w:pPr>
        <w:pStyle w:val="7"/>
        <w:keepNext w:val="0"/>
        <w:keepLines w:val="0"/>
        <w:pageBreakBefore w:val="0"/>
        <w:numPr>
          <w:ilvl w:val="0"/>
          <w:numId w:val="62"/>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审查、评价投标文件是否符合招标文件的商务、技术等实质性要求；</w:t>
      </w:r>
    </w:p>
    <w:p w14:paraId="351B321B">
      <w:pPr>
        <w:pStyle w:val="7"/>
        <w:keepNext w:val="0"/>
        <w:keepLines w:val="0"/>
        <w:pageBreakBefore w:val="0"/>
        <w:numPr>
          <w:ilvl w:val="0"/>
          <w:numId w:val="62"/>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要求投标人对投标文件有关事项作出澄清或者说明；</w:t>
      </w:r>
    </w:p>
    <w:p w14:paraId="3B0E134E">
      <w:pPr>
        <w:pStyle w:val="7"/>
        <w:keepNext w:val="0"/>
        <w:keepLines w:val="0"/>
        <w:pageBreakBefore w:val="0"/>
        <w:numPr>
          <w:ilvl w:val="0"/>
          <w:numId w:val="62"/>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对投标文件进行比较和评价；</w:t>
      </w:r>
    </w:p>
    <w:p w14:paraId="79457EDB">
      <w:pPr>
        <w:pStyle w:val="7"/>
        <w:keepNext w:val="0"/>
        <w:keepLines w:val="0"/>
        <w:pageBreakBefore w:val="0"/>
        <w:numPr>
          <w:ilvl w:val="0"/>
          <w:numId w:val="62"/>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确定中标候选人名单，以及根据采购人委托直接确定中标人；</w:t>
      </w:r>
    </w:p>
    <w:p w14:paraId="088296C1">
      <w:pPr>
        <w:pStyle w:val="7"/>
        <w:keepNext w:val="0"/>
        <w:keepLines w:val="0"/>
        <w:pageBreakBefore w:val="0"/>
        <w:numPr>
          <w:ilvl w:val="0"/>
          <w:numId w:val="62"/>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向采购人、采购组织机构或者有关部门报告评标中发现的违法行为；</w:t>
      </w:r>
    </w:p>
    <w:p w14:paraId="6E7572B9">
      <w:pPr>
        <w:pStyle w:val="7"/>
        <w:keepNext w:val="0"/>
        <w:keepLines w:val="0"/>
        <w:pageBreakBefore w:val="0"/>
        <w:numPr>
          <w:ilvl w:val="0"/>
          <w:numId w:val="62"/>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法律法规规定的其他职责。</w:t>
      </w:r>
    </w:p>
    <w:p w14:paraId="349FD2D0">
      <w:pPr>
        <w:pStyle w:val="22"/>
        <w:keepNext w:val="0"/>
        <w:keepLines w:val="0"/>
        <w:pageBreakBefore w:val="0"/>
        <w:numPr>
          <w:ilvl w:val="0"/>
          <w:numId w:val="58"/>
        </w:numPr>
        <w:kinsoku/>
        <w:wordWrap/>
        <w:overflowPunct/>
        <w:topLinePunct w:val="0"/>
        <w:bidi w:val="0"/>
        <w:adjustRightInd/>
        <w:snapToGrid/>
        <w:spacing w:before="0" w:beforeAutospacing="0" w:after="0" w:afterAutospacing="0" w:line="360" w:lineRule="auto"/>
        <w:ind w:left="0" w:leftChars="0" w:firstLine="482" w:firstLineChars="200"/>
        <w:jc w:val="left"/>
        <w:textAlignment w:val="auto"/>
        <w:rPr>
          <w:rFonts w:hint="default" w:asciiTheme="minorEastAsia" w:hAnsiTheme="minorEastAsia" w:eastAsiaTheme="minorEastAsia"/>
          <w:b/>
          <w:highlight w:val="none"/>
        </w:rPr>
      </w:pPr>
      <w:r>
        <w:rPr>
          <w:rFonts w:asciiTheme="minorEastAsia" w:hAnsiTheme="minorEastAsia" w:eastAsiaTheme="minorEastAsia"/>
          <w:b/>
          <w:highlight w:val="none"/>
        </w:rPr>
        <w:t>无效标情形</w:t>
      </w:r>
    </w:p>
    <w:p w14:paraId="1903400C">
      <w:pPr>
        <w:keepNext w:val="0"/>
        <w:keepLines w:val="0"/>
        <w:pageBreakBefore w:val="0"/>
        <w:numPr>
          <w:ilvl w:val="0"/>
          <w:numId w:val="63"/>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b/>
          <w:bCs/>
          <w:sz w:val="24"/>
          <w:highlight w:val="none"/>
        </w:rPr>
      </w:pPr>
      <w:r>
        <w:rPr>
          <w:rFonts w:hint="eastAsia" w:asciiTheme="minorEastAsia" w:hAnsiTheme="minorEastAsia" w:eastAsiaTheme="minorEastAsia"/>
          <w:kern w:val="0"/>
          <w:sz w:val="24"/>
          <w:highlight w:val="none"/>
        </w:rPr>
        <w:t>在资格标或技术标中出现投标报价的；</w:t>
      </w:r>
    </w:p>
    <w:p w14:paraId="687EC65A">
      <w:pPr>
        <w:pStyle w:val="22"/>
        <w:keepNext w:val="0"/>
        <w:keepLines w:val="0"/>
        <w:pageBreakBefore w:val="0"/>
        <w:numPr>
          <w:ilvl w:val="0"/>
          <w:numId w:val="63"/>
        </w:numPr>
        <w:tabs>
          <w:tab w:val="left" w:pos="7380"/>
        </w:tabs>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highlight w:val="none"/>
        </w:rPr>
      </w:pPr>
      <w:r>
        <w:rPr>
          <w:rFonts w:asciiTheme="minorEastAsia" w:hAnsiTheme="minorEastAsia" w:eastAsiaTheme="minorEastAsia"/>
          <w:highlight w:val="none"/>
        </w:rPr>
        <w:t>不具备招标文件中规定的资格要求的；</w:t>
      </w:r>
      <w:r>
        <w:rPr>
          <w:rFonts w:hint="default" w:asciiTheme="minorEastAsia" w:hAnsiTheme="minorEastAsia" w:eastAsiaTheme="minorEastAsia"/>
          <w:highlight w:val="none"/>
        </w:rPr>
        <w:tab/>
      </w:r>
    </w:p>
    <w:p w14:paraId="2958C9E9">
      <w:pPr>
        <w:pStyle w:val="22"/>
        <w:keepNext w:val="0"/>
        <w:keepLines w:val="0"/>
        <w:pageBreakBefore w:val="0"/>
        <w:numPr>
          <w:ilvl w:val="0"/>
          <w:numId w:val="63"/>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highlight w:val="none"/>
        </w:rPr>
      </w:pPr>
      <w:r>
        <w:rPr>
          <w:rFonts w:asciiTheme="minorEastAsia" w:hAnsiTheme="minorEastAsia" w:eastAsiaTheme="minorEastAsia"/>
          <w:highlight w:val="none"/>
        </w:rPr>
        <w:t>投标文件含有采购人不能接受的附加条件的；</w:t>
      </w:r>
    </w:p>
    <w:p w14:paraId="43F49F7E">
      <w:pPr>
        <w:pStyle w:val="10"/>
        <w:keepNext w:val="0"/>
        <w:keepLines w:val="0"/>
        <w:pageBreakBefore w:val="0"/>
        <w:numPr>
          <w:ilvl w:val="0"/>
          <w:numId w:val="63"/>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kern w:val="0"/>
          <w:sz w:val="24"/>
          <w:highlight w:val="none"/>
        </w:rPr>
        <w:t>评标委员会认为投标人的报价明显低于其他通过符合性审</w:t>
      </w:r>
      <w:r>
        <w:rPr>
          <w:rFonts w:hint="eastAsia" w:asciiTheme="minorEastAsia" w:hAnsiTheme="minorEastAsia" w:eastAsiaTheme="minorEastAsia"/>
          <w:kern w:val="0"/>
          <w:sz w:val="24"/>
          <w:highlight w:val="none"/>
          <w:lang w:eastAsia="zh-CN"/>
        </w:rPr>
        <w:t>查的</w:t>
      </w:r>
      <w:r>
        <w:rPr>
          <w:rFonts w:hint="eastAsia" w:asciiTheme="minorEastAsia" w:hAnsiTheme="minorEastAsia" w:eastAsiaTheme="minorEastAsia"/>
          <w:kern w:val="0"/>
          <w:sz w:val="24"/>
          <w:highlight w:val="none"/>
        </w:rPr>
        <w:t>投标人的报价，有可能影响服务质量或者不能诚信履约的，投标人在限定的时间内不能证明其报价合理性的，评标委员会应当将其作为无效投标处理；</w:t>
      </w:r>
    </w:p>
    <w:p w14:paraId="1A7E727D">
      <w:pPr>
        <w:pStyle w:val="22"/>
        <w:keepNext w:val="0"/>
        <w:keepLines w:val="0"/>
        <w:pageBreakBefore w:val="0"/>
        <w:numPr>
          <w:ilvl w:val="0"/>
          <w:numId w:val="63"/>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color w:val="auto"/>
          <w:highlight w:val="none"/>
        </w:rPr>
      </w:pPr>
      <w:r>
        <w:rPr>
          <w:rFonts w:asciiTheme="minorEastAsia" w:hAnsiTheme="minorEastAsia" w:eastAsiaTheme="minorEastAsia"/>
          <w:highlight w:val="none"/>
        </w:rPr>
        <w:t>报价超过招标文件中</w:t>
      </w:r>
      <w:r>
        <w:rPr>
          <w:rFonts w:asciiTheme="minorEastAsia" w:hAnsiTheme="minorEastAsia" w:eastAsiaTheme="minorEastAsia"/>
          <w:color w:val="auto"/>
          <w:highlight w:val="none"/>
        </w:rPr>
        <w:t>规定的</w:t>
      </w:r>
      <w:r>
        <w:rPr>
          <w:rFonts w:hint="eastAsia" w:asciiTheme="minorEastAsia" w:hAnsiTheme="minorEastAsia" w:eastAsiaTheme="minorEastAsia"/>
          <w:color w:val="auto"/>
          <w:highlight w:val="none"/>
          <w:lang w:val="en-US" w:eastAsia="zh-CN"/>
        </w:rPr>
        <w:t>最高限价</w:t>
      </w:r>
      <w:r>
        <w:rPr>
          <w:rFonts w:asciiTheme="minorEastAsia" w:hAnsiTheme="minorEastAsia" w:eastAsiaTheme="minorEastAsia"/>
          <w:color w:val="auto"/>
          <w:highlight w:val="none"/>
        </w:rPr>
        <w:t xml:space="preserve">或未填写投标报价的； </w:t>
      </w:r>
    </w:p>
    <w:p w14:paraId="0570BA23">
      <w:pPr>
        <w:keepNext w:val="0"/>
        <w:keepLines w:val="0"/>
        <w:pageBreakBefore w:val="0"/>
        <w:numPr>
          <w:ilvl w:val="0"/>
          <w:numId w:val="63"/>
        </w:numPr>
        <w:tabs>
          <w:tab w:val="left" w:pos="1898"/>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投标文件存在虚假材料的； </w:t>
      </w:r>
    </w:p>
    <w:p w14:paraId="7136FE11">
      <w:pPr>
        <w:keepNext w:val="0"/>
        <w:keepLines w:val="0"/>
        <w:pageBreakBefore w:val="0"/>
        <w:numPr>
          <w:ilvl w:val="0"/>
          <w:numId w:val="63"/>
        </w:numPr>
        <w:tabs>
          <w:tab w:val="left" w:pos="1898"/>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有</w:t>
      </w:r>
      <w:r>
        <w:rPr>
          <w:rFonts w:asciiTheme="minorEastAsia" w:hAnsiTheme="minorEastAsia" w:eastAsiaTheme="minorEastAsia"/>
          <w:kern w:val="0"/>
          <w:sz w:val="24"/>
          <w:highlight w:val="none"/>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highlight w:val="none"/>
        </w:rPr>
        <w:t>，并移送采购监管部门</w:t>
      </w:r>
      <w:r>
        <w:rPr>
          <w:rFonts w:asciiTheme="minorEastAsia" w:hAnsiTheme="minorEastAsia" w:eastAsiaTheme="minorEastAsia"/>
          <w:kern w:val="0"/>
          <w:sz w:val="24"/>
          <w:highlight w:val="none"/>
        </w:rPr>
        <w:t>：</w:t>
      </w:r>
    </w:p>
    <w:p w14:paraId="2FD4B296">
      <w:pPr>
        <w:keepNext w:val="0"/>
        <w:keepLines w:val="0"/>
        <w:pageBreakBefore w:val="0"/>
        <w:numPr>
          <w:ilvl w:val="0"/>
          <w:numId w:val="64"/>
        </w:numPr>
        <w:tabs>
          <w:tab w:val="left" w:pos="1898"/>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不同投标人的投标文件由同一单位或者个人编制；</w:t>
      </w:r>
    </w:p>
    <w:p w14:paraId="45643226">
      <w:pPr>
        <w:pStyle w:val="22"/>
        <w:keepNext w:val="0"/>
        <w:keepLines w:val="0"/>
        <w:pageBreakBefore w:val="0"/>
        <w:numPr>
          <w:ilvl w:val="0"/>
          <w:numId w:val="64"/>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highlight w:val="none"/>
        </w:rPr>
      </w:pPr>
      <w:r>
        <w:rPr>
          <w:rFonts w:asciiTheme="minorEastAsia" w:hAnsiTheme="minorEastAsia" w:eastAsiaTheme="minorEastAsia"/>
          <w:highlight w:val="none"/>
        </w:rPr>
        <w:t>不同投标人委托同一单位或者个人办理投标事宜；</w:t>
      </w:r>
    </w:p>
    <w:p w14:paraId="27C98F2C">
      <w:pPr>
        <w:pStyle w:val="22"/>
        <w:keepNext w:val="0"/>
        <w:keepLines w:val="0"/>
        <w:pageBreakBefore w:val="0"/>
        <w:numPr>
          <w:ilvl w:val="0"/>
          <w:numId w:val="64"/>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highlight w:val="none"/>
        </w:rPr>
      </w:pPr>
      <w:r>
        <w:rPr>
          <w:rFonts w:asciiTheme="minorEastAsia" w:hAnsiTheme="minorEastAsia" w:eastAsiaTheme="minorEastAsia"/>
          <w:highlight w:val="none"/>
        </w:rPr>
        <w:t>不同投标人的投标文件载明的项目管理成员或者联系人员为同一人；</w:t>
      </w:r>
    </w:p>
    <w:p w14:paraId="145193FD">
      <w:pPr>
        <w:pStyle w:val="22"/>
        <w:keepNext w:val="0"/>
        <w:keepLines w:val="0"/>
        <w:pageBreakBefore w:val="0"/>
        <w:numPr>
          <w:ilvl w:val="0"/>
          <w:numId w:val="64"/>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highlight w:val="none"/>
        </w:rPr>
      </w:pPr>
      <w:r>
        <w:rPr>
          <w:rFonts w:asciiTheme="minorEastAsia" w:hAnsiTheme="minorEastAsia" w:eastAsiaTheme="minorEastAsia"/>
          <w:highlight w:val="none"/>
        </w:rPr>
        <w:t>不同投标人的投标文件异常一致或者投标报价呈规律性差异；</w:t>
      </w:r>
    </w:p>
    <w:p w14:paraId="303F55E7">
      <w:pPr>
        <w:pStyle w:val="22"/>
        <w:keepNext w:val="0"/>
        <w:keepLines w:val="0"/>
        <w:pageBreakBefore w:val="0"/>
        <w:numPr>
          <w:ilvl w:val="0"/>
          <w:numId w:val="64"/>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highlight w:val="none"/>
        </w:rPr>
      </w:pPr>
      <w:r>
        <w:rPr>
          <w:rFonts w:asciiTheme="minorEastAsia" w:hAnsiTheme="minorEastAsia" w:eastAsiaTheme="minorEastAsia"/>
          <w:highlight w:val="none"/>
        </w:rPr>
        <w:t>不同投标人的投标文件相互混装。</w:t>
      </w:r>
    </w:p>
    <w:p w14:paraId="2D9104FA">
      <w:pPr>
        <w:pStyle w:val="22"/>
        <w:keepNext w:val="0"/>
        <w:keepLines w:val="0"/>
        <w:pageBreakBefore w:val="0"/>
        <w:numPr>
          <w:ilvl w:val="0"/>
          <w:numId w:val="63"/>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highlight w:val="none"/>
        </w:rPr>
      </w:pPr>
      <w:r>
        <w:rPr>
          <w:rFonts w:cs="宋体"/>
          <w:highlight w:val="none"/>
        </w:rPr>
        <w:t>实质性要求（招标文件中打“▲”内容）不响应的；</w:t>
      </w:r>
    </w:p>
    <w:p w14:paraId="60151835">
      <w:pPr>
        <w:pStyle w:val="7"/>
        <w:keepNext w:val="0"/>
        <w:keepLines w:val="0"/>
        <w:pageBreakBefore w:val="0"/>
        <w:numPr>
          <w:ilvl w:val="0"/>
          <w:numId w:val="63"/>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投标文件有效期不足的；</w:t>
      </w:r>
    </w:p>
    <w:p w14:paraId="489C83A1">
      <w:pPr>
        <w:pStyle w:val="7"/>
        <w:keepNext w:val="0"/>
        <w:keepLines w:val="0"/>
        <w:pageBreakBefore w:val="0"/>
        <w:numPr>
          <w:ilvl w:val="0"/>
          <w:numId w:val="63"/>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逾期或未按要求提交投标文件的；</w:t>
      </w:r>
    </w:p>
    <w:p w14:paraId="278A5596">
      <w:pPr>
        <w:pStyle w:val="7"/>
        <w:keepNext w:val="0"/>
        <w:keepLines w:val="0"/>
        <w:pageBreakBefore w:val="0"/>
        <w:numPr>
          <w:ilvl w:val="0"/>
          <w:numId w:val="63"/>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两家或两家以上投标</w:t>
      </w:r>
      <w:r>
        <w:rPr>
          <w:rFonts w:hint="eastAsia" w:asciiTheme="minorEastAsia" w:hAnsiTheme="minorEastAsia" w:eastAsiaTheme="minorEastAsia"/>
          <w:kern w:val="0"/>
          <w:sz w:val="24"/>
          <w:szCs w:val="24"/>
          <w:highlight w:val="none"/>
          <w:lang w:val="en-US" w:eastAsia="zh-CN"/>
        </w:rPr>
        <w:t>人</w:t>
      </w:r>
      <w:r>
        <w:rPr>
          <w:rFonts w:hint="eastAsia" w:asciiTheme="minorEastAsia" w:hAnsiTheme="minorEastAsia" w:eastAsiaTheme="minorEastAsia"/>
          <w:kern w:val="0"/>
          <w:sz w:val="24"/>
          <w:szCs w:val="24"/>
          <w:highlight w:val="none"/>
        </w:rPr>
        <w:t>上传投标文件的ip地址相同，视为串标行为，取消评标资格。</w:t>
      </w:r>
    </w:p>
    <w:p w14:paraId="6882180D">
      <w:pPr>
        <w:pStyle w:val="7"/>
        <w:keepNext w:val="0"/>
        <w:keepLines w:val="0"/>
        <w:pageBreakBefore w:val="0"/>
        <w:numPr>
          <w:ilvl w:val="0"/>
          <w:numId w:val="63"/>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被拒绝的投标文件为无效。</w:t>
      </w:r>
    </w:p>
    <w:p w14:paraId="539C06E1">
      <w:pPr>
        <w:pStyle w:val="7"/>
        <w:keepNext w:val="0"/>
        <w:keepLines w:val="0"/>
        <w:pageBreakBefore w:val="0"/>
        <w:numPr>
          <w:ilvl w:val="0"/>
          <w:numId w:val="63"/>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其他不符合法律法规相关规定的。</w:t>
      </w:r>
    </w:p>
    <w:p w14:paraId="0620D878">
      <w:pPr>
        <w:keepNext w:val="0"/>
        <w:keepLines w:val="0"/>
        <w:pageBreakBefore w:val="0"/>
        <w:numPr>
          <w:ilvl w:val="0"/>
          <w:numId w:val="58"/>
        </w:numPr>
        <w:kinsoku/>
        <w:wordWrap/>
        <w:overflowPunct/>
        <w:topLinePunct w:val="0"/>
        <w:autoSpaceDE w:val="0"/>
        <w:autoSpaceDN w:val="0"/>
        <w:bidi w:val="0"/>
        <w:adjustRightInd/>
        <w:snapToGrid/>
        <w:spacing w:line="360" w:lineRule="auto"/>
        <w:ind w:left="0" w:leftChars="0" w:firstLine="482" w:firstLineChars="200"/>
        <w:jc w:val="left"/>
        <w:textAlignment w:val="auto"/>
        <w:rPr>
          <w:rFonts w:ascii="宋体" w:hAnsi="宋体" w:cs="宋体"/>
          <w:kern w:val="0"/>
          <w:sz w:val="24"/>
          <w:highlight w:val="none"/>
        </w:rPr>
      </w:pPr>
      <w:r>
        <w:rPr>
          <w:rFonts w:hint="eastAsia" w:ascii="宋体" w:hAnsi="宋体" w:cs="宋体"/>
          <w:b/>
          <w:kern w:val="0"/>
          <w:sz w:val="24"/>
          <w:highlight w:val="none"/>
        </w:rPr>
        <w:t>废标情形</w:t>
      </w:r>
    </w:p>
    <w:p w14:paraId="2D781DD3">
      <w:pPr>
        <w:pStyle w:val="22"/>
        <w:keepNext w:val="0"/>
        <w:keepLines w:val="0"/>
        <w:pageBreakBefore w:val="0"/>
        <w:numPr>
          <w:ilvl w:val="0"/>
          <w:numId w:val="65"/>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cs="宋体"/>
          <w:highlight w:val="none"/>
        </w:rPr>
      </w:pPr>
      <w:r>
        <w:rPr>
          <w:rFonts w:cs="宋体"/>
          <w:highlight w:val="none"/>
        </w:rPr>
        <w:t>出现影响采购公正的违法、违规行为的；</w:t>
      </w:r>
    </w:p>
    <w:p w14:paraId="0E00C891">
      <w:pPr>
        <w:pStyle w:val="22"/>
        <w:keepNext w:val="0"/>
        <w:keepLines w:val="0"/>
        <w:pageBreakBefore w:val="0"/>
        <w:numPr>
          <w:ilvl w:val="0"/>
          <w:numId w:val="65"/>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cs="宋体"/>
          <w:b/>
          <w:bCs/>
          <w:highlight w:val="none"/>
        </w:rPr>
      </w:pPr>
      <w:r>
        <w:rPr>
          <w:rFonts w:cs="宋体"/>
          <w:highlight w:val="none"/>
        </w:rPr>
        <w:t>评标委员会发现招标文件存在歧义、重大缺陷导致评标工作无法进行，或者招标文件内容违反国家有关强制性规定的；</w:t>
      </w:r>
    </w:p>
    <w:p w14:paraId="6CB8E38B">
      <w:pPr>
        <w:pStyle w:val="22"/>
        <w:keepNext w:val="0"/>
        <w:keepLines w:val="0"/>
        <w:pageBreakBefore w:val="0"/>
        <w:numPr>
          <w:ilvl w:val="0"/>
          <w:numId w:val="65"/>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cs="宋体"/>
          <w:highlight w:val="none"/>
        </w:rPr>
      </w:pPr>
      <w:r>
        <w:rPr>
          <w:rFonts w:cs="宋体"/>
          <w:highlight w:val="none"/>
        </w:rPr>
        <w:t>因重大变故，采购任务取消的；</w:t>
      </w:r>
    </w:p>
    <w:p w14:paraId="61EF46A6">
      <w:pPr>
        <w:pStyle w:val="22"/>
        <w:keepNext w:val="0"/>
        <w:keepLines w:val="0"/>
        <w:pageBreakBefore w:val="0"/>
        <w:numPr>
          <w:ilvl w:val="0"/>
          <w:numId w:val="65"/>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cs="宋体"/>
          <w:highlight w:val="none"/>
        </w:rPr>
      </w:pPr>
      <w:r>
        <w:rPr>
          <w:rFonts w:cs="宋体"/>
          <w:highlight w:val="none"/>
        </w:rPr>
        <w:t>法律、法规和招标文件规定的其他导致评标结果无效的。</w:t>
      </w:r>
    </w:p>
    <w:p w14:paraId="74115FE8">
      <w:pPr>
        <w:keepNext w:val="0"/>
        <w:keepLines w:val="0"/>
        <w:pageBreakBefore w:val="0"/>
        <w:numPr>
          <w:ilvl w:val="0"/>
          <w:numId w:val="58"/>
        </w:numPr>
        <w:kinsoku/>
        <w:wordWrap/>
        <w:overflowPunct/>
        <w:topLinePunct w:val="0"/>
        <w:autoSpaceDE w:val="0"/>
        <w:autoSpaceDN w:val="0"/>
        <w:bidi w:val="0"/>
        <w:adjustRightInd/>
        <w:snapToGrid/>
        <w:spacing w:line="360" w:lineRule="auto"/>
        <w:ind w:left="0" w:leftChars="0"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投标人有下列情形之一的，投标保证金将不予退还</w:t>
      </w:r>
    </w:p>
    <w:p w14:paraId="12150B9B">
      <w:pPr>
        <w:keepNext w:val="0"/>
        <w:keepLines w:val="0"/>
        <w:pageBreakBefore w:val="0"/>
        <w:numPr>
          <w:ilvl w:val="0"/>
          <w:numId w:val="66"/>
        </w:numPr>
        <w:kinsoku/>
        <w:wordWrap/>
        <w:overflowPunct/>
        <w:topLinePunct w:val="0"/>
        <w:bidi w:val="0"/>
        <w:adjustRightInd/>
        <w:snapToGrid/>
        <w:spacing w:line="360" w:lineRule="auto"/>
        <w:ind w:left="0" w:leftChars="0" w:firstLine="480" w:firstLineChars="200"/>
        <w:jc w:val="left"/>
        <w:textAlignment w:val="auto"/>
        <w:rPr>
          <w:rFonts w:ascii="宋体" w:hAnsi="宋体"/>
          <w:sz w:val="24"/>
          <w:highlight w:val="none"/>
        </w:rPr>
      </w:pPr>
      <w:r>
        <w:rPr>
          <w:rFonts w:hint="eastAsia" w:ascii="宋体" w:hAnsi="宋体"/>
          <w:sz w:val="24"/>
          <w:highlight w:val="none"/>
        </w:rPr>
        <w:t>投标人在投标有效期内撤回投标文件的；</w:t>
      </w:r>
    </w:p>
    <w:p w14:paraId="01C3C530">
      <w:pPr>
        <w:keepNext w:val="0"/>
        <w:keepLines w:val="0"/>
        <w:pageBreakBefore w:val="0"/>
        <w:numPr>
          <w:ilvl w:val="0"/>
          <w:numId w:val="66"/>
        </w:numPr>
        <w:kinsoku/>
        <w:wordWrap/>
        <w:overflowPunct/>
        <w:topLinePunct w:val="0"/>
        <w:bidi w:val="0"/>
        <w:adjustRightInd/>
        <w:snapToGrid/>
        <w:spacing w:line="360" w:lineRule="auto"/>
        <w:ind w:left="0" w:leftChars="0" w:firstLine="480" w:firstLineChars="200"/>
        <w:jc w:val="left"/>
        <w:textAlignment w:val="auto"/>
        <w:rPr>
          <w:rFonts w:ascii="宋体" w:hAnsi="宋体"/>
          <w:sz w:val="24"/>
          <w:highlight w:val="none"/>
        </w:rPr>
      </w:pPr>
      <w:r>
        <w:rPr>
          <w:rFonts w:hint="eastAsia" w:ascii="宋体" w:hAnsi="宋体"/>
          <w:sz w:val="24"/>
          <w:highlight w:val="none"/>
        </w:rPr>
        <w:t>投标人在投标过程中弄虚作假，提供虚假材料的；</w:t>
      </w:r>
    </w:p>
    <w:p w14:paraId="7AFEEAC8">
      <w:pPr>
        <w:keepNext w:val="0"/>
        <w:keepLines w:val="0"/>
        <w:pageBreakBefore w:val="0"/>
        <w:numPr>
          <w:ilvl w:val="0"/>
          <w:numId w:val="66"/>
        </w:numPr>
        <w:kinsoku/>
        <w:wordWrap/>
        <w:overflowPunct/>
        <w:topLinePunct w:val="0"/>
        <w:bidi w:val="0"/>
        <w:adjustRightInd/>
        <w:snapToGrid/>
        <w:spacing w:line="360" w:lineRule="auto"/>
        <w:ind w:left="0" w:leftChars="0" w:firstLine="480" w:firstLineChars="200"/>
        <w:jc w:val="left"/>
        <w:textAlignment w:val="auto"/>
        <w:rPr>
          <w:rFonts w:ascii="宋体" w:hAnsi="宋体"/>
          <w:sz w:val="24"/>
          <w:highlight w:val="none"/>
        </w:rPr>
      </w:pPr>
      <w:r>
        <w:rPr>
          <w:rFonts w:hint="eastAsia" w:ascii="宋体" w:hAnsi="宋体"/>
          <w:sz w:val="24"/>
          <w:highlight w:val="none"/>
        </w:rPr>
        <w:t>中标人无正当理由不与采购单位签订合同的；</w:t>
      </w:r>
    </w:p>
    <w:p w14:paraId="6C7E35FC">
      <w:pPr>
        <w:keepNext w:val="0"/>
        <w:keepLines w:val="0"/>
        <w:pageBreakBefore w:val="0"/>
        <w:numPr>
          <w:ilvl w:val="0"/>
          <w:numId w:val="66"/>
        </w:numPr>
        <w:kinsoku/>
        <w:wordWrap/>
        <w:overflowPunct/>
        <w:topLinePunct w:val="0"/>
        <w:bidi w:val="0"/>
        <w:adjustRightInd/>
        <w:snapToGrid/>
        <w:spacing w:line="360" w:lineRule="auto"/>
        <w:ind w:left="0" w:leftChars="0" w:firstLine="480" w:firstLineChars="200"/>
        <w:jc w:val="left"/>
        <w:textAlignment w:val="auto"/>
        <w:rPr>
          <w:rFonts w:ascii="宋体" w:hAnsi="宋体"/>
          <w:sz w:val="24"/>
          <w:highlight w:val="none"/>
        </w:rPr>
      </w:pPr>
      <w:r>
        <w:rPr>
          <w:rFonts w:hint="eastAsia" w:ascii="宋体" w:hAnsi="宋体"/>
          <w:bCs/>
          <w:sz w:val="24"/>
          <w:highlight w:val="none"/>
        </w:rPr>
        <w:t>将中标项目转让给他人或者在投标文件中未说明且未经</w:t>
      </w:r>
      <w:r>
        <w:rPr>
          <w:rFonts w:hint="eastAsia" w:ascii="宋体" w:hAnsi="宋体"/>
          <w:bCs/>
          <w:sz w:val="24"/>
          <w:highlight w:val="none"/>
          <w:lang w:eastAsia="zh-CN"/>
        </w:rPr>
        <w:t>采购人</w:t>
      </w:r>
      <w:r>
        <w:rPr>
          <w:rFonts w:hint="eastAsia" w:ascii="宋体" w:hAnsi="宋体"/>
          <w:bCs/>
          <w:sz w:val="24"/>
          <w:highlight w:val="none"/>
        </w:rPr>
        <w:t>同意，将中标项目分包给他人的；</w:t>
      </w:r>
    </w:p>
    <w:p w14:paraId="34B43180">
      <w:pPr>
        <w:keepNext w:val="0"/>
        <w:keepLines w:val="0"/>
        <w:pageBreakBefore w:val="0"/>
        <w:numPr>
          <w:ilvl w:val="0"/>
          <w:numId w:val="66"/>
        </w:numPr>
        <w:kinsoku/>
        <w:wordWrap/>
        <w:overflowPunct/>
        <w:topLinePunct w:val="0"/>
        <w:bidi w:val="0"/>
        <w:adjustRightInd/>
        <w:snapToGrid/>
        <w:spacing w:line="360" w:lineRule="auto"/>
        <w:ind w:left="0" w:leftChars="0" w:firstLine="480" w:firstLineChars="200"/>
        <w:jc w:val="left"/>
        <w:textAlignment w:val="auto"/>
        <w:rPr>
          <w:rFonts w:ascii="宋体" w:hAnsi="宋体"/>
          <w:sz w:val="24"/>
          <w:highlight w:val="none"/>
        </w:rPr>
      </w:pPr>
      <w:r>
        <w:rPr>
          <w:rFonts w:hint="eastAsia" w:ascii="宋体" w:hAnsi="宋体"/>
          <w:sz w:val="24"/>
          <w:highlight w:val="none"/>
        </w:rPr>
        <w:t>拒绝履行合同义务的；</w:t>
      </w:r>
    </w:p>
    <w:p w14:paraId="7A2BD81F">
      <w:pPr>
        <w:keepNext w:val="0"/>
        <w:keepLines w:val="0"/>
        <w:pageBreakBefore w:val="0"/>
        <w:numPr>
          <w:ilvl w:val="0"/>
          <w:numId w:val="58"/>
        </w:numPr>
        <w:kinsoku/>
        <w:wordWrap/>
        <w:overflowPunct/>
        <w:topLinePunct w:val="0"/>
        <w:autoSpaceDE w:val="0"/>
        <w:autoSpaceDN w:val="0"/>
        <w:bidi w:val="0"/>
        <w:adjustRightInd/>
        <w:snapToGrid/>
        <w:spacing w:line="360" w:lineRule="auto"/>
        <w:ind w:left="0" w:leftChars="0"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评标过程的监控</w:t>
      </w:r>
    </w:p>
    <w:p w14:paraId="4A461E11">
      <w:pPr>
        <w:pStyle w:val="22"/>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left"/>
        <w:textAlignment w:val="auto"/>
        <w:rPr>
          <w:rFonts w:hint="default"/>
          <w:highlight w:val="none"/>
        </w:rPr>
      </w:pPr>
      <w:r>
        <w:rPr>
          <w:highlight w:val="none"/>
        </w:rPr>
        <w:t>本项目评标过程实行全程录音、录像监控，投标人在评标过程中所进行的试图影响评标结果的不公正活动，可能导致其投标被拒绝。</w:t>
      </w:r>
    </w:p>
    <w:p w14:paraId="11091A26">
      <w:pPr>
        <w:pStyle w:val="13"/>
        <w:keepNext w:val="0"/>
        <w:keepLines w:val="0"/>
        <w:pageBreakBefore w:val="0"/>
        <w:numPr>
          <w:ilvl w:val="0"/>
          <w:numId w:val="58"/>
        </w:numPr>
        <w:kinsoku/>
        <w:wordWrap/>
        <w:overflowPunct/>
        <w:topLinePunct w:val="0"/>
        <w:bidi w:val="0"/>
        <w:adjustRightInd/>
        <w:snapToGrid/>
        <w:spacing w:line="360" w:lineRule="auto"/>
        <w:ind w:left="0" w:leftChars="0" w:firstLine="482" w:firstLineChars="200"/>
        <w:jc w:val="left"/>
        <w:textAlignment w:val="auto"/>
        <w:rPr>
          <w:rFonts w:asciiTheme="minorEastAsia" w:hAnsiTheme="minorEastAsia" w:eastAsiaTheme="minorEastAsia"/>
          <w:b/>
          <w:sz w:val="24"/>
          <w:highlight w:val="none"/>
        </w:rPr>
      </w:pPr>
      <w:r>
        <w:rPr>
          <w:rFonts w:asciiTheme="minorEastAsia" w:hAnsiTheme="minorEastAsia" w:eastAsiaTheme="minorEastAsia"/>
          <w:b/>
          <w:bCs/>
          <w:sz w:val="24"/>
          <w:highlight w:val="none"/>
        </w:rPr>
        <w:t>评标程序</w:t>
      </w:r>
    </w:p>
    <w:p w14:paraId="1161C851">
      <w:pPr>
        <w:keepNext w:val="0"/>
        <w:keepLines w:val="0"/>
        <w:pageBreakBefore w:val="0"/>
        <w:numPr>
          <w:ilvl w:val="0"/>
          <w:numId w:val="67"/>
        </w:numPr>
        <w:kinsoku/>
        <w:wordWrap/>
        <w:overflowPunct/>
        <w:topLinePunct w:val="0"/>
        <w:bidi w:val="0"/>
        <w:adjustRightInd/>
        <w:snapToGrid/>
        <w:spacing w:line="360" w:lineRule="auto"/>
        <w:ind w:left="0" w:leftChars="0" w:firstLine="482" w:firstLineChars="200"/>
        <w:jc w:val="left"/>
        <w:textAlignment w:val="auto"/>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资格</w:t>
      </w:r>
      <w:r>
        <w:rPr>
          <w:rFonts w:asciiTheme="minorEastAsia" w:hAnsiTheme="minorEastAsia" w:eastAsiaTheme="minorEastAsia"/>
          <w:b/>
          <w:bCs/>
          <w:sz w:val="24"/>
          <w:highlight w:val="none"/>
        </w:rPr>
        <w:t>审查</w:t>
      </w:r>
    </w:p>
    <w:p w14:paraId="18BFEA78">
      <w:pPr>
        <w:pStyle w:val="10"/>
        <w:keepNext w:val="0"/>
        <w:keepLines w:val="0"/>
        <w:pageBreakBefore w:val="0"/>
        <w:kinsoku/>
        <w:wordWrap/>
        <w:overflowPunct/>
        <w:topLinePunct w:val="0"/>
        <w:bidi w:val="0"/>
        <w:adjustRightInd/>
        <w:snapToGrid/>
        <w:spacing w:line="360" w:lineRule="auto"/>
        <w:ind w:firstLine="480" w:firstLineChars="200"/>
        <w:jc w:val="left"/>
        <w:textAlignment w:val="auto"/>
        <w:rPr>
          <w:rFonts w:asciiTheme="minorEastAsia" w:hAnsiTheme="minorEastAsia" w:eastAsiaTheme="minorEastAsia"/>
          <w:sz w:val="24"/>
          <w:highlight w:val="none"/>
        </w:rPr>
      </w:pPr>
      <w:r>
        <w:rPr>
          <w:rFonts w:hint="eastAsia" w:ascii="宋体" w:hAnsi="宋体" w:cs="宋体"/>
          <w:sz w:val="24"/>
          <w:highlight w:val="none"/>
        </w:rPr>
        <w:t>投标文件解密后</w:t>
      </w:r>
      <w:r>
        <w:rPr>
          <w:rFonts w:asciiTheme="minorEastAsia" w:hAnsiTheme="minorEastAsia" w:eastAsiaTheme="minorEastAsia"/>
          <w:sz w:val="24"/>
          <w:highlight w:val="none"/>
        </w:rPr>
        <w:t>，采购人或采购组织机构依法对投标人的资格进行审查，对审查发现无效的进行必要的</w:t>
      </w:r>
      <w:r>
        <w:rPr>
          <w:rFonts w:hint="eastAsia" w:ascii="宋体" w:hAnsi="宋体" w:cs="宋体"/>
          <w:sz w:val="24"/>
          <w:highlight w:val="none"/>
        </w:rPr>
        <w:t>询问</w:t>
      </w:r>
      <w:r>
        <w:rPr>
          <w:rFonts w:asciiTheme="minorEastAsia" w:hAnsiTheme="minorEastAsia" w:eastAsiaTheme="minorEastAsia"/>
          <w:sz w:val="24"/>
          <w:highlight w:val="none"/>
        </w:rPr>
        <w:t>，</w:t>
      </w:r>
      <w:r>
        <w:rPr>
          <w:rFonts w:hint="eastAsia"/>
          <w:sz w:val="24"/>
          <w:highlight w:val="none"/>
        </w:rPr>
        <w:t>在</w:t>
      </w:r>
      <w:r>
        <w:rPr>
          <w:rFonts w:hint="eastAsia" w:ascii="宋体" w:hAnsi="宋体" w:cs="宋体"/>
          <w:sz w:val="24"/>
          <w:highlight w:val="none"/>
        </w:rPr>
        <w:t>台州湾新区小额工程电子交易平台</w:t>
      </w:r>
      <w:r>
        <w:rPr>
          <w:rFonts w:hint="eastAsia"/>
          <w:sz w:val="24"/>
          <w:highlight w:val="none"/>
        </w:rPr>
        <w:t>公布</w:t>
      </w:r>
      <w:r>
        <w:rPr>
          <w:rFonts w:asciiTheme="minorEastAsia" w:hAnsiTheme="minorEastAsia" w:eastAsiaTheme="minorEastAsia"/>
          <w:sz w:val="24"/>
          <w:highlight w:val="none"/>
        </w:rPr>
        <w:t>无效投标的投标人名单、投标无效的原因。</w:t>
      </w:r>
    </w:p>
    <w:tbl>
      <w:tblPr>
        <w:tblStyle w:val="26"/>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34B3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1B8337E9">
            <w:pPr>
              <w:pStyle w:val="56"/>
              <w:spacing w:before="1" w:line="300" w:lineRule="auto"/>
              <w:ind w:right="3" w:hanging="10"/>
              <w:jc w:val="center"/>
              <w:rPr>
                <w:szCs w:val="21"/>
                <w:highlight w:val="none"/>
              </w:rPr>
            </w:pPr>
            <w:r>
              <w:rPr>
                <w:rFonts w:hint="eastAsia"/>
                <w:szCs w:val="21"/>
                <w:highlight w:val="none"/>
              </w:rPr>
              <w:t>具有独立承担民事责任的能力</w:t>
            </w:r>
          </w:p>
        </w:tc>
        <w:tc>
          <w:tcPr>
            <w:tcW w:w="7092" w:type="dxa"/>
            <w:tcMar>
              <w:top w:w="57" w:type="dxa"/>
              <w:left w:w="108" w:type="dxa"/>
              <w:bottom w:w="0" w:type="dxa"/>
              <w:right w:w="108" w:type="dxa"/>
            </w:tcMar>
            <w:vAlign w:val="center"/>
          </w:tcPr>
          <w:p w14:paraId="1B5E56BA">
            <w:pPr>
              <w:pStyle w:val="56"/>
              <w:spacing w:line="300" w:lineRule="auto"/>
              <w:ind w:left="15" w:leftChars="7" w:right="-17" w:rightChars="-8" w:firstLine="403" w:firstLineChars="192"/>
              <w:rPr>
                <w:szCs w:val="21"/>
                <w:highlight w:val="none"/>
              </w:rPr>
            </w:pPr>
            <w:r>
              <w:rPr>
                <w:rFonts w:hint="eastAsia"/>
                <w:szCs w:val="21"/>
                <w:highlight w:val="none"/>
              </w:rPr>
              <w:t>在中华人民共和国境内注册的法人或其他组织或自然人，投标时提交有效的营业执照（或事业法人登记证或身份证等相关证明）扫描件。</w:t>
            </w:r>
          </w:p>
        </w:tc>
      </w:tr>
      <w:tr w14:paraId="03F8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6CAC3AA7">
            <w:pPr>
              <w:pStyle w:val="56"/>
              <w:spacing w:before="1" w:line="300" w:lineRule="auto"/>
              <w:ind w:right="3" w:hanging="10"/>
              <w:jc w:val="center"/>
              <w:rPr>
                <w:szCs w:val="21"/>
                <w:highlight w:val="none"/>
              </w:rPr>
            </w:pPr>
            <w:r>
              <w:rPr>
                <w:rFonts w:hint="eastAsia"/>
                <w:szCs w:val="21"/>
                <w:highlight w:val="none"/>
              </w:rPr>
              <w:t>有依法缴纳税收和社会保障资金的良好记录</w:t>
            </w:r>
          </w:p>
        </w:tc>
        <w:tc>
          <w:tcPr>
            <w:tcW w:w="7092" w:type="dxa"/>
            <w:shd w:val="clear" w:color="auto" w:fill="F6F6F6"/>
            <w:tcMar>
              <w:top w:w="57" w:type="dxa"/>
              <w:left w:w="108" w:type="dxa"/>
              <w:bottom w:w="0" w:type="dxa"/>
              <w:right w:w="108" w:type="dxa"/>
            </w:tcMar>
            <w:vAlign w:val="center"/>
          </w:tcPr>
          <w:p w14:paraId="3C390ACC">
            <w:pPr>
              <w:pStyle w:val="56"/>
              <w:spacing w:line="300" w:lineRule="auto"/>
              <w:ind w:left="15" w:leftChars="7" w:right="-17" w:rightChars="-8" w:firstLine="403" w:firstLineChars="192"/>
              <w:rPr>
                <w:szCs w:val="21"/>
                <w:highlight w:val="none"/>
              </w:rPr>
            </w:pPr>
            <w:r>
              <w:rPr>
                <w:rFonts w:hint="eastAsia"/>
                <w:szCs w:val="21"/>
                <w:highlight w:val="none"/>
              </w:rPr>
              <w:t>提供具有依法缴纳税收和社会保障资金证明的承诺函。</w:t>
            </w:r>
          </w:p>
        </w:tc>
      </w:tr>
      <w:tr w14:paraId="3754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391AAAE9">
            <w:pPr>
              <w:pStyle w:val="56"/>
              <w:spacing w:before="1" w:line="300" w:lineRule="auto"/>
              <w:ind w:right="3" w:hanging="10"/>
              <w:jc w:val="center"/>
              <w:rPr>
                <w:szCs w:val="21"/>
                <w:highlight w:val="none"/>
              </w:rPr>
            </w:pPr>
            <w:r>
              <w:rPr>
                <w:rFonts w:hint="eastAsia"/>
                <w:szCs w:val="21"/>
                <w:highlight w:val="none"/>
              </w:rPr>
              <w:t>具有良好的商业信誉和健全的财务会计制度</w:t>
            </w:r>
          </w:p>
        </w:tc>
        <w:tc>
          <w:tcPr>
            <w:tcW w:w="7092" w:type="dxa"/>
            <w:tcMar>
              <w:top w:w="57" w:type="dxa"/>
              <w:left w:w="108" w:type="dxa"/>
              <w:bottom w:w="0" w:type="dxa"/>
              <w:right w:w="108" w:type="dxa"/>
            </w:tcMar>
            <w:vAlign w:val="center"/>
          </w:tcPr>
          <w:p w14:paraId="5AAB48B9">
            <w:pPr>
              <w:pStyle w:val="56"/>
              <w:spacing w:before="117" w:line="300" w:lineRule="auto"/>
              <w:ind w:left="15" w:leftChars="7" w:right="-17" w:rightChars="-8" w:firstLine="403" w:firstLineChars="192"/>
              <w:rPr>
                <w:szCs w:val="21"/>
                <w:highlight w:val="none"/>
              </w:rPr>
            </w:pPr>
            <w:r>
              <w:rPr>
                <w:rFonts w:hint="eastAsia"/>
                <w:szCs w:val="21"/>
                <w:highlight w:val="none"/>
              </w:rPr>
              <w:t>提供具有良好的商业信誉和健全的财务会计制度的承诺函。</w:t>
            </w:r>
          </w:p>
        </w:tc>
      </w:tr>
      <w:tr w14:paraId="2504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041BE0BC">
            <w:pPr>
              <w:pStyle w:val="56"/>
              <w:spacing w:before="1" w:line="300" w:lineRule="auto"/>
              <w:ind w:right="3" w:hanging="10"/>
              <w:jc w:val="center"/>
              <w:rPr>
                <w:szCs w:val="21"/>
                <w:highlight w:val="none"/>
              </w:rPr>
            </w:pPr>
            <w:r>
              <w:rPr>
                <w:rFonts w:hint="eastAsia"/>
                <w:szCs w:val="21"/>
                <w:highlight w:val="none"/>
              </w:rPr>
              <w:t>履行合同所必需的设备和专业技术能力</w:t>
            </w:r>
          </w:p>
        </w:tc>
        <w:tc>
          <w:tcPr>
            <w:tcW w:w="7092" w:type="dxa"/>
            <w:shd w:val="clear" w:color="auto" w:fill="F6F6F6"/>
            <w:tcMar>
              <w:top w:w="57" w:type="dxa"/>
              <w:left w:w="108" w:type="dxa"/>
              <w:bottom w:w="0" w:type="dxa"/>
              <w:right w:w="108" w:type="dxa"/>
            </w:tcMar>
            <w:vAlign w:val="center"/>
          </w:tcPr>
          <w:p w14:paraId="1B846AD8">
            <w:pPr>
              <w:pStyle w:val="56"/>
              <w:spacing w:before="1" w:line="300" w:lineRule="auto"/>
              <w:ind w:left="15" w:leftChars="7" w:right="-17" w:rightChars="-8" w:firstLine="403" w:firstLineChars="192"/>
              <w:rPr>
                <w:szCs w:val="21"/>
                <w:highlight w:val="none"/>
              </w:rPr>
            </w:pPr>
            <w:r>
              <w:rPr>
                <w:rFonts w:hint="eastAsia"/>
                <w:szCs w:val="21"/>
                <w:highlight w:val="none"/>
              </w:rPr>
              <w:t>提供具有履行合同所</w:t>
            </w:r>
            <w:r>
              <w:rPr>
                <w:rFonts w:hint="eastAsia"/>
                <w:szCs w:val="21"/>
                <w:highlight w:val="none"/>
                <w:lang w:eastAsia="zh-CN"/>
              </w:rPr>
              <w:t>必需的设备</w:t>
            </w:r>
            <w:r>
              <w:rPr>
                <w:rFonts w:hint="eastAsia"/>
                <w:szCs w:val="21"/>
                <w:highlight w:val="none"/>
              </w:rPr>
              <w:t>和专业技术能力的承诺函。</w:t>
            </w:r>
          </w:p>
        </w:tc>
      </w:tr>
      <w:tr w14:paraId="5DA4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2144635E">
            <w:pPr>
              <w:pStyle w:val="56"/>
              <w:spacing w:line="300" w:lineRule="auto"/>
              <w:ind w:right="3" w:hanging="10"/>
              <w:jc w:val="center"/>
              <w:rPr>
                <w:szCs w:val="21"/>
                <w:highlight w:val="none"/>
              </w:rPr>
            </w:pPr>
            <w:r>
              <w:rPr>
                <w:rFonts w:hint="eastAsia"/>
                <w:szCs w:val="21"/>
                <w:highlight w:val="none"/>
              </w:rPr>
              <w:t>参加采购活动前3年内，在经营活动中没有重大违法记录</w:t>
            </w:r>
          </w:p>
        </w:tc>
        <w:tc>
          <w:tcPr>
            <w:tcW w:w="7092" w:type="dxa"/>
            <w:tcMar>
              <w:top w:w="57" w:type="dxa"/>
              <w:left w:w="108" w:type="dxa"/>
              <w:bottom w:w="0" w:type="dxa"/>
              <w:right w:w="108" w:type="dxa"/>
            </w:tcMar>
            <w:vAlign w:val="center"/>
          </w:tcPr>
          <w:p w14:paraId="00A4EC9E">
            <w:pPr>
              <w:pStyle w:val="56"/>
              <w:spacing w:before="48" w:line="300" w:lineRule="auto"/>
              <w:ind w:left="15" w:leftChars="7" w:right="-17" w:rightChars="-8" w:firstLine="403" w:firstLineChars="192"/>
              <w:rPr>
                <w:szCs w:val="21"/>
                <w:highlight w:val="none"/>
              </w:rPr>
            </w:pPr>
            <w:r>
              <w:rPr>
                <w:rFonts w:hint="eastAsia"/>
                <w:szCs w:val="21"/>
                <w:highlight w:val="none"/>
              </w:rPr>
              <w:t>参照投标声明书相关承诺内容。重大违法记录，是指投标人因违法经营受到刑事处罚或者责令停产停业、吊销许可证或者执照、较大数额罚款等行政处罚。</w:t>
            </w:r>
          </w:p>
        </w:tc>
      </w:tr>
      <w:tr w14:paraId="1D79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6F081B2B">
            <w:pPr>
              <w:pStyle w:val="56"/>
              <w:spacing w:line="300" w:lineRule="auto"/>
              <w:ind w:right="3" w:hanging="10"/>
              <w:jc w:val="center"/>
              <w:rPr>
                <w:szCs w:val="21"/>
                <w:highlight w:val="none"/>
              </w:rPr>
            </w:pPr>
            <w:r>
              <w:rPr>
                <w:rFonts w:hint="eastAsia"/>
                <w:szCs w:val="21"/>
                <w:highlight w:val="none"/>
              </w:rPr>
              <w:t>信用记录</w:t>
            </w:r>
          </w:p>
        </w:tc>
        <w:tc>
          <w:tcPr>
            <w:tcW w:w="7092" w:type="dxa"/>
            <w:shd w:val="clear" w:color="auto" w:fill="F6F6F6"/>
            <w:tcMar>
              <w:top w:w="57" w:type="dxa"/>
              <w:left w:w="108" w:type="dxa"/>
              <w:bottom w:w="0" w:type="dxa"/>
              <w:right w:w="108" w:type="dxa"/>
            </w:tcMar>
            <w:vAlign w:val="center"/>
          </w:tcPr>
          <w:p w14:paraId="75D982E5">
            <w:pPr>
              <w:spacing w:line="300" w:lineRule="auto"/>
              <w:ind w:left="15" w:leftChars="7" w:right="-17" w:rightChars="-8" w:firstLine="403" w:firstLineChars="192"/>
              <w:rPr>
                <w:rFonts w:ascii="宋体" w:hAnsi="宋体" w:cs="宋体"/>
                <w:szCs w:val="21"/>
                <w:highlight w:val="none"/>
              </w:rPr>
            </w:pPr>
            <w:r>
              <w:rPr>
                <w:rFonts w:hint="eastAsia" w:ascii="宋体" w:hAnsi="宋体" w:cs="宋体"/>
                <w:highlight w:val="none"/>
              </w:rPr>
              <w:t>1.截止时点：开标后评标前。</w:t>
            </w:r>
          </w:p>
          <w:p w14:paraId="4FDDC19E">
            <w:pPr>
              <w:spacing w:line="300" w:lineRule="auto"/>
              <w:ind w:left="15" w:leftChars="7" w:right="-17" w:rightChars="-8" w:firstLine="403" w:firstLineChars="192"/>
              <w:rPr>
                <w:rFonts w:ascii="宋体" w:hAnsi="宋体" w:cs="宋体"/>
                <w:szCs w:val="21"/>
                <w:highlight w:val="none"/>
              </w:rPr>
            </w:pPr>
            <w:r>
              <w:rPr>
                <w:rFonts w:hint="eastAsia" w:ascii="宋体" w:hAnsi="宋体" w:cs="宋体"/>
                <w:highlight w:val="none"/>
              </w:rPr>
              <w:t>2.使用规则：投标人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14:paraId="2784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65C18E92">
            <w:pPr>
              <w:pStyle w:val="56"/>
              <w:spacing w:line="300" w:lineRule="auto"/>
              <w:ind w:right="3" w:hanging="10"/>
              <w:jc w:val="center"/>
              <w:rPr>
                <w:szCs w:val="21"/>
                <w:highlight w:val="none"/>
              </w:rPr>
            </w:pPr>
            <w:r>
              <w:rPr>
                <w:rFonts w:hint="eastAsia"/>
                <w:szCs w:val="21"/>
                <w:highlight w:val="none"/>
              </w:rPr>
              <w:t>必须符合法律、行政法规规定的其他条件</w:t>
            </w:r>
          </w:p>
        </w:tc>
        <w:tc>
          <w:tcPr>
            <w:tcW w:w="7092" w:type="dxa"/>
            <w:tcMar>
              <w:top w:w="57" w:type="dxa"/>
              <w:left w:w="108" w:type="dxa"/>
              <w:bottom w:w="0" w:type="dxa"/>
              <w:right w:w="108" w:type="dxa"/>
            </w:tcMar>
            <w:vAlign w:val="center"/>
          </w:tcPr>
          <w:p w14:paraId="33686933">
            <w:pPr>
              <w:pStyle w:val="56"/>
              <w:spacing w:before="48" w:line="300" w:lineRule="auto"/>
              <w:ind w:left="15" w:leftChars="7" w:right="-17" w:rightChars="-8" w:firstLine="403" w:firstLineChars="192"/>
              <w:rPr>
                <w:szCs w:val="21"/>
                <w:highlight w:val="none"/>
              </w:rPr>
            </w:pPr>
            <w:r>
              <w:rPr>
                <w:rFonts w:hint="eastAsia"/>
                <w:szCs w:val="21"/>
                <w:highlight w:val="none"/>
              </w:rPr>
              <w:t>1.单位负责人为同一人或者存在直接控股、管理关系的不同供应商，不得同时参加本项目投标。</w:t>
            </w:r>
          </w:p>
          <w:p w14:paraId="5F744DDC">
            <w:pPr>
              <w:pStyle w:val="56"/>
              <w:spacing w:before="48" w:line="300" w:lineRule="auto"/>
              <w:ind w:left="15" w:leftChars="7" w:right="-17" w:rightChars="-8" w:firstLine="403" w:firstLineChars="192"/>
              <w:rPr>
                <w:szCs w:val="21"/>
                <w:highlight w:val="none"/>
              </w:rPr>
            </w:pPr>
            <w:r>
              <w:rPr>
                <w:rFonts w:hint="eastAsia"/>
                <w:szCs w:val="21"/>
                <w:highlight w:val="none"/>
              </w:rPr>
              <w:t>2.为本项目提供整体设计、规范编制或者项目管理、监理、检测等服务的供应商，不得再参与本项目投标。</w:t>
            </w:r>
          </w:p>
          <w:p w14:paraId="3D13AEAE">
            <w:pPr>
              <w:pStyle w:val="56"/>
              <w:spacing w:before="48" w:line="300" w:lineRule="auto"/>
              <w:ind w:left="15" w:leftChars="7" w:right="-17" w:rightChars="-8" w:firstLine="403" w:firstLineChars="192"/>
              <w:rPr>
                <w:szCs w:val="21"/>
                <w:highlight w:val="none"/>
              </w:rPr>
            </w:pPr>
            <w:r>
              <w:rPr>
                <w:rFonts w:hint="eastAsia"/>
                <w:szCs w:val="21"/>
                <w:highlight w:val="none"/>
              </w:rPr>
              <w:t>3.投标（报价）文件相关承诺要求内容（以联合体形式投标时，联合体各方均须满足该条款）。</w:t>
            </w:r>
          </w:p>
        </w:tc>
      </w:tr>
      <w:tr w14:paraId="115C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49BB0765">
            <w:pPr>
              <w:pStyle w:val="56"/>
              <w:spacing w:before="48" w:line="300" w:lineRule="auto"/>
              <w:ind w:right="3" w:hanging="10"/>
              <w:jc w:val="center"/>
              <w:rPr>
                <w:szCs w:val="21"/>
                <w:highlight w:val="none"/>
              </w:rPr>
            </w:pPr>
            <w:r>
              <w:rPr>
                <w:rFonts w:hint="eastAsia"/>
                <w:szCs w:val="21"/>
                <w:highlight w:val="none"/>
              </w:rPr>
              <w:t>联合体投标</w:t>
            </w:r>
          </w:p>
        </w:tc>
        <w:tc>
          <w:tcPr>
            <w:tcW w:w="7092" w:type="dxa"/>
            <w:shd w:val="clear" w:color="auto" w:fill="F6F6F6"/>
            <w:tcMar>
              <w:top w:w="57" w:type="dxa"/>
              <w:left w:w="108" w:type="dxa"/>
              <w:bottom w:w="0" w:type="dxa"/>
              <w:right w:w="108" w:type="dxa"/>
            </w:tcMar>
            <w:vAlign w:val="center"/>
          </w:tcPr>
          <w:p w14:paraId="7B371217">
            <w:pPr>
              <w:pStyle w:val="56"/>
              <w:spacing w:before="48" w:line="300" w:lineRule="auto"/>
              <w:ind w:left="15" w:leftChars="7" w:right="-17" w:rightChars="-8" w:firstLine="403" w:firstLineChars="192"/>
              <w:rPr>
                <w:szCs w:val="21"/>
                <w:highlight w:val="none"/>
              </w:rPr>
            </w:pPr>
            <w:r>
              <w:rPr>
                <w:rFonts w:hint="eastAsia"/>
                <w:szCs w:val="21"/>
                <w:highlight w:val="none"/>
              </w:rPr>
              <w:t>本项目不接受联合体投标。</w:t>
            </w:r>
          </w:p>
        </w:tc>
      </w:tr>
      <w:tr w14:paraId="5AD4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0D880A1B">
            <w:pPr>
              <w:pStyle w:val="56"/>
              <w:spacing w:line="300" w:lineRule="auto"/>
              <w:ind w:right="3" w:hanging="10"/>
              <w:jc w:val="center"/>
              <w:rPr>
                <w:szCs w:val="21"/>
                <w:highlight w:val="none"/>
              </w:rPr>
            </w:pPr>
            <w:r>
              <w:rPr>
                <w:rFonts w:hint="eastAsia"/>
                <w:szCs w:val="21"/>
                <w:highlight w:val="none"/>
              </w:rPr>
              <w:t>资质</w:t>
            </w:r>
          </w:p>
        </w:tc>
        <w:tc>
          <w:tcPr>
            <w:tcW w:w="7092" w:type="dxa"/>
            <w:tcMar>
              <w:top w:w="57" w:type="dxa"/>
              <w:left w:w="108" w:type="dxa"/>
              <w:bottom w:w="0" w:type="dxa"/>
              <w:right w:w="108" w:type="dxa"/>
            </w:tcMar>
            <w:vAlign w:val="center"/>
          </w:tcPr>
          <w:p w14:paraId="7E08B612">
            <w:pPr>
              <w:pStyle w:val="56"/>
              <w:spacing w:before="48" w:line="300" w:lineRule="auto"/>
              <w:ind w:left="15" w:leftChars="7" w:right="-17" w:rightChars="-8" w:firstLine="403" w:firstLineChars="192"/>
              <w:rPr>
                <w:rFonts w:hint="default" w:eastAsia="宋体"/>
                <w:szCs w:val="21"/>
                <w:highlight w:val="none"/>
                <w:lang w:val="en-US" w:eastAsia="zh-CN"/>
              </w:rPr>
            </w:pPr>
            <w:r>
              <w:rPr>
                <w:rFonts w:hint="eastAsia"/>
                <w:szCs w:val="21"/>
                <w:highlight w:val="none"/>
                <w:lang w:val="en-US" w:eastAsia="zh-CN"/>
              </w:rPr>
              <w:t>《食品经营许可证》</w:t>
            </w:r>
          </w:p>
        </w:tc>
      </w:tr>
    </w:tbl>
    <w:p w14:paraId="3DF003CE">
      <w:pPr>
        <w:pStyle w:val="10"/>
        <w:keepNext w:val="0"/>
        <w:keepLines w:val="0"/>
        <w:pageBreakBefore w:val="0"/>
        <w:widowControl w:val="0"/>
        <w:numPr>
          <w:ilvl w:val="0"/>
          <w:numId w:val="67"/>
        </w:numPr>
        <w:kinsoku/>
        <w:wordWrap/>
        <w:overflowPunct/>
        <w:topLinePunct w:val="0"/>
        <w:autoSpaceDE/>
        <w:autoSpaceDN/>
        <w:bidi w:val="0"/>
        <w:adjustRightInd/>
        <w:snapToGrid/>
        <w:spacing w:line="360" w:lineRule="auto"/>
        <w:ind w:left="0" w:leftChars="0" w:firstLine="482" w:firstLineChars="200"/>
        <w:textAlignment w:val="auto"/>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符合性审查</w:t>
      </w:r>
    </w:p>
    <w:p w14:paraId="3C48CB55">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highlight w:val="none"/>
        </w:rPr>
        <w:t>询问</w:t>
      </w:r>
      <w:r>
        <w:rPr>
          <w:rFonts w:asciiTheme="minorEastAsia" w:hAnsiTheme="minorEastAsia" w:eastAsiaTheme="minorEastAsia"/>
          <w:sz w:val="24"/>
          <w:highlight w:val="none"/>
        </w:rPr>
        <w:t>，</w:t>
      </w:r>
      <w:r>
        <w:rPr>
          <w:rFonts w:hint="eastAsia" w:ascii="宋体" w:hAnsi="宋体" w:cs="宋体"/>
          <w:sz w:val="24"/>
          <w:highlight w:val="none"/>
        </w:rPr>
        <w:t>在台州湾新区小额工程电子交易平台公布无效投标的投标人名单、投标无效的原因</w:t>
      </w:r>
      <w:r>
        <w:rPr>
          <w:rFonts w:hint="eastAsia" w:asciiTheme="minorEastAsia" w:hAnsiTheme="minorEastAsia" w:eastAsiaTheme="minorEastAsia"/>
          <w:sz w:val="24"/>
          <w:highlight w:val="none"/>
        </w:rPr>
        <w:t>。</w:t>
      </w:r>
    </w:p>
    <w:tbl>
      <w:tblPr>
        <w:tblStyle w:val="26"/>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4414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3DFF0CF2">
            <w:pPr>
              <w:pStyle w:val="56"/>
              <w:spacing w:line="300" w:lineRule="auto"/>
              <w:ind w:right="3" w:hanging="10"/>
              <w:jc w:val="center"/>
              <w:rPr>
                <w:szCs w:val="21"/>
                <w:highlight w:val="none"/>
              </w:rPr>
            </w:pPr>
            <w:r>
              <w:rPr>
                <w:rFonts w:hint="eastAsia"/>
                <w:szCs w:val="21"/>
                <w:highlight w:val="none"/>
              </w:rPr>
              <w:t>投标文件</w:t>
            </w:r>
          </w:p>
        </w:tc>
        <w:tc>
          <w:tcPr>
            <w:tcW w:w="7183" w:type="dxa"/>
            <w:tcMar>
              <w:top w:w="57" w:type="dxa"/>
              <w:left w:w="108" w:type="dxa"/>
              <w:bottom w:w="0" w:type="dxa"/>
              <w:right w:w="108" w:type="dxa"/>
            </w:tcMar>
            <w:vAlign w:val="center"/>
          </w:tcPr>
          <w:p w14:paraId="12516755">
            <w:pPr>
              <w:pStyle w:val="10"/>
              <w:spacing w:line="300" w:lineRule="auto"/>
              <w:ind w:left="15" w:leftChars="7" w:right="-17" w:rightChars="-8" w:firstLine="403" w:firstLineChars="192"/>
              <w:jc w:val="both"/>
              <w:rPr>
                <w:highlight w:val="none"/>
              </w:rPr>
            </w:pPr>
            <w:r>
              <w:rPr>
                <w:rFonts w:hint="eastAsia"/>
                <w:highlight w:val="none"/>
              </w:rPr>
              <w:t>投标文件内容基本完整，无重大错漏，并按要求签署、盖章。</w:t>
            </w:r>
          </w:p>
        </w:tc>
      </w:tr>
      <w:tr w14:paraId="4FE9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7F111673">
            <w:pPr>
              <w:pStyle w:val="56"/>
              <w:spacing w:line="300" w:lineRule="auto"/>
              <w:ind w:right="3" w:hanging="10"/>
              <w:jc w:val="center"/>
              <w:rPr>
                <w:szCs w:val="21"/>
                <w:highlight w:val="none"/>
              </w:rPr>
            </w:pPr>
            <w:r>
              <w:rPr>
                <w:rFonts w:hint="eastAsia"/>
                <w:szCs w:val="21"/>
                <w:highlight w:val="none"/>
              </w:rPr>
              <w:t>法定代表人/负责人授权委托书</w:t>
            </w:r>
          </w:p>
        </w:tc>
        <w:tc>
          <w:tcPr>
            <w:tcW w:w="7183" w:type="dxa"/>
            <w:shd w:val="clear" w:color="auto" w:fill="F6F6F6"/>
            <w:tcMar>
              <w:top w:w="57" w:type="dxa"/>
              <w:left w:w="108" w:type="dxa"/>
              <w:bottom w:w="0" w:type="dxa"/>
              <w:right w:w="108" w:type="dxa"/>
            </w:tcMar>
            <w:vAlign w:val="center"/>
          </w:tcPr>
          <w:p w14:paraId="07481D46">
            <w:pPr>
              <w:pStyle w:val="10"/>
              <w:spacing w:line="300" w:lineRule="auto"/>
              <w:ind w:left="15" w:leftChars="7" w:right="-17" w:rightChars="-8" w:firstLine="403" w:firstLineChars="192"/>
              <w:jc w:val="both"/>
              <w:rPr>
                <w:highlight w:val="none"/>
              </w:rPr>
            </w:pPr>
            <w:r>
              <w:rPr>
                <w:rFonts w:hint="eastAsia"/>
                <w:highlight w:val="none"/>
              </w:rPr>
              <w:t>法定代表人/负责人授权委托书，按对应格式文件签署、盖章。</w:t>
            </w:r>
          </w:p>
        </w:tc>
      </w:tr>
      <w:tr w14:paraId="75D0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4C4034DE">
            <w:pPr>
              <w:pStyle w:val="56"/>
              <w:spacing w:line="300" w:lineRule="auto"/>
              <w:ind w:right="3" w:hanging="10"/>
              <w:jc w:val="center"/>
              <w:rPr>
                <w:szCs w:val="21"/>
                <w:highlight w:val="none"/>
              </w:rPr>
            </w:pPr>
            <w:r>
              <w:rPr>
                <w:rFonts w:hint="eastAsia"/>
                <w:szCs w:val="21"/>
                <w:highlight w:val="none"/>
              </w:rPr>
              <w:t>“▲”实质性条款</w:t>
            </w:r>
          </w:p>
        </w:tc>
        <w:tc>
          <w:tcPr>
            <w:tcW w:w="7183" w:type="dxa"/>
            <w:tcMar>
              <w:top w:w="57" w:type="dxa"/>
              <w:left w:w="108" w:type="dxa"/>
              <w:bottom w:w="0" w:type="dxa"/>
              <w:right w:w="108" w:type="dxa"/>
            </w:tcMar>
            <w:vAlign w:val="center"/>
          </w:tcPr>
          <w:p w14:paraId="7F45E775">
            <w:pPr>
              <w:pStyle w:val="10"/>
              <w:spacing w:line="300" w:lineRule="auto"/>
              <w:ind w:left="15" w:leftChars="7" w:right="-17" w:rightChars="-8" w:firstLine="403" w:firstLineChars="192"/>
              <w:jc w:val="both"/>
              <w:rPr>
                <w:highlight w:val="none"/>
              </w:rPr>
            </w:pPr>
            <w:r>
              <w:rPr>
                <w:rFonts w:hint="eastAsia"/>
                <w:highlight w:val="none"/>
              </w:rPr>
              <w:t>“▲”实质性条款必须满足招标文件要求。</w:t>
            </w:r>
          </w:p>
        </w:tc>
      </w:tr>
      <w:tr w14:paraId="4D86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1FC24395">
            <w:pPr>
              <w:pStyle w:val="56"/>
              <w:spacing w:line="300" w:lineRule="auto"/>
              <w:ind w:right="3" w:hanging="10"/>
              <w:jc w:val="center"/>
              <w:rPr>
                <w:szCs w:val="21"/>
                <w:highlight w:val="none"/>
              </w:rPr>
            </w:pPr>
            <w:r>
              <w:rPr>
                <w:rFonts w:hint="eastAsia"/>
                <w:szCs w:val="21"/>
                <w:highlight w:val="none"/>
              </w:rPr>
              <w:t>串通投标</w:t>
            </w:r>
          </w:p>
        </w:tc>
        <w:tc>
          <w:tcPr>
            <w:tcW w:w="7183" w:type="dxa"/>
            <w:shd w:val="clear" w:color="auto" w:fill="F6F6F6"/>
            <w:tcMar>
              <w:top w:w="57" w:type="dxa"/>
              <w:left w:w="108" w:type="dxa"/>
              <w:bottom w:w="0" w:type="dxa"/>
              <w:right w:w="108" w:type="dxa"/>
            </w:tcMar>
            <w:vAlign w:val="center"/>
          </w:tcPr>
          <w:p w14:paraId="583B68B7">
            <w:pPr>
              <w:pStyle w:val="10"/>
              <w:spacing w:line="300" w:lineRule="auto"/>
              <w:ind w:left="15" w:leftChars="7" w:right="-17" w:rightChars="-8" w:firstLine="403" w:firstLineChars="192"/>
              <w:jc w:val="both"/>
              <w:rPr>
                <w:highlight w:val="none"/>
              </w:rPr>
            </w:pPr>
            <w:r>
              <w:rPr>
                <w:rFonts w:hint="eastAsia"/>
                <w:highlight w:val="none"/>
              </w:rPr>
              <w:t>未出现财政部87号令《政府采购货物和服务招标投标管理办法》第三十七条规定的串通投标情形。</w:t>
            </w:r>
          </w:p>
        </w:tc>
      </w:tr>
      <w:tr w14:paraId="2C2F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27F04154">
            <w:pPr>
              <w:pStyle w:val="56"/>
              <w:spacing w:line="300" w:lineRule="auto"/>
              <w:ind w:right="3" w:hanging="10"/>
              <w:jc w:val="center"/>
              <w:rPr>
                <w:szCs w:val="21"/>
                <w:highlight w:val="none"/>
              </w:rPr>
            </w:pPr>
            <w:r>
              <w:rPr>
                <w:rFonts w:hint="eastAsia"/>
                <w:szCs w:val="21"/>
                <w:highlight w:val="none"/>
              </w:rPr>
              <w:t>附加条件</w:t>
            </w:r>
          </w:p>
        </w:tc>
        <w:tc>
          <w:tcPr>
            <w:tcW w:w="7183" w:type="dxa"/>
            <w:tcMar>
              <w:top w:w="57" w:type="dxa"/>
              <w:left w:w="108" w:type="dxa"/>
              <w:bottom w:w="0" w:type="dxa"/>
              <w:right w:w="108" w:type="dxa"/>
            </w:tcMar>
            <w:vAlign w:val="center"/>
          </w:tcPr>
          <w:p w14:paraId="5CF8B244">
            <w:pPr>
              <w:pStyle w:val="10"/>
              <w:spacing w:line="300" w:lineRule="auto"/>
              <w:ind w:left="15" w:leftChars="7" w:right="-17" w:rightChars="-8" w:firstLine="403" w:firstLineChars="192"/>
              <w:jc w:val="both"/>
              <w:rPr>
                <w:highlight w:val="none"/>
              </w:rPr>
            </w:pPr>
            <w:r>
              <w:rPr>
                <w:rFonts w:hint="eastAsia"/>
                <w:highlight w:val="none"/>
              </w:rPr>
              <w:t>投标文件未含有采购人不可接受的附加条件。</w:t>
            </w:r>
          </w:p>
        </w:tc>
      </w:tr>
    </w:tbl>
    <w:p w14:paraId="0607B23D">
      <w:pPr>
        <w:pStyle w:val="22"/>
        <w:keepNext w:val="0"/>
        <w:keepLines w:val="0"/>
        <w:pageBreakBefore w:val="0"/>
        <w:numPr>
          <w:ilvl w:val="0"/>
          <w:numId w:val="67"/>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rPr>
          <w:rFonts w:hint="default" w:asciiTheme="minorEastAsia" w:hAnsiTheme="minorEastAsia" w:eastAsiaTheme="minorEastAsia"/>
          <w:highlight w:val="none"/>
        </w:rPr>
      </w:pPr>
      <w:r>
        <w:rPr>
          <w:rFonts w:ascii="Arial" w:hAnsi="Arial" w:cs="Arial" w:eastAsiaTheme="minorEastAsia"/>
          <w:b/>
          <w:bCs/>
          <w:highlight w:val="none"/>
        </w:rPr>
        <w:t>技术标及商务标评审</w:t>
      </w:r>
    </w:p>
    <w:p w14:paraId="47998EA6">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textAlignment w:val="auto"/>
        <w:rPr>
          <w:rFonts w:ascii="宋体"/>
          <w:b/>
          <w:bCs/>
          <w:sz w:val="24"/>
          <w:highlight w:val="none"/>
        </w:rPr>
      </w:pPr>
      <w:r>
        <w:rPr>
          <w:rFonts w:hint="eastAsia" w:asciiTheme="minorEastAsia" w:hAnsiTheme="minorEastAsia" w:eastAsiaTheme="minorEastAsia"/>
          <w:kern w:val="0"/>
          <w:sz w:val="24"/>
          <w:highlight w:val="none"/>
        </w:rPr>
        <w:t>项目评标方法为综合评分法，总计100分，评标按以下标准及要求进行：</w:t>
      </w:r>
    </w:p>
    <w:p w14:paraId="393AAF6C">
      <w:pPr>
        <w:keepNext w:val="0"/>
        <w:keepLines w:val="0"/>
        <w:pageBreakBefore w:val="0"/>
        <w:numPr>
          <w:ilvl w:val="0"/>
          <w:numId w:val="68"/>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hint="eastAsia" w:ascii="宋体"/>
          <w:b/>
          <w:bCs/>
          <w:sz w:val="24"/>
          <w:highlight w:val="none"/>
        </w:rPr>
      </w:pPr>
      <w:r>
        <w:rPr>
          <w:rFonts w:hint="eastAsia" w:ascii="宋体"/>
          <w:b/>
          <w:bCs/>
          <w:sz w:val="24"/>
          <w:highlight w:val="none"/>
        </w:rPr>
        <w:t>评分标准</w:t>
      </w:r>
    </w:p>
    <w:p w14:paraId="3BAF8B13">
      <w:pPr>
        <w:rPr>
          <w:rFonts w:hint="eastAsia" w:ascii="宋体"/>
          <w:b/>
          <w:bCs/>
          <w:sz w:val="24"/>
          <w:highlight w:val="none"/>
        </w:rPr>
      </w:pPr>
      <w:r>
        <w:rPr>
          <w:rFonts w:hint="eastAsia" w:ascii="宋体"/>
          <w:b/>
          <w:bCs/>
          <w:sz w:val="24"/>
          <w:highlight w:val="none"/>
        </w:rPr>
        <w:br w:type="page"/>
      </w:r>
    </w:p>
    <w:tbl>
      <w:tblPr>
        <w:tblStyle w:val="26"/>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073"/>
        <w:gridCol w:w="6263"/>
        <w:gridCol w:w="818"/>
      </w:tblGrid>
      <w:tr w14:paraId="5172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79" w:type="dxa"/>
            <w:shd w:val="clear" w:color="auto" w:fill="DDDDDD"/>
            <w:vAlign w:val="center"/>
          </w:tcPr>
          <w:p w14:paraId="0D0D8C86">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评分项目</w:t>
            </w:r>
          </w:p>
        </w:tc>
        <w:tc>
          <w:tcPr>
            <w:tcW w:w="7336" w:type="dxa"/>
            <w:gridSpan w:val="2"/>
            <w:shd w:val="clear" w:color="auto" w:fill="DDDDDD"/>
            <w:vAlign w:val="center"/>
          </w:tcPr>
          <w:p w14:paraId="05D98126">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评分细则</w:t>
            </w:r>
          </w:p>
        </w:tc>
        <w:tc>
          <w:tcPr>
            <w:tcW w:w="818" w:type="dxa"/>
            <w:shd w:val="clear" w:color="auto" w:fill="DDDDDD"/>
            <w:vAlign w:val="center"/>
          </w:tcPr>
          <w:p w14:paraId="5766A6BF">
            <w:pPr>
              <w:adjustRightInd w:val="0"/>
              <w:snapToGrid w:val="0"/>
              <w:ind w:right="-105" w:right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14:paraId="07F2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79" w:type="dxa"/>
            <w:vMerge w:val="restart"/>
            <w:vAlign w:val="center"/>
          </w:tcPr>
          <w:p w14:paraId="7F00DB55">
            <w:pPr>
              <w:adjustRightInd w:val="0"/>
              <w:snapToGrid w:val="0"/>
              <w:jc w:val="center"/>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rPr>
              <w:t>技术</w:t>
            </w:r>
            <w:r>
              <w:rPr>
                <w:rFonts w:hint="eastAsia" w:ascii="宋体" w:hAnsi="宋体" w:cs="宋体"/>
                <w:snapToGrid w:val="0"/>
                <w:color w:val="auto"/>
                <w:sz w:val="21"/>
                <w:szCs w:val="21"/>
                <w:highlight w:val="none"/>
                <w:lang w:val="en-US" w:eastAsia="zh-CN"/>
              </w:rPr>
              <w:t>标</w:t>
            </w:r>
          </w:p>
        </w:tc>
        <w:tc>
          <w:tcPr>
            <w:tcW w:w="1073" w:type="dxa"/>
            <w:vMerge w:val="restart"/>
            <w:vAlign w:val="center"/>
          </w:tcPr>
          <w:p w14:paraId="0D9C81E5">
            <w:pPr>
              <w:jc w:val="center"/>
              <w:rPr>
                <w:rFonts w:hint="default" w:eastAsia="宋体"/>
                <w:color w:val="auto"/>
                <w:highlight w:val="none"/>
                <w:lang w:val="en-US" w:eastAsia="zh-CN"/>
              </w:rPr>
            </w:pPr>
            <w:r>
              <w:rPr>
                <w:rFonts w:hint="eastAsia" w:ascii="宋体" w:hAnsi="宋体" w:eastAsia="宋体" w:cs="宋体"/>
                <w:bCs/>
                <w:color w:val="auto"/>
                <w:szCs w:val="21"/>
                <w:highlight w:val="none"/>
                <w:lang w:val="en-US" w:eastAsia="zh-CN"/>
              </w:rPr>
              <w:t>企业实力</w:t>
            </w:r>
          </w:p>
        </w:tc>
        <w:tc>
          <w:tcPr>
            <w:tcW w:w="6263" w:type="dxa"/>
            <w:vAlign w:val="center"/>
          </w:tcPr>
          <w:p w14:paraId="4B0D4CBD">
            <w:pPr>
              <w:bidi w:val="0"/>
              <w:rPr>
                <w:rFonts w:hint="eastAsia"/>
                <w:highlight w:val="none"/>
              </w:rPr>
            </w:pPr>
            <w:r>
              <w:rPr>
                <w:rFonts w:hint="eastAsia"/>
                <w:highlight w:val="none"/>
                <w:lang w:val="en-US" w:eastAsia="zh-CN"/>
              </w:rPr>
              <w:t>供应商</w:t>
            </w:r>
            <w:r>
              <w:rPr>
                <w:rFonts w:hint="eastAsia"/>
                <w:highlight w:val="none"/>
              </w:rPr>
              <w:t>具有ISO14001环境管理体系认</w:t>
            </w:r>
            <w:r>
              <w:rPr>
                <w:rFonts w:hint="eastAsia"/>
                <w:highlight w:val="none"/>
                <w:lang w:val="en-US" w:eastAsia="zh-CN"/>
              </w:rPr>
              <w:t>证证书</w:t>
            </w:r>
            <w:r>
              <w:rPr>
                <w:rFonts w:hint="eastAsia"/>
                <w:highlight w:val="none"/>
              </w:rPr>
              <w:t>、</w:t>
            </w:r>
            <w:r>
              <w:rPr>
                <w:rFonts w:hint="eastAsia"/>
                <w:highlight w:val="none"/>
                <w:lang w:eastAsia="zh-CN"/>
              </w:rPr>
              <w:t>ISO45001</w:t>
            </w:r>
            <w:r>
              <w:rPr>
                <w:rFonts w:hint="eastAsia"/>
                <w:highlight w:val="none"/>
              </w:rPr>
              <w:t>职业健康安全管理体系认证</w:t>
            </w:r>
            <w:r>
              <w:rPr>
                <w:rFonts w:hint="eastAsia"/>
                <w:highlight w:val="none"/>
                <w:lang w:val="en-US" w:eastAsia="zh-CN"/>
              </w:rPr>
              <w:t>证书</w:t>
            </w:r>
            <w:r>
              <w:rPr>
                <w:rFonts w:hint="eastAsia"/>
                <w:highlight w:val="none"/>
              </w:rPr>
              <w:t>、ISO9001 质量管理体系证书</w:t>
            </w:r>
            <w:r>
              <w:rPr>
                <w:rFonts w:hint="eastAsia"/>
                <w:highlight w:val="none"/>
                <w:lang w:eastAsia="zh-CN"/>
              </w:rPr>
              <w:t>、</w:t>
            </w:r>
            <w:r>
              <w:rPr>
                <w:rFonts w:hint="eastAsia"/>
                <w:highlight w:val="none"/>
                <w:lang w:val="en-US" w:eastAsia="zh-CN"/>
              </w:rPr>
              <w:t>HACCP体系认证证书且在有效期内，每提供一个得1分，最高得4分</w:t>
            </w:r>
            <w:r>
              <w:rPr>
                <w:rFonts w:hint="eastAsia"/>
                <w:highlight w:val="none"/>
              </w:rPr>
              <w:t>。</w:t>
            </w:r>
          </w:p>
          <w:p w14:paraId="3BC3AFDB">
            <w:pPr>
              <w:bidi w:val="0"/>
              <w:rPr>
                <w:rFonts w:hint="default" w:ascii="Times New Roman" w:hAnsi="Times New Roman" w:eastAsia="宋体" w:cs="Times New Roman"/>
                <w:color w:val="auto"/>
                <w:kern w:val="2"/>
                <w:sz w:val="21"/>
                <w:szCs w:val="24"/>
                <w:highlight w:val="none"/>
                <w:lang w:val="en-US" w:eastAsia="zh-CN" w:bidi="ar-SA"/>
              </w:rPr>
            </w:pPr>
            <w:r>
              <w:rPr>
                <w:rFonts w:hint="eastAsia"/>
                <w:b/>
                <w:bCs/>
                <w:highlight w:val="none"/>
                <w:lang w:val="en-US" w:eastAsia="zh-CN"/>
              </w:rPr>
              <w:t>需提供证书扫描件。</w:t>
            </w:r>
          </w:p>
        </w:tc>
        <w:tc>
          <w:tcPr>
            <w:tcW w:w="818" w:type="dxa"/>
            <w:vAlign w:val="center"/>
          </w:tcPr>
          <w:p w14:paraId="75D5548D">
            <w:pPr>
              <w:adjustRightInd w:val="0"/>
              <w:snapToGrid w:val="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r>
      <w:tr w14:paraId="2B00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9" w:type="dxa"/>
            <w:vMerge w:val="continue"/>
            <w:vAlign w:val="center"/>
          </w:tcPr>
          <w:p w14:paraId="39DFA20B">
            <w:pPr>
              <w:adjustRightInd w:val="0"/>
              <w:snapToGrid w:val="0"/>
              <w:jc w:val="center"/>
              <w:rPr>
                <w:rFonts w:hint="eastAsia" w:ascii="宋体" w:hAnsi="宋体" w:cs="宋体"/>
                <w:snapToGrid w:val="0"/>
                <w:color w:val="auto"/>
                <w:sz w:val="21"/>
                <w:szCs w:val="21"/>
                <w:highlight w:val="none"/>
                <w:lang w:val="en-US" w:eastAsia="zh-CN"/>
              </w:rPr>
            </w:pPr>
          </w:p>
        </w:tc>
        <w:tc>
          <w:tcPr>
            <w:tcW w:w="1073" w:type="dxa"/>
            <w:vMerge w:val="continue"/>
            <w:vAlign w:val="center"/>
          </w:tcPr>
          <w:p w14:paraId="19781BC7">
            <w:pPr>
              <w:jc w:val="center"/>
              <w:rPr>
                <w:rFonts w:hint="default" w:eastAsia="宋体"/>
                <w:color w:val="auto"/>
                <w:highlight w:val="none"/>
                <w:lang w:val="en-US" w:eastAsia="zh-CN"/>
              </w:rPr>
            </w:pPr>
          </w:p>
        </w:tc>
        <w:tc>
          <w:tcPr>
            <w:tcW w:w="6263" w:type="dxa"/>
            <w:vAlign w:val="center"/>
          </w:tcPr>
          <w:p w14:paraId="515D8C42">
            <w:pPr>
              <w:tabs>
                <w:tab w:val="left" w:pos="9751"/>
              </w:tabs>
              <w:jc w:val="left"/>
              <w:rPr>
                <w:rFonts w:ascii="宋体" w:hAnsi="宋体" w:eastAsia="宋体" w:cs="宋体"/>
                <w:color w:val="auto"/>
                <w:szCs w:val="21"/>
                <w:lang w:val="zh-CN"/>
              </w:rPr>
            </w:pPr>
            <w:r>
              <w:rPr>
                <w:rFonts w:hint="eastAsia" w:ascii="宋体" w:hAnsi="宋体" w:eastAsia="宋体" w:cs="宋体"/>
                <w:color w:val="auto"/>
                <w:highlight w:val="none"/>
              </w:rPr>
              <w:t>20</w:t>
            </w:r>
            <w:r>
              <w:rPr>
                <w:rFonts w:hint="eastAsia" w:ascii="宋体" w:hAnsi="宋体" w:cs="宋体"/>
                <w:color w:val="auto"/>
                <w:highlight w:val="none"/>
                <w:lang w:val="en-US" w:eastAsia="zh-CN"/>
              </w:rPr>
              <w:t>22</w:t>
            </w:r>
            <w:r>
              <w:rPr>
                <w:rFonts w:hint="eastAsia" w:ascii="宋体" w:hAnsi="宋体" w:eastAsia="宋体" w:cs="宋体"/>
                <w:color w:val="auto"/>
                <w:highlight w:val="none"/>
              </w:rPr>
              <w:t>年1月1日至今</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以市场监督管理部门的认定时间为准</w:t>
            </w:r>
            <w:r>
              <w:rPr>
                <w:rFonts w:hint="eastAsia" w:ascii="宋体" w:hAnsi="宋体" w:eastAsia="宋体" w:cs="宋体"/>
                <w:color w:val="auto"/>
                <w:highlight w:val="none"/>
                <w:lang w:eastAsia="zh-CN"/>
              </w:rPr>
              <w:t>），</w:t>
            </w:r>
            <w:r>
              <w:rPr>
                <w:rFonts w:hint="eastAsia" w:ascii="宋体" w:hAnsi="宋体" w:eastAsia="宋体" w:cs="宋体"/>
                <w:color w:val="auto"/>
                <w:lang w:val="en-US" w:eastAsia="zh-CN"/>
              </w:rPr>
              <w:t>供应商托管的</w:t>
            </w:r>
            <w:r>
              <w:rPr>
                <w:rFonts w:hint="eastAsia" w:ascii="宋体" w:hAnsi="宋体" w:eastAsia="宋体" w:cs="宋体"/>
                <w:color w:val="auto"/>
              </w:rPr>
              <w:t>食堂</w:t>
            </w:r>
            <w:r>
              <w:rPr>
                <w:rFonts w:hint="eastAsia" w:ascii="宋体" w:hAnsi="宋体" w:eastAsia="宋体" w:cs="宋体"/>
                <w:color w:val="auto"/>
                <w:lang w:val="en-US" w:eastAsia="zh-CN"/>
              </w:rPr>
              <w:t>或经营中的餐饮单位获得市场监督管理部门</w:t>
            </w:r>
            <w:r>
              <w:rPr>
                <w:rFonts w:hint="eastAsia" w:ascii="宋体" w:hAnsi="宋体" w:eastAsia="宋体" w:cs="宋体"/>
                <w:color w:val="auto"/>
              </w:rPr>
              <w:t>食品安全</w:t>
            </w:r>
            <w:r>
              <w:rPr>
                <w:rFonts w:hint="eastAsia" w:ascii="宋体" w:hAnsi="宋体" w:eastAsia="宋体" w:cs="宋体"/>
                <w:color w:val="auto"/>
                <w:lang w:val="en-US" w:eastAsia="zh-CN"/>
              </w:rPr>
              <w:t>监督</w:t>
            </w:r>
            <w:r>
              <w:rPr>
                <w:rFonts w:hint="eastAsia" w:ascii="宋体" w:hAnsi="宋体" w:eastAsia="宋体" w:cs="宋体"/>
                <w:color w:val="auto"/>
              </w:rPr>
              <w:t>量化A级</w:t>
            </w:r>
            <w:r>
              <w:rPr>
                <w:rFonts w:hint="eastAsia" w:ascii="宋体" w:hAnsi="宋体" w:eastAsia="宋体" w:cs="宋体"/>
                <w:color w:val="auto"/>
                <w:lang w:val="en-US" w:eastAsia="zh-CN"/>
              </w:rPr>
              <w:t>认定</w:t>
            </w:r>
            <w:r>
              <w:rPr>
                <w:rFonts w:hint="eastAsia" w:ascii="宋体" w:hAnsi="宋体" w:eastAsia="宋体" w:cs="宋体"/>
                <w:color w:val="auto"/>
              </w:rPr>
              <w:t>的，每</w:t>
            </w:r>
            <w:r>
              <w:rPr>
                <w:rFonts w:hint="eastAsia" w:ascii="宋体" w:hAnsi="宋体" w:eastAsia="宋体" w:cs="宋体"/>
                <w:color w:val="auto"/>
                <w:lang w:val="en-US" w:eastAsia="zh-CN"/>
              </w:rPr>
              <w:t>提供一个</w:t>
            </w:r>
            <w:r>
              <w:rPr>
                <w:rFonts w:hint="eastAsia" w:ascii="宋体" w:hAnsi="宋体" w:eastAsia="宋体" w:cs="宋体"/>
                <w:color w:val="auto"/>
              </w:rPr>
              <w:t>得</w:t>
            </w:r>
            <w:r>
              <w:rPr>
                <w:rFonts w:hint="eastAsia" w:ascii="宋体" w:hAnsi="宋体" w:eastAsia="宋体" w:cs="宋体"/>
                <w:color w:val="auto"/>
                <w:lang w:val="en-US" w:eastAsia="zh-CN"/>
              </w:rPr>
              <w:t>1</w:t>
            </w:r>
            <w:r>
              <w:rPr>
                <w:rFonts w:hint="eastAsia" w:ascii="宋体" w:hAnsi="宋体" w:eastAsia="宋体" w:cs="宋体"/>
                <w:color w:val="auto"/>
              </w:rPr>
              <w:t>分</w:t>
            </w:r>
            <w:r>
              <w:rPr>
                <w:rFonts w:hint="eastAsia" w:ascii="宋体" w:hAnsi="宋体" w:eastAsia="宋体" w:cs="宋体"/>
                <w:color w:val="auto"/>
                <w:lang w:eastAsia="zh-CN"/>
              </w:rPr>
              <w:t>，</w:t>
            </w:r>
            <w:r>
              <w:rPr>
                <w:rFonts w:hint="eastAsia" w:ascii="宋体" w:hAnsi="宋体" w:eastAsia="宋体" w:cs="宋体"/>
                <w:color w:val="auto"/>
              </w:rPr>
              <w:t>最高得</w:t>
            </w:r>
            <w:r>
              <w:rPr>
                <w:rFonts w:hint="eastAsia" w:ascii="宋体" w:hAnsi="宋体" w:eastAsia="宋体" w:cs="宋体"/>
                <w:color w:val="auto"/>
                <w:lang w:val="en-US" w:eastAsia="zh-CN"/>
              </w:rPr>
              <w:t>3</w:t>
            </w:r>
            <w:r>
              <w:rPr>
                <w:rFonts w:hint="eastAsia" w:ascii="宋体" w:hAnsi="宋体" w:eastAsia="宋体" w:cs="宋体"/>
                <w:color w:val="auto"/>
              </w:rPr>
              <w:t>分</w:t>
            </w:r>
            <w:r>
              <w:rPr>
                <w:rFonts w:hint="eastAsia" w:ascii="宋体" w:hAnsi="宋体" w:eastAsia="宋体" w:cs="宋体"/>
                <w:color w:val="auto"/>
                <w:szCs w:val="21"/>
                <w:lang w:val="zh-CN"/>
              </w:rPr>
              <w:t>。</w:t>
            </w:r>
          </w:p>
          <w:p w14:paraId="5C255B69">
            <w:pPr>
              <w:jc w:val="left"/>
              <w:rPr>
                <w:rFonts w:hint="default"/>
                <w:color w:val="auto"/>
                <w:highlight w:val="none"/>
                <w:lang w:val="en-US" w:eastAsia="zh-CN"/>
              </w:rPr>
            </w:pPr>
            <w:r>
              <w:rPr>
                <w:rFonts w:hint="eastAsia" w:ascii="宋体" w:hAnsi="宋体" w:eastAsia="宋体" w:cs="宋体"/>
                <w:b/>
                <w:bCs/>
                <w:color w:val="auto"/>
                <w:lang w:val="en-US" w:eastAsia="zh-CN"/>
              </w:rPr>
              <w:t>需同时</w:t>
            </w:r>
            <w:r>
              <w:rPr>
                <w:rFonts w:hint="eastAsia" w:ascii="宋体" w:hAnsi="宋体" w:eastAsia="宋体" w:cs="宋体"/>
                <w:b/>
                <w:bCs/>
                <w:color w:val="auto"/>
              </w:rPr>
              <w:t>提供</w:t>
            </w:r>
            <w:r>
              <w:rPr>
                <w:rFonts w:hint="eastAsia" w:ascii="宋体" w:hAnsi="宋体" w:eastAsia="宋体" w:cs="宋体"/>
                <w:b/>
                <w:bCs/>
                <w:color w:val="auto"/>
                <w:lang w:val="en-US" w:eastAsia="zh-CN"/>
              </w:rPr>
              <w:t>托管（经营）证明和市场监督管理部门的认定</w:t>
            </w:r>
            <w:r>
              <w:rPr>
                <w:rFonts w:hint="eastAsia" w:ascii="宋体" w:hAnsi="宋体" w:eastAsia="宋体" w:cs="宋体"/>
                <w:b/>
                <w:bCs/>
                <w:color w:val="auto"/>
              </w:rPr>
              <w:t>证明</w:t>
            </w: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未同时提供的不计入评审。</w:t>
            </w:r>
          </w:p>
        </w:tc>
        <w:tc>
          <w:tcPr>
            <w:tcW w:w="818" w:type="dxa"/>
            <w:vAlign w:val="center"/>
          </w:tcPr>
          <w:p w14:paraId="69538FD5">
            <w:pPr>
              <w:adjustRightInd w:val="0"/>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7FEA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9" w:type="dxa"/>
            <w:vMerge w:val="continue"/>
            <w:vAlign w:val="center"/>
          </w:tcPr>
          <w:p w14:paraId="4BC2CEC9">
            <w:pPr>
              <w:adjustRightInd w:val="0"/>
              <w:snapToGrid w:val="0"/>
              <w:jc w:val="center"/>
              <w:rPr>
                <w:rFonts w:hint="eastAsia" w:ascii="宋体" w:hAnsi="宋体" w:cs="宋体"/>
                <w:snapToGrid w:val="0"/>
                <w:color w:val="auto"/>
                <w:sz w:val="21"/>
                <w:szCs w:val="21"/>
                <w:highlight w:val="none"/>
                <w:lang w:val="en-US" w:eastAsia="zh-CN"/>
              </w:rPr>
            </w:pPr>
          </w:p>
        </w:tc>
        <w:tc>
          <w:tcPr>
            <w:tcW w:w="1073" w:type="dxa"/>
            <w:shd w:val="clear" w:color="auto" w:fill="auto"/>
            <w:vAlign w:val="center"/>
          </w:tcPr>
          <w:p w14:paraId="5D1209CA">
            <w:pPr>
              <w:jc w:val="center"/>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bCs/>
                <w:color w:val="auto"/>
                <w:szCs w:val="21"/>
                <w:highlight w:val="none"/>
              </w:rPr>
              <w:t>业绩</w:t>
            </w:r>
          </w:p>
        </w:tc>
        <w:tc>
          <w:tcPr>
            <w:tcW w:w="6263" w:type="dxa"/>
            <w:shd w:val="clear" w:color="auto" w:fill="auto"/>
            <w:vAlign w:val="center"/>
          </w:tcPr>
          <w:p w14:paraId="0CE01D58">
            <w:pPr>
              <w:jc w:val="left"/>
              <w:rPr>
                <w:rFonts w:hint="eastAsia" w:ascii="宋体" w:hAnsi="宋体" w:eastAsia="宋体" w:cs="宋体"/>
                <w:color w:val="auto"/>
                <w:highlight w:val="none"/>
              </w:rPr>
            </w:pPr>
            <w:r>
              <w:rPr>
                <w:rFonts w:hint="eastAsia" w:ascii="宋体" w:hAnsi="宋体" w:eastAsia="宋体" w:cs="宋体"/>
                <w:color w:val="auto"/>
                <w:highlight w:val="none"/>
              </w:rPr>
              <w:t>根据供应商20</w:t>
            </w:r>
            <w:r>
              <w:rPr>
                <w:rFonts w:hint="eastAsia" w:ascii="宋体" w:hAnsi="宋体" w:cs="宋体"/>
                <w:color w:val="auto"/>
                <w:highlight w:val="none"/>
                <w:lang w:val="en-US" w:eastAsia="zh-CN"/>
              </w:rPr>
              <w:t>22</w:t>
            </w:r>
            <w:r>
              <w:rPr>
                <w:rFonts w:hint="eastAsia" w:ascii="宋体" w:hAnsi="宋体" w:eastAsia="宋体" w:cs="宋体"/>
                <w:color w:val="auto"/>
                <w:highlight w:val="none"/>
              </w:rPr>
              <w:t>年1月1日至今</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以合同签订时间为准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的同类项目业绩（指</w:t>
            </w:r>
            <w:r>
              <w:rPr>
                <w:rFonts w:hint="eastAsia" w:ascii="宋体" w:hAnsi="宋体" w:eastAsia="宋体" w:cs="宋体"/>
                <w:color w:val="auto"/>
                <w:highlight w:val="none"/>
                <w:lang w:val="en-US" w:eastAsia="zh-CN"/>
              </w:rPr>
              <w:t>学校</w:t>
            </w:r>
            <w:r>
              <w:rPr>
                <w:rFonts w:hint="eastAsia" w:ascii="宋体" w:hAnsi="宋体" w:eastAsia="宋体" w:cs="宋体"/>
                <w:color w:val="auto"/>
                <w:highlight w:val="none"/>
              </w:rPr>
              <w:t>食堂劳务承包或经营权承包）的数量进行评审，每提供一个业绩得</w:t>
            </w:r>
            <w:r>
              <w:rPr>
                <w:rFonts w:hint="eastAsia" w:ascii="宋体" w:hAnsi="宋体" w:cs="宋体"/>
                <w:color w:val="auto"/>
                <w:highlight w:val="none"/>
                <w:lang w:val="en-US" w:eastAsia="zh-CN"/>
              </w:rPr>
              <w:t>0.5</w:t>
            </w:r>
            <w:r>
              <w:rPr>
                <w:rFonts w:hint="eastAsia" w:ascii="宋体" w:hAnsi="宋体" w:eastAsia="宋体" w:cs="宋体"/>
                <w:color w:val="auto"/>
                <w:highlight w:val="none"/>
              </w:rPr>
              <w:t>分，最高得</w:t>
            </w:r>
            <w:r>
              <w:rPr>
                <w:rFonts w:hint="eastAsia" w:ascii="宋体" w:hAnsi="宋体" w:cs="宋体"/>
                <w:color w:val="auto"/>
                <w:highlight w:val="none"/>
                <w:lang w:val="en-US" w:eastAsia="zh-CN"/>
              </w:rPr>
              <w:t>1</w:t>
            </w:r>
            <w:r>
              <w:rPr>
                <w:rFonts w:hint="eastAsia" w:ascii="宋体" w:hAnsi="宋体" w:eastAsia="宋体" w:cs="宋体"/>
                <w:color w:val="auto"/>
                <w:highlight w:val="none"/>
              </w:rPr>
              <w:t>分。</w:t>
            </w:r>
          </w:p>
          <w:p w14:paraId="6E7A28C6">
            <w:pPr>
              <w:jc w:val="left"/>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b/>
                <w:bCs/>
                <w:color w:val="auto"/>
                <w:szCs w:val="21"/>
                <w:highlight w:val="none"/>
                <w:lang w:val="en-US" w:eastAsia="zh-CN"/>
              </w:rPr>
              <w:t>需提供</w:t>
            </w:r>
            <w:r>
              <w:rPr>
                <w:rFonts w:hint="eastAsia" w:ascii="宋体" w:hAnsi="宋体" w:eastAsia="宋体" w:cs="宋体"/>
                <w:b/>
                <w:bCs/>
                <w:color w:val="auto"/>
                <w:szCs w:val="21"/>
                <w:highlight w:val="none"/>
              </w:rPr>
              <w:t>合同</w:t>
            </w:r>
            <w:r>
              <w:rPr>
                <w:rFonts w:hint="eastAsia" w:ascii="宋体" w:hAnsi="宋体" w:cs="宋体"/>
                <w:b/>
                <w:bCs/>
                <w:color w:val="auto"/>
                <w:szCs w:val="21"/>
                <w:highlight w:val="none"/>
                <w:lang w:val="en-US" w:eastAsia="zh-CN"/>
              </w:rPr>
              <w:t>扫描件</w:t>
            </w:r>
            <w:bookmarkStart w:id="68" w:name="_GoBack"/>
            <w:bookmarkEnd w:id="68"/>
            <w:r>
              <w:rPr>
                <w:rFonts w:hint="eastAsia" w:ascii="宋体" w:hAnsi="宋体" w:eastAsia="宋体" w:cs="宋体"/>
                <w:b/>
                <w:bCs/>
                <w:color w:val="auto"/>
                <w:szCs w:val="21"/>
                <w:highlight w:val="none"/>
                <w:lang w:val="en-US" w:eastAsia="zh-CN"/>
              </w:rPr>
              <w:t>。</w:t>
            </w:r>
          </w:p>
        </w:tc>
        <w:tc>
          <w:tcPr>
            <w:tcW w:w="818" w:type="dxa"/>
            <w:shd w:val="clear" w:color="auto" w:fill="auto"/>
            <w:vAlign w:val="center"/>
          </w:tcPr>
          <w:p w14:paraId="3FAFD360">
            <w:pPr>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rPr>
              <w:t>1</w:t>
            </w:r>
          </w:p>
        </w:tc>
      </w:tr>
      <w:tr w14:paraId="19A0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79" w:type="dxa"/>
            <w:vMerge w:val="continue"/>
            <w:vAlign w:val="center"/>
          </w:tcPr>
          <w:p w14:paraId="16C56B1E">
            <w:pPr>
              <w:adjustRightInd w:val="0"/>
              <w:snapToGrid w:val="0"/>
              <w:jc w:val="center"/>
              <w:rPr>
                <w:rFonts w:hint="eastAsia" w:ascii="宋体" w:hAnsi="宋体" w:cs="宋体"/>
                <w:snapToGrid w:val="0"/>
                <w:color w:val="auto"/>
                <w:sz w:val="21"/>
                <w:szCs w:val="21"/>
                <w:highlight w:val="none"/>
                <w:lang w:val="en-US" w:eastAsia="zh-CN"/>
              </w:rPr>
            </w:pPr>
          </w:p>
        </w:tc>
        <w:tc>
          <w:tcPr>
            <w:tcW w:w="1073" w:type="dxa"/>
            <w:shd w:val="clear" w:color="auto" w:fill="auto"/>
            <w:vAlign w:val="center"/>
          </w:tcPr>
          <w:p w14:paraId="5E9D60E3">
            <w:pPr>
              <w:bidi w:val="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食品质量控制方案</w:t>
            </w:r>
          </w:p>
        </w:tc>
        <w:tc>
          <w:tcPr>
            <w:tcW w:w="6263" w:type="dxa"/>
            <w:shd w:val="clear" w:color="auto" w:fill="auto"/>
            <w:vAlign w:val="center"/>
          </w:tcPr>
          <w:p w14:paraId="0860E330">
            <w:pPr>
              <w:tabs>
                <w:tab w:val="left" w:pos="9751"/>
              </w:tabs>
              <w:jc w:val="left"/>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提供的</w:t>
            </w:r>
            <w:r>
              <w:rPr>
                <w:rFonts w:hint="eastAsia" w:ascii="宋体" w:hAnsi="宋体" w:eastAsia="宋体" w:cs="宋体"/>
                <w:color w:val="auto"/>
                <w:sz w:val="21"/>
                <w:szCs w:val="21"/>
                <w:highlight w:val="none"/>
                <w:lang w:eastAsia="zh-CN"/>
              </w:rPr>
              <w:t>食品质量控制方案</w:t>
            </w:r>
            <w:r>
              <w:rPr>
                <w:rFonts w:hint="eastAsia" w:ascii="宋体" w:hAnsi="宋体" w:eastAsia="宋体" w:cs="宋体"/>
                <w:bCs/>
                <w:color w:val="auto"/>
                <w:highlight w:val="none"/>
              </w:rPr>
              <w:t>进行评</w:t>
            </w:r>
            <w:r>
              <w:rPr>
                <w:rFonts w:hint="eastAsia" w:ascii="宋体" w:hAnsi="宋体" w:eastAsia="宋体" w:cs="宋体"/>
                <w:bCs/>
                <w:color w:val="auto"/>
                <w:highlight w:val="none"/>
                <w:lang w:val="en-US" w:eastAsia="zh-CN"/>
              </w:rPr>
              <w:t>审</w:t>
            </w:r>
            <w:r>
              <w:rPr>
                <w:rFonts w:hint="eastAsia" w:ascii="宋体" w:hAnsi="宋体" w:cs="宋体"/>
                <w:bCs/>
                <w:color w:val="auto"/>
                <w:highlight w:val="none"/>
                <w:lang w:val="en-US" w:eastAsia="zh-CN"/>
              </w:rPr>
              <w:t>，视其科学性、合理性、针对性、可行性、完善程度给分，评分范围：8、7、6、5、0，未提及的不得分</w:t>
            </w:r>
            <w:r>
              <w:rPr>
                <w:rFonts w:hint="eastAsia" w:ascii="宋体" w:hAnsi="宋体" w:eastAsia="宋体" w:cs="宋体"/>
                <w:color w:val="auto"/>
                <w:highlight w:val="none"/>
              </w:rPr>
              <w:t>。</w:t>
            </w:r>
          </w:p>
        </w:tc>
        <w:tc>
          <w:tcPr>
            <w:tcW w:w="818" w:type="dxa"/>
            <w:vAlign w:val="center"/>
          </w:tcPr>
          <w:p w14:paraId="624388A0">
            <w:pPr>
              <w:adjustRightInd w:val="0"/>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14:paraId="54A2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079" w:type="dxa"/>
            <w:vMerge w:val="continue"/>
            <w:vAlign w:val="center"/>
          </w:tcPr>
          <w:p w14:paraId="3498CE55">
            <w:pPr>
              <w:adjustRightInd w:val="0"/>
              <w:snapToGrid w:val="0"/>
              <w:jc w:val="center"/>
              <w:rPr>
                <w:rFonts w:hint="eastAsia" w:ascii="宋体" w:hAnsi="宋体" w:cs="宋体"/>
                <w:snapToGrid w:val="0"/>
                <w:color w:val="auto"/>
                <w:sz w:val="21"/>
                <w:szCs w:val="21"/>
                <w:highlight w:val="none"/>
                <w:lang w:val="en-US" w:eastAsia="zh-CN"/>
              </w:rPr>
            </w:pPr>
          </w:p>
        </w:tc>
        <w:tc>
          <w:tcPr>
            <w:tcW w:w="1073" w:type="dxa"/>
            <w:shd w:val="clear" w:color="auto" w:fill="auto"/>
            <w:vAlign w:val="center"/>
          </w:tcPr>
          <w:p w14:paraId="37C36850">
            <w:pPr>
              <w:bidi w:val="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服务质量控制方案</w:t>
            </w:r>
          </w:p>
        </w:tc>
        <w:tc>
          <w:tcPr>
            <w:tcW w:w="6263" w:type="dxa"/>
            <w:shd w:val="clear" w:color="auto" w:fill="auto"/>
            <w:vAlign w:val="center"/>
          </w:tcPr>
          <w:p w14:paraId="699B9AA9">
            <w:pPr>
              <w:tabs>
                <w:tab w:val="left" w:pos="9751"/>
              </w:tabs>
              <w:jc w:val="left"/>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提供的</w:t>
            </w:r>
            <w:r>
              <w:rPr>
                <w:rFonts w:hint="eastAsia" w:ascii="宋体" w:hAnsi="宋体" w:eastAsia="宋体" w:cs="宋体"/>
                <w:bCs/>
                <w:color w:val="auto"/>
                <w:sz w:val="21"/>
                <w:szCs w:val="21"/>
                <w:highlight w:val="none"/>
                <w:lang w:eastAsia="zh-CN"/>
              </w:rPr>
              <w:t>服务质量控制方案</w:t>
            </w:r>
            <w:r>
              <w:rPr>
                <w:rFonts w:hint="eastAsia" w:ascii="宋体" w:hAnsi="宋体" w:eastAsia="宋体" w:cs="宋体"/>
                <w:bCs/>
                <w:color w:val="auto"/>
                <w:highlight w:val="none"/>
              </w:rPr>
              <w:t>进行评</w:t>
            </w:r>
            <w:r>
              <w:rPr>
                <w:rFonts w:hint="eastAsia" w:ascii="宋体" w:hAnsi="宋体" w:eastAsia="宋体" w:cs="宋体"/>
                <w:bCs/>
                <w:color w:val="auto"/>
                <w:highlight w:val="none"/>
                <w:lang w:val="en-US" w:eastAsia="zh-CN"/>
              </w:rPr>
              <w:t>审</w:t>
            </w:r>
            <w:r>
              <w:rPr>
                <w:rFonts w:hint="eastAsia" w:ascii="宋体" w:hAnsi="宋体" w:cs="宋体"/>
                <w:bCs/>
                <w:color w:val="auto"/>
                <w:highlight w:val="none"/>
                <w:lang w:val="en-US" w:eastAsia="zh-CN"/>
              </w:rPr>
              <w:t>，视其科学性、合理性、针对性、可行性、完善程度给分，评分范围：8、7、6、5、0，未提及的不得分</w:t>
            </w:r>
            <w:r>
              <w:rPr>
                <w:rFonts w:hint="eastAsia" w:ascii="宋体" w:hAnsi="宋体" w:eastAsia="宋体" w:cs="宋体"/>
                <w:color w:val="auto"/>
                <w:highlight w:val="none"/>
              </w:rPr>
              <w:t>。</w:t>
            </w:r>
          </w:p>
        </w:tc>
        <w:tc>
          <w:tcPr>
            <w:tcW w:w="818" w:type="dxa"/>
            <w:vAlign w:val="center"/>
          </w:tcPr>
          <w:p w14:paraId="43BFA245">
            <w:pPr>
              <w:adjustRightInd w:val="0"/>
              <w:snapToGrid w:val="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14:paraId="2134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079" w:type="dxa"/>
            <w:vMerge w:val="continue"/>
            <w:vAlign w:val="center"/>
          </w:tcPr>
          <w:p w14:paraId="34330B3A">
            <w:pPr>
              <w:adjustRightInd w:val="0"/>
              <w:snapToGrid w:val="0"/>
              <w:jc w:val="center"/>
              <w:rPr>
                <w:rFonts w:hint="eastAsia" w:ascii="宋体" w:hAnsi="宋体" w:cs="宋体"/>
                <w:snapToGrid w:val="0"/>
                <w:color w:val="auto"/>
                <w:sz w:val="21"/>
                <w:szCs w:val="21"/>
                <w:highlight w:val="none"/>
                <w:lang w:val="en-US" w:eastAsia="zh-CN"/>
              </w:rPr>
            </w:pPr>
          </w:p>
        </w:tc>
        <w:tc>
          <w:tcPr>
            <w:tcW w:w="1073" w:type="dxa"/>
            <w:shd w:val="clear" w:color="auto" w:fill="auto"/>
            <w:vAlign w:val="center"/>
          </w:tcPr>
          <w:p w14:paraId="06BC680C">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szCs w:val="21"/>
                <w:highlight w:val="none"/>
              </w:rPr>
              <w:t>卫生管理控制方案</w:t>
            </w:r>
          </w:p>
        </w:tc>
        <w:tc>
          <w:tcPr>
            <w:tcW w:w="6263" w:type="dxa"/>
            <w:shd w:val="clear" w:color="auto" w:fill="auto"/>
            <w:vAlign w:val="center"/>
          </w:tcPr>
          <w:p w14:paraId="51304054">
            <w:pPr>
              <w:tabs>
                <w:tab w:val="left" w:pos="9751"/>
              </w:tabs>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提供的</w:t>
            </w:r>
            <w:r>
              <w:rPr>
                <w:rFonts w:hint="eastAsia" w:ascii="宋体" w:hAnsi="宋体" w:eastAsia="宋体" w:cs="宋体"/>
                <w:bCs/>
                <w:color w:val="auto"/>
                <w:highlight w:val="none"/>
              </w:rPr>
              <w:t>卫生管理控制方案（包括食品卫生、人员卫生、环境卫生、垃圾处理）进行评</w:t>
            </w:r>
            <w:r>
              <w:rPr>
                <w:rFonts w:hint="eastAsia" w:ascii="宋体" w:hAnsi="宋体" w:eastAsia="宋体" w:cs="宋体"/>
                <w:bCs/>
                <w:color w:val="auto"/>
                <w:highlight w:val="none"/>
                <w:lang w:val="en-US" w:eastAsia="zh-CN"/>
              </w:rPr>
              <w:t>审</w:t>
            </w:r>
            <w:r>
              <w:rPr>
                <w:rFonts w:hint="eastAsia" w:ascii="宋体" w:hAnsi="宋体" w:cs="宋体"/>
                <w:bCs/>
                <w:color w:val="auto"/>
                <w:highlight w:val="none"/>
                <w:lang w:val="en-US" w:eastAsia="zh-CN"/>
              </w:rPr>
              <w:t>，视其科学性、合理性、针对性、可行性、完善程度给分，评分范围：8、7、6、5、0，未提及的不得分</w:t>
            </w:r>
            <w:r>
              <w:rPr>
                <w:rFonts w:hint="eastAsia" w:ascii="宋体" w:hAnsi="宋体" w:eastAsia="宋体" w:cs="宋体"/>
                <w:color w:val="auto"/>
                <w:highlight w:val="none"/>
              </w:rPr>
              <w:t>。</w:t>
            </w:r>
          </w:p>
        </w:tc>
        <w:tc>
          <w:tcPr>
            <w:tcW w:w="818" w:type="dxa"/>
            <w:vAlign w:val="center"/>
          </w:tcPr>
          <w:p w14:paraId="6ABD4D50">
            <w:pPr>
              <w:adjustRightInd w:val="0"/>
              <w:snapToGrid w:val="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14:paraId="7EDB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079" w:type="dxa"/>
            <w:vMerge w:val="continue"/>
            <w:vAlign w:val="center"/>
          </w:tcPr>
          <w:p w14:paraId="34007374">
            <w:pPr>
              <w:adjustRightInd w:val="0"/>
              <w:snapToGrid w:val="0"/>
              <w:jc w:val="center"/>
              <w:rPr>
                <w:rFonts w:hint="eastAsia" w:ascii="宋体" w:hAnsi="宋体" w:cs="宋体"/>
                <w:snapToGrid w:val="0"/>
                <w:color w:val="auto"/>
                <w:sz w:val="21"/>
                <w:szCs w:val="21"/>
                <w:highlight w:val="none"/>
                <w:lang w:val="en-US" w:eastAsia="zh-CN"/>
              </w:rPr>
            </w:pPr>
          </w:p>
        </w:tc>
        <w:tc>
          <w:tcPr>
            <w:tcW w:w="1073" w:type="dxa"/>
            <w:shd w:val="clear" w:color="auto" w:fill="auto"/>
            <w:vAlign w:val="center"/>
          </w:tcPr>
          <w:p w14:paraId="5D93E220">
            <w:pPr>
              <w:bidi w:val="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防范餐饮浪费方案</w:t>
            </w:r>
          </w:p>
        </w:tc>
        <w:tc>
          <w:tcPr>
            <w:tcW w:w="6263" w:type="dxa"/>
            <w:shd w:val="clear" w:color="auto" w:fill="auto"/>
            <w:vAlign w:val="center"/>
          </w:tcPr>
          <w:p w14:paraId="6CE6984C">
            <w:pPr>
              <w:pStyle w:val="2"/>
              <w:tabs>
                <w:tab w:val="left" w:pos="720"/>
                <w:tab w:val="left" w:pos="1260"/>
                <w:tab w:val="left" w:pos="2160"/>
                <w:tab w:val="left" w:pos="2880"/>
                <w:tab w:val="left" w:pos="3600"/>
                <w:tab w:val="left" w:pos="4320"/>
                <w:tab w:val="left" w:pos="5040"/>
                <w:tab w:val="left" w:pos="5760"/>
              </w:tabs>
              <w:ind w:left="0" w:leftChars="0" w:firstLine="0" w:firstLineChars="0"/>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提供的</w:t>
            </w:r>
            <w:r>
              <w:rPr>
                <w:rFonts w:hint="eastAsia" w:ascii="宋体" w:hAnsi="宋体" w:eastAsia="宋体" w:cs="宋体"/>
                <w:color w:val="auto"/>
                <w:sz w:val="21"/>
                <w:szCs w:val="21"/>
                <w:highlight w:val="none"/>
                <w:lang w:eastAsia="zh-CN"/>
              </w:rPr>
              <w:t>防范餐饮浪费方案</w:t>
            </w:r>
            <w:r>
              <w:rPr>
                <w:rFonts w:hint="eastAsia" w:ascii="宋体" w:hAnsi="宋体" w:eastAsia="宋体" w:cs="宋体"/>
                <w:bCs/>
                <w:color w:val="auto"/>
                <w:highlight w:val="none"/>
              </w:rPr>
              <w:t>进行评</w:t>
            </w:r>
            <w:r>
              <w:rPr>
                <w:rFonts w:hint="eastAsia" w:ascii="宋体" w:hAnsi="宋体" w:eastAsia="宋体" w:cs="宋体"/>
                <w:bCs/>
                <w:color w:val="auto"/>
                <w:highlight w:val="none"/>
                <w:lang w:val="en-US" w:eastAsia="zh-CN"/>
              </w:rPr>
              <w:t>审</w:t>
            </w:r>
            <w:r>
              <w:rPr>
                <w:rFonts w:hint="eastAsia" w:ascii="宋体" w:hAnsi="宋体" w:cs="宋体"/>
                <w:bCs/>
                <w:color w:val="auto"/>
                <w:highlight w:val="none"/>
                <w:lang w:val="en-US" w:eastAsia="zh-CN"/>
              </w:rPr>
              <w:t>，视其科学性、合理性、针对性、可行性、完善程度给分，评分范围：8、7、6、5、0，未提及的不得分</w:t>
            </w:r>
            <w:r>
              <w:rPr>
                <w:rFonts w:hint="eastAsia" w:ascii="宋体" w:hAnsi="宋体" w:eastAsia="宋体" w:cs="宋体"/>
                <w:color w:val="auto"/>
                <w:highlight w:val="none"/>
              </w:rPr>
              <w:t>。</w:t>
            </w:r>
          </w:p>
        </w:tc>
        <w:tc>
          <w:tcPr>
            <w:tcW w:w="818" w:type="dxa"/>
            <w:vAlign w:val="center"/>
          </w:tcPr>
          <w:p w14:paraId="2519F919">
            <w:pPr>
              <w:adjustRightInd w:val="0"/>
              <w:snapToGrid w:val="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14:paraId="5997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079" w:type="dxa"/>
            <w:vMerge w:val="continue"/>
            <w:vAlign w:val="center"/>
          </w:tcPr>
          <w:p w14:paraId="0409D160">
            <w:pPr>
              <w:adjustRightInd w:val="0"/>
              <w:snapToGrid w:val="0"/>
              <w:jc w:val="center"/>
              <w:rPr>
                <w:rFonts w:hint="eastAsia" w:ascii="宋体" w:hAnsi="宋体" w:cs="宋体"/>
                <w:snapToGrid w:val="0"/>
                <w:color w:val="auto"/>
                <w:sz w:val="21"/>
                <w:szCs w:val="21"/>
                <w:highlight w:val="none"/>
                <w:lang w:val="en-US" w:eastAsia="zh-CN"/>
              </w:rPr>
            </w:pPr>
          </w:p>
        </w:tc>
        <w:tc>
          <w:tcPr>
            <w:tcW w:w="1073" w:type="dxa"/>
            <w:shd w:val="clear" w:color="auto" w:fill="auto"/>
            <w:vAlign w:val="center"/>
          </w:tcPr>
          <w:p w14:paraId="06B7B755">
            <w:pPr>
              <w:bidi w:val="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原材料使用管理方案及食品保存管理方案</w:t>
            </w:r>
          </w:p>
        </w:tc>
        <w:tc>
          <w:tcPr>
            <w:tcW w:w="6263" w:type="dxa"/>
            <w:shd w:val="clear" w:color="auto" w:fill="auto"/>
            <w:vAlign w:val="center"/>
          </w:tcPr>
          <w:p w14:paraId="4591A64F">
            <w:pPr>
              <w:pStyle w:val="2"/>
              <w:tabs>
                <w:tab w:val="left" w:pos="720"/>
                <w:tab w:val="left" w:pos="1260"/>
                <w:tab w:val="left" w:pos="2160"/>
                <w:tab w:val="left" w:pos="2880"/>
                <w:tab w:val="left" w:pos="3600"/>
                <w:tab w:val="left" w:pos="4320"/>
                <w:tab w:val="left" w:pos="5040"/>
                <w:tab w:val="left" w:pos="5760"/>
              </w:tabs>
              <w:ind w:left="0" w:leftChars="0" w:firstLine="0" w:firstLineChars="0"/>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提供的</w:t>
            </w:r>
            <w:r>
              <w:rPr>
                <w:rFonts w:hint="eastAsia" w:ascii="宋体" w:hAnsi="宋体" w:eastAsia="宋体" w:cs="宋体"/>
                <w:color w:val="auto"/>
                <w:sz w:val="21"/>
                <w:szCs w:val="21"/>
                <w:highlight w:val="none"/>
                <w:lang w:eastAsia="zh-CN"/>
              </w:rPr>
              <w:t>原材料使用管理方案及食品保存管理方案</w:t>
            </w:r>
            <w:r>
              <w:rPr>
                <w:rFonts w:hint="eastAsia" w:ascii="宋体" w:hAnsi="宋体" w:eastAsia="宋体" w:cs="宋体"/>
                <w:bCs/>
                <w:color w:val="auto"/>
                <w:highlight w:val="none"/>
              </w:rPr>
              <w:t>进行评</w:t>
            </w:r>
            <w:r>
              <w:rPr>
                <w:rFonts w:hint="eastAsia" w:ascii="宋体" w:hAnsi="宋体" w:eastAsia="宋体" w:cs="宋体"/>
                <w:bCs/>
                <w:color w:val="auto"/>
                <w:highlight w:val="none"/>
                <w:lang w:val="en-US" w:eastAsia="zh-CN"/>
              </w:rPr>
              <w:t>审</w:t>
            </w:r>
            <w:r>
              <w:rPr>
                <w:rFonts w:hint="eastAsia" w:ascii="宋体" w:hAnsi="宋体" w:cs="宋体"/>
                <w:bCs/>
                <w:color w:val="auto"/>
                <w:highlight w:val="none"/>
                <w:lang w:val="en-US" w:eastAsia="zh-CN"/>
              </w:rPr>
              <w:t>，视其科学性、合理性、针对性、可行性、完善程度给分，评分范围：8、7、6、5、0，未提及的不得分</w:t>
            </w:r>
            <w:r>
              <w:rPr>
                <w:rFonts w:hint="eastAsia" w:ascii="宋体" w:hAnsi="宋体" w:eastAsia="宋体" w:cs="宋体"/>
                <w:color w:val="auto"/>
                <w:highlight w:val="none"/>
              </w:rPr>
              <w:t>。</w:t>
            </w:r>
          </w:p>
        </w:tc>
        <w:tc>
          <w:tcPr>
            <w:tcW w:w="818" w:type="dxa"/>
            <w:vAlign w:val="center"/>
          </w:tcPr>
          <w:p w14:paraId="2BFF31D2">
            <w:pPr>
              <w:adjustRightInd w:val="0"/>
              <w:snapToGrid w:val="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14:paraId="09E6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079" w:type="dxa"/>
            <w:vMerge w:val="continue"/>
            <w:vAlign w:val="center"/>
          </w:tcPr>
          <w:p w14:paraId="46A20A92">
            <w:pPr>
              <w:adjustRightInd w:val="0"/>
              <w:snapToGrid w:val="0"/>
              <w:jc w:val="center"/>
              <w:rPr>
                <w:rFonts w:hint="eastAsia" w:ascii="宋体" w:hAnsi="宋体" w:cs="宋体"/>
                <w:snapToGrid w:val="0"/>
                <w:color w:val="auto"/>
                <w:sz w:val="21"/>
                <w:szCs w:val="21"/>
                <w:highlight w:val="none"/>
                <w:lang w:val="en-US" w:eastAsia="zh-CN"/>
              </w:rPr>
            </w:pPr>
          </w:p>
        </w:tc>
        <w:tc>
          <w:tcPr>
            <w:tcW w:w="1073" w:type="dxa"/>
            <w:shd w:val="clear" w:color="auto" w:fill="auto"/>
            <w:vAlign w:val="center"/>
          </w:tcPr>
          <w:p w14:paraId="779FCE66">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szCs w:val="21"/>
                <w:highlight w:val="none"/>
              </w:rPr>
              <w:t>管理制度</w:t>
            </w:r>
          </w:p>
        </w:tc>
        <w:tc>
          <w:tcPr>
            <w:tcW w:w="6263" w:type="dxa"/>
            <w:shd w:val="clear" w:color="auto" w:fill="auto"/>
            <w:vAlign w:val="center"/>
          </w:tcPr>
          <w:p w14:paraId="46799E72">
            <w:pPr>
              <w:pStyle w:val="2"/>
              <w:tabs>
                <w:tab w:val="left" w:pos="720"/>
                <w:tab w:val="left" w:pos="1260"/>
                <w:tab w:val="left" w:pos="2160"/>
                <w:tab w:val="left" w:pos="2880"/>
                <w:tab w:val="left" w:pos="3600"/>
                <w:tab w:val="left" w:pos="4320"/>
                <w:tab w:val="left" w:pos="5040"/>
                <w:tab w:val="left" w:pos="5760"/>
              </w:tabs>
              <w:ind w:left="0" w:leftChars="0" w:firstLine="0" w:firstLineChars="0"/>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根据</w:t>
            </w:r>
            <w:r>
              <w:rPr>
                <w:rFonts w:hint="eastAsia"/>
                <w:color w:val="auto"/>
                <w:highlight w:val="none"/>
                <w:lang w:eastAsia="zh-CN"/>
              </w:rPr>
              <w:t>供应商</w:t>
            </w:r>
            <w:r>
              <w:rPr>
                <w:rFonts w:hint="eastAsia"/>
                <w:color w:val="auto"/>
                <w:highlight w:val="none"/>
              </w:rPr>
              <w:t>提供的</w:t>
            </w:r>
            <w:r>
              <w:rPr>
                <w:rFonts w:hint="eastAsia"/>
                <w:color w:val="auto"/>
                <w:highlight w:val="none"/>
                <w:lang w:val="en-US" w:eastAsia="zh-CN"/>
              </w:rPr>
              <w:t>内部管理制度（含</w:t>
            </w:r>
            <w:r>
              <w:rPr>
                <w:rFonts w:hint="eastAsia"/>
                <w:color w:val="auto"/>
                <w:highlight w:val="none"/>
              </w:rPr>
              <w:t>内部岗位责任制度、管理运作制度、员工考核制度、设施设备管理方案</w:t>
            </w:r>
            <w:r>
              <w:rPr>
                <w:rFonts w:hint="eastAsia"/>
                <w:color w:val="auto"/>
                <w:highlight w:val="none"/>
                <w:lang w:val="en-US" w:eastAsia="zh-CN"/>
              </w:rPr>
              <w:t>等）</w:t>
            </w:r>
            <w:r>
              <w:rPr>
                <w:rFonts w:hint="eastAsia"/>
                <w:color w:val="auto"/>
                <w:highlight w:val="none"/>
              </w:rPr>
              <w:t>进行评</w:t>
            </w:r>
            <w:r>
              <w:rPr>
                <w:rFonts w:hint="eastAsia"/>
                <w:color w:val="auto"/>
                <w:highlight w:val="none"/>
                <w:lang w:val="en-US" w:eastAsia="zh-CN"/>
              </w:rPr>
              <w:t>审</w:t>
            </w:r>
            <w:r>
              <w:rPr>
                <w:rFonts w:hint="eastAsia" w:ascii="宋体" w:hAnsi="宋体" w:cs="宋体"/>
                <w:bCs/>
                <w:color w:val="auto"/>
                <w:highlight w:val="none"/>
                <w:lang w:val="en-US" w:eastAsia="zh-CN"/>
              </w:rPr>
              <w:t>，视其科学性、合理性、针对性、可行性、完善程度给分，评分范围：8、7、6、5、0，未提及的不得分</w:t>
            </w:r>
            <w:r>
              <w:rPr>
                <w:rFonts w:hint="eastAsia" w:ascii="宋体" w:hAnsi="宋体" w:eastAsia="宋体" w:cs="宋体"/>
                <w:color w:val="auto"/>
                <w:highlight w:val="none"/>
              </w:rPr>
              <w:t>。</w:t>
            </w:r>
          </w:p>
        </w:tc>
        <w:tc>
          <w:tcPr>
            <w:tcW w:w="818" w:type="dxa"/>
            <w:vAlign w:val="center"/>
          </w:tcPr>
          <w:p w14:paraId="74B8B4AB">
            <w:pPr>
              <w:adjustRightInd w:val="0"/>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14:paraId="24B9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79" w:type="dxa"/>
            <w:vMerge w:val="continue"/>
            <w:vAlign w:val="center"/>
          </w:tcPr>
          <w:p w14:paraId="175C66D6">
            <w:pPr>
              <w:adjustRightInd w:val="0"/>
              <w:snapToGrid w:val="0"/>
              <w:rPr>
                <w:rFonts w:hint="eastAsia" w:ascii="宋体" w:hAnsi="宋体" w:eastAsia="宋体" w:cs="宋体"/>
                <w:snapToGrid w:val="0"/>
                <w:color w:val="auto"/>
                <w:sz w:val="21"/>
                <w:szCs w:val="21"/>
                <w:highlight w:val="none"/>
              </w:rPr>
            </w:pPr>
          </w:p>
        </w:tc>
        <w:tc>
          <w:tcPr>
            <w:tcW w:w="1073" w:type="dxa"/>
            <w:shd w:val="clear" w:color="auto" w:fill="auto"/>
            <w:vAlign w:val="center"/>
          </w:tcPr>
          <w:p w14:paraId="174BF55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应急保障方案</w:t>
            </w:r>
          </w:p>
        </w:tc>
        <w:tc>
          <w:tcPr>
            <w:tcW w:w="6263" w:type="dxa"/>
            <w:shd w:val="clear" w:color="auto" w:fill="auto"/>
            <w:vAlign w:val="center"/>
          </w:tcPr>
          <w:p w14:paraId="6C793928">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根据</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提供的突发事件应急预案、防火应急预案等进行</w:t>
            </w:r>
            <w:r>
              <w:rPr>
                <w:rFonts w:hint="eastAsia" w:ascii="宋体" w:hAnsi="宋体" w:eastAsia="宋体" w:cs="宋体"/>
                <w:color w:val="auto"/>
                <w:highlight w:val="none"/>
                <w:lang w:val="en-US" w:eastAsia="zh-CN"/>
              </w:rPr>
              <w:t>评审</w:t>
            </w:r>
            <w:r>
              <w:rPr>
                <w:rFonts w:hint="eastAsia" w:ascii="宋体" w:hAnsi="宋体" w:cs="宋体"/>
                <w:bCs/>
                <w:color w:val="auto"/>
                <w:highlight w:val="none"/>
                <w:lang w:val="en-US" w:eastAsia="zh-CN"/>
              </w:rPr>
              <w:t>，视其科学性、合理性、针对性、可行性、完善程度给分，评分范围：8、7、6、5、0，未提及的不得分</w:t>
            </w:r>
            <w:r>
              <w:rPr>
                <w:rFonts w:hint="eastAsia" w:ascii="宋体" w:hAnsi="宋体" w:eastAsia="宋体" w:cs="宋体"/>
                <w:color w:val="auto"/>
                <w:highlight w:val="none"/>
              </w:rPr>
              <w:t>。</w:t>
            </w:r>
          </w:p>
        </w:tc>
        <w:tc>
          <w:tcPr>
            <w:tcW w:w="818" w:type="dxa"/>
            <w:vAlign w:val="center"/>
          </w:tcPr>
          <w:p w14:paraId="1F2F5DF0">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r>
      <w:tr w14:paraId="16A7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79" w:type="dxa"/>
            <w:vMerge w:val="continue"/>
            <w:vAlign w:val="center"/>
          </w:tcPr>
          <w:p w14:paraId="79FAA606">
            <w:pPr>
              <w:adjustRightInd w:val="0"/>
              <w:snapToGrid w:val="0"/>
              <w:rPr>
                <w:rFonts w:hint="eastAsia" w:ascii="宋体" w:hAnsi="宋体" w:eastAsia="宋体" w:cs="宋体"/>
                <w:snapToGrid w:val="0"/>
                <w:color w:val="auto"/>
                <w:sz w:val="21"/>
                <w:szCs w:val="21"/>
                <w:highlight w:val="none"/>
              </w:rPr>
            </w:pPr>
          </w:p>
        </w:tc>
        <w:tc>
          <w:tcPr>
            <w:tcW w:w="1073" w:type="dxa"/>
            <w:shd w:val="clear" w:color="auto" w:fill="auto"/>
            <w:vAlign w:val="center"/>
          </w:tcPr>
          <w:p w14:paraId="6BDD371B">
            <w:pPr>
              <w:ind w:firstLine="105" w:firstLineChars="5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投诉处理方案</w:t>
            </w:r>
          </w:p>
        </w:tc>
        <w:tc>
          <w:tcPr>
            <w:tcW w:w="6263" w:type="dxa"/>
            <w:shd w:val="clear" w:color="auto" w:fill="auto"/>
            <w:vAlign w:val="top"/>
          </w:tcPr>
          <w:p w14:paraId="03D4C3AB">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提供的投诉处理方案进行评</w:t>
            </w:r>
            <w:r>
              <w:rPr>
                <w:rFonts w:hint="eastAsia" w:ascii="宋体" w:hAnsi="宋体" w:eastAsia="宋体" w:cs="宋体"/>
                <w:color w:val="auto"/>
                <w:highlight w:val="none"/>
                <w:lang w:val="en-US" w:eastAsia="zh-CN"/>
              </w:rPr>
              <w:t>审</w:t>
            </w:r>
            <w:r>
              <w:rPr>
                <w:rFonts w:hint="eastAsia" w:ascii="宋体" w:hAnsi="宋体" w:cs="宋体"/>
                <w:bCs/>
                <w:color w:val="auto"/>
                <w:highlight w:val="none"/>
                <w:lang w:val="en-US" w:eastAsia="zh-CN"/>
              </w:rPr>
              <w:t>，视其科学性、合理性、针对性、可行性、完善程度给分，评分范围：8、7、6、5、0，未提及的不得分</w:t>
            </w:r>
            <w:r>
              <w:rPr>
                <w:rFonts w:hint="eastAsia" w:ascii="宋体" w:hAnsi="宋体" w:eastAsia="宋体" w:cs="宋体"/>
                <w:color w:val="auto"/>
                <w:highlight w:val="none"/>
              </w:rPr>
              <w:t>。</w:t>
            </w:r>
          </w:p>
        </w:tc>
        <w:tc>
          <w:tcPr>
            <w:tcW w:w="818" w:type="dxa"/>
            <w:vAlign w:val="center"/>
          </w:tcPr>
          <w:p w14:paraId="74F7C052">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r>
      <w:tr w14:paraId="52E3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79" w:type="dxa"/>
            <w:vMerge w:val="continue"/>
            <w:vAlign w:val="center"/>
          </w:tcPr>
          <w:p w14:paraId="3F695A91">
            <w:pPr>
              <w:adjustRightInd w:val="0"/>
              <w:snapToGrid w:val="0"/>
              <w:rPr>
                <w:rFonts w:hint="eastAsia" w:ascii="宋体" w:hAnsi="宋体" w:eastAsia="宋体" w:cs="宋体"/>
                <w:snapToGrid w:val="0"/>
                <w:color w:val="auto"/>
                <w:sz w:val="21"/>
                <w:szCs w:val="21"/>
                <w:highlight w:val="none"/>
              </w:rPr>
            </w:pPr>
          </w:p>
        </w:tc>
        <w:tc>
          <w:tcPr>
            <w:tcW w:w="1073" w:type="dxa"/>
            <w:shd w:val="clear" w:color="auto" w:fill="auto"/>
            <w:vAlign w:val="center"/>
          </w:tcPr>
          <w:p w14:paraId="5EBD821B">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进场、退场交接方案</w:t>
            </w:r>
          </w:p>
        </w:tc>
        <w:tc>
          <w:tcPr>
            <w:tcW w:w="6263" w:type="dxa"/>
            <w:shd w:val="clear" w:color="auto" w:fill="auto"/>
            <w:vAlign w:val="center"/>
          </w:tcPr>
          <w:p w14:paraId="0BD467CC">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根据</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提供的</w:t>
            </w:r>
            <w:r>
              <w:rPr>
                <w:rFonts w:hint="eastAsia" w:ascii="宋体" w:hAnsi="宋体" w:cs="宋体"/>
                <w:color w:val="auto"/>
                <w:kern w:val="2"/>
                <w:sz w:val="21"/>
                <w:szCs w:val="21"/>
                <w:highlight w:val="none"/>
                <w:lang w:val="en-US" w:eastAsia="zh-CN" w:bidi="ar-SA"/>
              </w:rPr>
              <w:t>进场、退场交接方案</w:t>
            </w:r>
            <w:r>
              <w:rPr>
                <w:rFonts w:hint="eastAsia" w:ascii="宋体" w:hAnsi="宋体" w:eastAsia="宋体" w:cs="宋体"/>
                <w:color w:val="auto"/>
                <w:highlight w:val="none"/>
              </w:rPr>
              <w:t>进行</w:t>
            </w:r>
            <w:r>
              <w:rPr>
                <w:rFonts w:hint="eastAsia" w:ascii="宋体" w:hAnsi="宋体" w:eastAsia="宋体" w:cs="宋体"/>
                <w:color w:val="auto"/>
                <w:highlight w:val="none"/>
                <w:lang w:val="en-US" w:eastAsia="zh-CN"/>
              </w:rPr>
              <w:t>评审</w:t>
            </w:r>
            <w:r>
              <w:rPr>
                <w:rFonts w:hint="eastAsia" w:ascii="宋体" w:hAnsi="宋体" w:cs="宋体"/>
                <w:bCs/>
                <w:color w:val="auto"/>
                <w:highlight w:val="none"/>
                <w:lang w:val="en-US" w:eastAsia="zh-CN"/>
              </w:rPr>
              <w:t>，视其科学性、合理性、针对性、可行性、完善程度给分，评分范围：8、7、6、5、0，未提及的不得分</w:t>
            </w:r>
            <w:r>
              <w:rPr>
                <w:rFonts w:hint="eastAsia" w:ascii="宋体" w:hAnsi="宋体" w:eastAsia="宋体" w:cs="宋体"/>
                <w:color w:val="auto"/>
                <w:highlight w:val="none"/>
              </w:rPr>
              <w:t>。</w:t>
            </w:r>
          </w:p>
        </w:tc>
        <w:tc>
          <w:tcPr>
            <w:tcW w:w="818" w:type="dxa"/>
            <w:vAlign w:val="center"/>
          </w:tcPr>
          <w:p w14:paraId="53D5B0E3">
            <w:pPr>
              <w:adjustRightInd w:val="0"/>
              <w:snapToGrid w:val="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r>
      <w:tr w14:paraId="3713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79" w:type="dxa"/>
            <w:vAlign w:val="center"/>
          </w:tcPr>
          <w:p w14:paraId="3C5DDB0D">
            <w:pPr>
              <w:jc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商务标</w:t>
            </w:r>
          </w:p>
        </w:tc>
        <w:tc>
          <w:tcPr>
            <w:tcW w:w="7336" w:type="dxa"/>
            <w:gridSpan w:val="2"/>
            <w:vAlign w:val="center"/>
          </w:tcPr>
          <w:p w14:paraId="1B7595D9">
            <w:pP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取投标合格供应商的投标最终报价最低价为基准价。基准价为</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分。投标报价得分＝（评标基准价/最终投标报价）×</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%×100（小数点后保留2位小数）。</w:t>
            </w:r>
          </w:p>
        </w:tc>
        <w:tc>
          <w:tcPr>
            <w:tcW w:w="818" w:type="dxa"/>
            <w:vAlign w:val="center"/>
          </w:tcPr>
          <w:p w14:paraId="2FA7A41B">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r>
    </w:tbl>
    <w:p w14:paraId="428425F1">
      <w:pPr>
        <w:pStyle w:val="13"/>
        <w:keepNext w:val="0"/>
        <w:keepLines w:val="0"/>
        <w:pageBreakBefore w:val="0"/>
        <w:widowControl w:val="0"/>
        <w:numPr>
          <w:ilvl w:val="0"/>
          <w:numId w:val="68"/>
        </w:numPr>
        <w:kinsoku/>
        <w:wordWrap/>
        <w:overflowPunct/>
        <w:topLinePunct w:val="0"/>
        <w:autoSpaceDE/>
        <w:autoSpaceDN/>
        <w:bidi w:val="0"/>
        <w:adjustRightInd/>
        <w:snapToGrid/>
        <w:spacing w:line="360" w:lineRule="auto"/>
        <w:ind w:left="0" w:leftChars="0" w:firstLine="482" w:firstLineChars="200"/>
        <w:jc w:val="left"/>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评审要求</w:t>
      </w:r>
    </w:p>
    <w:p w14:paraId="4930D44D">
      <w:pPr>
        <w:keepNext w:val="0"/>
        <w:keepLines w:val="0"/>
        <w:pageBreakBefore w:val="0"/>
        <w:widowControl w:val="0"/>
        <w:numPr>
          <w:ilvl w:val="0"/>
          <w:numId w:val="69"/>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b w:val="0"/>
          <w:bCs w:val="0"/>
          <w:color w:val="auto"/>
          <w:sz w:val="24"/>
          <w:highlight w:val="none"/>
        </w:rPr>
      </w:pPr>
      <w:r>
        <w:rPr>
          <w:rFonts w:hint="eastAsia" w:ascii="宋体" w:hAnsi="宋体" w:cs="宋体"/>
          <w:sz w:val="24"/>
          <w:highlight w:val="none"/>
        </w:rPr>
        <w:t>评标委员会应当按照招标文件中规定的评标方法和标准，对符合性审查合格的</w:t>
      </w:r>
      <w:r>
        <w:rPr>
          <w:rFonts w:hint="eastAsia" w:ascii="宋体" w:hAnsi="宋体" w:cs="宋体"/>
          <w:b w:val="0"/>
          <w:bCs w:val="0"/>
          <w:color w:val="auto"/>
          <w:sz w:val="24"/>
          <w:highlight w:val="none"/>
        </w:rPr>
        <w:t>投标文件的商务部分和技术部分进行综合比较与评价，其中</w:t>
      </w:r>
      <w:r>
        <w:rPr>
          <w:rFonts w:hint="eastAsia" w:ascii="宋体"/>
          <w:b w:val="0"/>
          <w:bCs w:val="0"/>
          <w:color w:val="auto"/>
          <w:sz w:val="24"/>
          <w:highlight w:val="none"/>
          <w:lang w:val="zh-CN"/>
        </w:rPr>
        <w:t>客观</w:t>
      </w:r>
      <w:r>
        <w:rPr>
          <w:rFonts w:hint="eastAsia" w:ascii="宋体"/>
          <w:b w:val="0"/>
          <w:bCs w:val="0"/>
          <w:color w:val="auto"/>
          <w:sz w:val="24"/>
          <w:highlight w:val="none"/>
        </w:rPr>
        <w:t>评分项的分值</w:t>
      </w:r>
      <w:r>
        <w:rPr>
          <w:rFonts w:hint="eastAsia" w:ascii="宋体"/>
          <w:b w:val="0"/>
          <w:bCs w:val="0"/>
          <w:color w:val="auto"/>
          <w:sz w:val="24"/>
          <w:highlight w:val="none"/>
          <w:lang w:val="zh-CN"/>
        </w:rPr>
        <w:t>应当一致。</w:t>
      </w:r>
    </w:p>
    <w:p w14:paraId="7035808B">
      <w:pPr>
        <w:keepNext w:val="0"/>
        <w:keepLines w:val="0"/>
        <w:pageBreakBefore w:val="0"/>
        <w:widowControl w:val="0"/>
        <w:numPr>
          <w:ilvl w:val="0"/>
          <w:numId w:val="69"/>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对于投标文件报价出现前后不一致的，除招标文件另有规定外，按照下列规定修正：</w:t>
      </w:r>
    </w:p>
    <w:p w14:paraId="5A27916D">
      <w:pPr>
        <w:keepNext w:val="0"/>
        <w:keepLines w:val="0"/>
        <w:pageBreakBefore w:val="0"/>
        <w:widowControl w:val="0"/>
        <w:numPr>
          <w:ilvl w:val="0"/>
          <w:numId w:val="70"/>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“台州湾新区小额工程电子交易平台”上开启的投标报价与电子投标文件中开标一览表（报价表）内容不一致的，以电子投标文件中开标一览表（报价表）为准；</w:t>
      </w:r>
    </w:p>
    <w:p w14:paraId="54810A72">
      <w:pPr>
        <w:keepNext w:val="0"/>
        <w:keepLines w:val="0"/>
        <w:pageBreakBefore w:val="0"/>
        <w:widowControl w:val="0"/>
        <w:numPr>
          <w:ilvl w:val="0"/>
          <w:numId w:val="7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投标文件中开标一览表（报价表）内容与投标文件中相应内容不一致的，以开标一览表（报价表）为准。</w:t>
      </w:r>
    </w:p>
    <w:p w14:paraId="300610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同时出现两种以上不一致的，按照前款规定的顺序修正。修正应当采用询标的形式，并加盖公章。</w:t>
      </w:r>
    </w:p>
    <w:p w14:paraId="08348FE4">
      <w:pPr>
        <w:keepNext w:val="0"/>
        <w:keepLines w:val="0"/>
        <w:pageBreakBefore w:val="0"/>
        <w:widowControl w:val="0"/>
        <w:numPr>
          <w:ilvl w:val="0"/>
          <w:numId w:val="69"/>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highlight w:val="none"/>
        </w:rPr>
      </w:pPr>
      <w:r>
        <w:rPr>
          <w:rFonts w:hint="eastAsia" w:ascii="宋体" w:hAnsi="宋体" w:cs="宋体"/>
          <w:sz w:val="24"/>
          <w:highlight w:val="none"/>
        </w:rPr>
        <w:t>对于投标文件中含义不明确、同类问题表述不一致或者有明显文字和计算错误的内容，评标委员会应当要求投标人作出必要的澄清、说明或者补正。</w:t>
      </w:r>
    </w:p>
    <w:p w14:paraId="42D50CCD">
      <w:pPr>
        <w:keepNext w:val="0"/>
        <w:keepLines w:val="0"/>
        <w:pageBreakBefore w:val="0"/>
        <w:widowControl w:val="0"/>
        <w:numPr>
          <w:ilvl w:val="0"/>
          <w:numId w:val="69"/>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sz w:val="24"/>
          <w:highlight w:val="none"/>
        </w:rPr>
      </w:pPr>
      <w:r>
        <w:rPr>
          <w:rFonts w:hint="eastAsia" w:ascii="宋体" w:hAnsi="宋体" w:cs="宋体"/>
          <w:sz w:val="24"/>
          <w:highlight w:val="none"/>
        </w:rPr>
        <w:t>投标人的澄清、说明或者补正采用书面形式，并加盖公章或者由法定代表人或授权代表签字，且不得超出投标文件的范围或者改变投标文件的实质性内容。</w:t>
      </w:r>
    </w:p>
    <w:p w14:paraId="79F79D39">
      <w:pPr>
        <w:keepNext w:val="0"/>
        <w:keepLines w:val="0"/>
        <w:pageBreakBefore w:val="0"/>
        <w:widowControl w:val="0"/>
        <w:numPr>
          <w:ilvl w:val="0"/>
          <w:numId w:val="67"/>
        </w:numPr>
        <w:kinsoku/>
        <w:wordWrap/>
        <w:overflowPunct/>
        <w:topLinePunct w:val="0"/>
        <w:autoSpaceDE/>
        <w:autoSpaceDN/>
        <w:bidi w:val="0"/>
        <w:adjustRightInd/>
        <w:snapToGrid/>
        <w:spacing w:line="360" w:lineRule="auto"/>
        <w:ind w:left="0" w:leftChars="0" w:firstLine="482" w:firstLineChars="200"/>
        <w:jc w:val="left"/>
        <w:textAlignment w:val="auto"/>
        <w:rPr>
          <w:rFonts w:ascii="宋体"/>
          <w:sz w:val="24"/>
          <w:highlight w:val="none"/>
        </w:rPr>
      </w:pPr>
      <w:r>
        <w:rPr>
          <w:rFonts w:hint="eastAsia" w:ascii="宋体" w:hAnsi="宋体" w:cs="宋体"/>
          <w:b/>
          <w:bCs/>
          <w:sz w:val="24"/>
          <w:highlight w:val="none"/>
        </w:rPr>
        <w:t>结果汇总及排序</w:t>
      </w:r>
    </w:p>
    <w:p w14:paraId="4C8833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评标结果按评审后综合得分由高到低顺序排列。</w:t>
      </w:r>
      <w:r>
        <w:rPr>
          <w:rFonts w:hint="eastAsia" w:ascii="宋体" w:hAnsi="宋体" w:cs="宋体"/>
          <w:sz w:val="24"/>
          <w:highlight w:val="none"/>
          <w:lang w:val="en-US" w:eastAsia="zh-CN"/>
        </w:rPr>
        <w:t>综合</w:t>
      </w:r>
      <w:r>
        <w:rPr>
          <w:rFonts w:hint="eastAsia" w:ascii="宋体" w:hAnsi="宋体" w:cs="宋体"/>
          <w:sz w:val="24"/>
          <w:highlight w:val="none"/>
          <w:lang w:val="zh-CN"/>
        </w:rPr>
        <w:t>得分相同</w:t>
      </w:r>
      <w:r>
        <w:rPr>
          <w:rFonts w:hint="eastAsia" w:ascii="宋体" w:hAnsi="宋体" w:cs="宋体"/>
          <w:sz w:val="24"/>
          <w:highlight w:val="none"/>
        </w:rPr>
        <w:t>的</w:t>
      </w:r>
      <w:r>
        <w:rPr>
          <w:rFonts w:hint="eastAsia" w:ascii="宋体" w:hAnsi="宋体" w:cs="宋体"/>
          <w:sz w:val="24"/>
          <w:highlight w:val="none"/>
          <w:lang w:val="zh-CN"/>
        </w:rPr>
        <w:t>，</w:t>
      </w:r>
      <w:r>
        <w:rPr>
          <w:rFonts w:hint="eastAsia" w:ascii="宋体" w:hAnsi="宋体" w:cs="宋体"/>
          <w:sz w:val="24"/>
          <w:highlight w:val="none"/>
        </w:rPr>
        <w:t>按</w:t>
      </w:r>
      <w:r>
        <w:rPr>
          <w:rFonts w:hint="eastAsia" w:ascii="宋体" w:hAnsi="宋体" w:cs="宋体"/>
          <w:sz w:val="24"/>
          <w:highlight w:val="none"/>
          <w:lang w:val="zh-CN"/>
        </w:rPr>
        <w:t>投标报价</w:t>
      </w:r>
      <w:r>
        <w:rPr>
          <w:rFonts w:hint="eastAsia" w:ascii="宋体" w:hAnsi="宋体" w:cs="宋体"/>
          <w:sz w:val="24"/>
          <w:highlight w:val="none"/>
        </w:rPr>
        <w:t>由</w:t>
      </w:r>
      <w:r>
        <w:rPr>
          <w:rFonts w:hint="eastAsia" w:ascii="宋体" w:hAnsi="宋体" w:cs="宋体"/>
          <w:sz w:val="24"/>
          <w:highlight w:val="none"/>
          <w:lang w:val="zh-CN"/>
        </w:rPr>
        <w:t>低</w:t>
      </w:r>
      <w:r>
        <w:rPr>
          <w:rFonts w:hint="eastAsia" w:ascii="宋体" w:hAnsi="宋体" w:cs="宋体"/>
          <w:sz w:val="24"/>
          <w:highlight w:val="none"/>
        </w:rPr>
        <w:t>到高顺序排列。</w:t>
      </w:r>
      <w:r>
        <w:rPr>
          <w:rFonts w:hint="eastAsia" w:ascii="宋体" w:hAnsi="宋体" w:eastAsia="宋体" w:cs="宋体"/>
          <w:color w:val="auto"/>
          <w:sz w:val="24"/>
          <w:szCs w:val="24"/>
          <w:highlight w:val="none"/>
          <w:lang w:val="zh-CN"/>
        </w:rPr>
        <w:t>综合得分且投标报价</w:t>
      </w:r>
      <w:r>
        <w:rPr>
          <w:rFonts w:hint="eastAsia" w:ascii="宋体" w:hAnsi="宋体" w:eastAsia="宋体" w:cs="宋体"/>
          <w:color w:val="auto"/>
          <w:sz w:val="24"/>
          <w:szCs w:val="24"/>
          <w:highlight w:val="none"/>
          <w:lang w:val="en-US" w:eastAsia="zh-CN"/>
        </w:rPr>
        <w:t>均</w:t>
      </w:r>
      <w:r>
        <w:rPr>
          <w:rFonts w:hint="eastAsia" w:ascii="宋体" w:hAnsi="宋体" w:eastAsia="宋体" w:cs="宋体"/>
          <w:color w:val="auto"/>
          <w:sz w:val="24"/>
          <w:szCs w:val="24"/>
          <w:highlight w:val="none"/>
          <w:lang w:val="zh-CN"/>
        </w:rPr>
        <w:t>相同的，</w:t>
      </w:r>
      <w:r>
        <w:rPr>
          <w:rFonts w:hint="eastAsia" w:ascii="宋体" w:hAnsi="宋体" w:eastAsia="宋体" w:cs="宋体"/>
          <w:color w:val="auto"/>
          <w:sz w:val="24"/>
          <w:szCs w:val="24"/>
          <w:highlight w:val="none"/>
          <w:lang w:val="en-US" w:eastAsia="zh-CN"/>
        </w:rPr>
        <w:t>则</w:t>
      </w:r>
      <w:r>
        <w:rPr>
          <w:rFonts w:hint="eastAsia" w:ascii="宋体" w:hAnsi="宋体" w:cs="宋体"/>
          <w:color w:val="auto"/>
          <w:sz w:val="24"/>
          <w:szCs w:val="24"/>
          <w:highlight w:val="none"/>
          <w:lang w:val="zh-CN"/>
        </w:rPr>
        <w:t>抽签确定</w:t>
      </w:r>
      <w:r>
        <w:rPr>
          <w:rFonts w:hint="eastAsia" w:ascii="宋体" w:hAnsi="宋体" w:cs="宋体"/>
          <w:sz w:val="24"/>
          <w:highlight w:val="none"/>
          <w:lang w:val="zh-CN"/>
        </w:rPr>
        <w:t>。</w:t>
      </w:r>
      <w:r>
        <w:rPr>
          <w:rFonts w:hint="eastAsia" w:ascii="宋体" w:hAnsi="宋体" w:eastAsia="宋体" w:cs="宋体"/>
          <w:sz w:val="24"/>
          <w:szCs w:val="24"/>
          <w:highlight w:val="none"/>
        </w:rPr>
        <w:t>在投标文件满足招标文件全部实质性要求前提下，评标委员会按照评审因素的量化指标进行综合评审，以评标总得分由高到低的顺序推荐2名中标候选人</w:t>
      </w:r>
      <w:r>
        <w:rPr>
          <w:rFonts w:hint="eastAsia" w:ascii="宋体" w:hAnsi="宋体" w:cs="宋体"/>
          <w:sz w:val="24"/>
          <w:highlight w:val="none"/>
        </w:rPr>
        <w:t>。</w:t>
      </w:r>
    </w:p>
    <w:p w14:paraId="0A30314E">
      <w:pPr>
        <w:keepNext w:val="0"/>
        <w:keepLines w:val="0"/>
        <w:pageBreakBefore w:val="0"/>
        <w:widowControl w:val="0"/>
        <w:numPr>
          <w:ilvl w:val="0"/>
          <w:numId w:val="67"/>
        </w:numPr>
        <w:kinsoku/>
        <w:wordWrap/>
        <w:overflowPunct/>
        <w:topLinePunct w:val="0"/>
        <w:autoSpaceDE/>
        <w:autoSpaceDN/>
        <w:bidi w:val="0"/>
        <w:adjustRightInd/>
        <w:snapToGrid/>
        <w:spacing w:line="360" w:lineRule="auto"/>
        <w:ind w:left="0" w:leftChars="0" w:firstLine="482" w:firstLineChars="200"/>
        <w:jc w:val="left"/>
        <w:textAlignment w:val="auto"/>
        <w:rPr>
          <w:rFonts w:ascii="宋体" w:hAnsi="宋体" w:cs="宋体"/>
          <w:b/>
          <w:bCs/>
          <w:sz w:val="24"/>
          <w:highlight w:val="none"/>
        </w:rPr>
      </w:pPr>
      <w:r>
        <w:rPr>
          <w:rFonts w:hint="eastAsia" w:ascii="宋体" w:hAnsi="宋体" w:cs="宋体"/>
          <w:b/>
          <w:bCs/>
          <w:sz w:val="24"/>
          <w:highlight w:val="none"/>
        </w:rPr>
        <w:t>评标报告撰写</w:t>
      </w:r>
    </w:p>
    <w:p w14:paraId="219D6D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评标委员会根据全体评标成员签字的原始评标记录和评标结果编写评标报告。</w:t>
      </w:r>
    </w:p>
    <w:p w14:paraId="5F7193E0">
      <w:pPr>
        <w:rPr>
          <w:rFonts w:hint="eastAsia" w:ascii="宋体" w:hAnsi="宋体" w:cs="宋体"/>
          <w:sz w:val="24"/>
          <w:highlight w:val="none"/>
        </w:rPr>
      </w:pPr>
      <w:r>
        <w:rPr>
          <w:rFonts w:hint="eastAsia" w:ascii="宋体" w:hAnsi="宋体" w:cs="宋体"/>
          <w:sz w:val="24"/>
          <w:highlight w:val="none"/>
        </w:rPr>
        <w:br w:type="page"/>
      </w:r>
    </w:p>
    <w:p w14:paraId="3890452D">
      <w:pPr>
        <w:rPr>
          <w:rFonts w:asciiTheme="minorEastAsia" w:hAnsiTheme="minorEastAsia" w:eastAsiaTheme="minorEastAsia"/>
          <w:b/>
          <w:sz w:val="36"/>
          <w:szCs w:val="36"/>
          <w:highlight w:val="none"/>
        </w:rPr>
      </w:pPr>
    </w:p>
    <w:p w14:paraId="39D5F9F4">
      <w:pPr>
        <w:numPr>
          <w:ilvl w:val="0"/>
          <w:numId w:val="17"/>
        </w:numPr>
        <w:tabs>
          <w:tab w:val="left" w:pos="2218"/>
          <w:tab w:val="center" w:pos="5283"/>
        </w:tabs>
        <w:spacing w:line="360" w:lineRule="auto"/>
        <w:jc w:val="center"/>
        <w:outlineLvl w:val="0"/>
        <w:rPr>
          <w:rFonts w:asciiTheme="minorEastAsia" w:hAnsiTheme="minorEastAsia" w:eastAsiaTheme="minorEastAsia"/>
          <w:b/>
          <w:sz w:val="36"/>
          <w:szCs w:val="36"/>
          <w:highlight w:val="none"/>
        </w:rPr>
      </w:pPr>
      <w:bookmarkStart w:id="43" w:name="_Toc25195"/>
      <w:r>
        <w:rPr>
          <w:rFonts w:hint="eastAsia" w:asciiTheme="minorEastAsia" w:hAnsiTheme="minorEastAsia" w:eastAsiaTheme="minorEastAsia"/>
          <w:b/>
          <w:sz w:val="36"/>
          <w:szCs w:val="36"/>
          <w:highlight w:val="none"/>
        </w:rPr>
        <w:t>拟签订的合同文本</w:t>
      </w:r>
      <w:bookmarkEnd w:id="43"/>
    </w:p>
    <w:p w14:paraId="1E4C70A3">
      <w:pPr>
        <w:jc w:val="center"/>
        <w:rPr>
          <w:b/>
          <w:bCs/>
          <w:sz w:val="52"/>
          <w:szCs w:val="52"/>
          <w:highlight w:val="none"/>
        </w:rPr>
      </w:pPr>
    </w:p>
    <w:p w14:paraId="47219DA5">
      <w:pPr>
        <w:rPr>
          <w:b/>
          <w:bCs/>
          <w:highlight w:val="none"/>
        </w:rPr>
      </w:pPr>
    </w:p>
    <w:p w14:paraId="6FAAE918">
      <w:pPr>
        <w:rPr>
          <w:b/>
          <w:bCs/>
          <w:highlight w:val="none"/>
        </w:rPr>
      </w:pPr>
    </w:p>
    <w:p w14:paraId="02EB64CC">
      <w:pPr>
        <w:rPr>
          <w:b/>
          <w:bCs/>
          <w:highlight w:val="none"/>
        </w:rPr>
      </w:pPr>
    </w:p>
    <w:p w14:paraId="140C3D33">
      <w:pPr>
        <w:rPr>
          <w:b/>
          <w:bCs/>
          <w:highlight w:val="none"/>
        </w:rPr>
      </w:pPr>
    </w:p>
    <w:p w14:paraId="0DD5CCB6">
      <w:pPr>
        <w:rPr>
          <w:b/>
          <w:bCs/>
          <w:highlight w:val="none"/>
        </w:rPr>
      </w:pPr>
    </w:p>
    <w:p w14:paraId="242021F5">
      <w:pPr>
        <w:rPr>
          <w:b/>
          <w:bCs/>
          <w:highlight w:val="none"/>
        </w:rPr>
      </w:pPr>
    </w:p>
    <w:p w14:paraId="15313791">
      <w:pPr>
        <w:rPr>
          <w:b/>
          <w:bCs/>
          <w:highlight w:val="none"/>
        </w:rPr>
      </w:pPr>
    </w:p>
    <w:p w14:paraId="05DB0586">
      <w:pPr>
        <w:rPr>
          <w:b/>
          <w:bCs/>
          <w:sz w:val="30"/>
          <w:szCs w:val="30"/>
          <w:highlight w:val="none"/>
        </w:rPr>
      </w:pPr>
    </w:p>
    <w:p w14:paraId="0D2D06BF">
      <w:pPr>
        <w:ind w:firstLine="1807" w:firstLineChars="600"/>
        <w:rPr>
          <w:b/>
          <w:bCs/>
          <w:sz w:val="30"/>
          <w:szCs w:val="30"/>
          <w:highlight w:val="none"/>
        </w:rPr>
      </w:pPr>
    </w:p>
    <w:p w14:paraId="1EF11E01">
      <w:pPr>
        <w:ind w:firstLine="1807" w:firstLineChars="600"/>
        <w:rPr>
          <w:b/>
          <w:bCs/>
          <w:sz w:val="30"/>
          <w:szCs w:val="30"/>
          <w:highlight w:val="none"/>
        </w:rPr>
      </w:pPr>
    </w:p>
    <w:p w14:paraId="5D8D9A59">
      <w:pPr>
        <w:rPr>
          <w:rFonts w:hint="default" w:ascii="仿宋_GB2312" w:eastAsia="仿宋_GB2312" w:cs="仿宋_GB2312"/>
          <w:color w:val="auto"/>
          <w:kern w:val="2"/>
          <w:sz w:val="30"/>
          <w:szCs w:val="30"/>
          <w:highlight w:val="none"/>
        </w:rPr>
      </w:pPr>
      <w:r>
        <w:rPr>
          <w:rFonts w:hint="default" w:ascii="仿宋_GB2312" w:eastAsia="仿宋_GB2312" w:cs="仿宋_GB2312"/>
          <w:color w:val="auto"/>
          <w:kern w:val="2"/>
          <w:sz w:val="30"/>
          <w:szCs w:val="30"/>
          <w:highlight w:val="none"/>
        </w:rPr>
        <w:br w:type="page"/>
      </w:r>
    </w:p>
    <w:p w14:paraId="127D259D">
      <w:pPr>
        <w:pStyle w:val="13"/>
        <w:keepNext w:val="0"/>
        <w:keepLines w:val="0"/>
        <w:pageBreakBefore w:val="0"/>
        <w:widowControl/>
        <w:kinsoku/>
        <w:overflowPunct/>
        <w:topLinePunct w:val="0"/>
        <w:autoSpaceDN/>
        <w:bidi w:val="0"/>
        <w:adjustRightInd/>
        <w:snapToGrid w:val="0"/>
        <w:spacing w:before="0" w:beforeAutospacing="0" w:afterLines="50" w:afterAutospacing="0" w:line="580" w:lineRule="exact"/>
        <w:ind w:left="0" w:right="0" w:firstLine="600" w:firstLineChars="200"/>
        <w:textAlignment w:val="auto"/>
        <w:rPr>
          <w:rFonts w:hint="default" w:ascii="仿宋_GB2312" w:eastAsia="仿宋_GB2312" w:cs="仿宋_GB2312"/>
          <w:color w:val="auto"/>
          <w:kern w:val="2"/>
          <w:sz w:val="30"/>
          <w:szCs w:val="30"/>
          <w:highlight w:val="none"/>
        </w:rPr>
      </w:pPr>
      <w:r>
        <w:rPr>
          <w:rFonts w:hint="default" w:ascii="仿宋_GB2312" w:eastAsia="仿宋_GB2312" w:cs="仿宋_GB2312"/>
          <w:color w:val="auto"/>
          <w:kern w:val="2"/>
          <w:sz w:val="30"/>
          <w:szCs w:val="30"/>
          <w:highlight w:val="none"/>
        </w:rPr>
        <w:t>甲方（学校方）：</w:t>
      </w:r>
      <w:r>
        <w:rPr>
          <w:rFonts w:hint="eastAsia" w:ascii="仿宋_GB2312" w:eastAsia="仿宋_GB2312" w:cs="仿宋_GB2312"/>
          <w:color w:val="auto"/>
          <w:kern w:val="2"/>
          <w:sz w:val="30"/>
          <w:szCs w:val="30"/>
          <w:highlight w:val="none"/>
          <w:u w:val="single"/>
          <w:lang w:val="en-US" w:eastAsia="zh-CN"/>
        </w:rPr>
        <w:t xml:space="preserve">               </w:t>
      </w:r>
      <w:r>
        <w:rPr>
          <w:rFonts w:hint="default" w:ascii="仿宋_GB2312" w:eastAsia="仿宋_GB2312" w:cs="仿宋_GB2312"/>
          <w:color w:val="auto"/>
          <w:kern w:val="2"/>
          <w:sz w:val="30"/>
          <w:szCs w:val="30"/>
          <w:highlight w:val="none"/>
        </w:rPr>
        <w:t xml:space="preserve">  </w:t>
      </w:r>
    </w:p>
    <w:p w14:paraId="67FC2846">
      <w:pPr>
        <w:pStyle w:val="13"/>
        <w:keepNext w:val="0"/>
        <w:keepLines w:val="0"/>
        <w:pageBreakBefore w:val="0"/>
        <w:widowControl/>
        <w:kinsoku/>
        <w:overflowPunct/>
        <w:topLinePunct w:val="0"/>
        <w:autoSpaceDN/>
        <w:bidi w:val="0"/>
        <w:adjustRightInd/>
        <w:snapToGrid w:val="0"/>
        <w:spacing w:before="0" w:beforeAutospacing="0" w:afterLines="50" w:afterAutospacing="0" w:line="580" w:lineRule="exact"/>
        <w:ind w:left="0" w:right="0" w:firstLine="600" w:firstLineChars="200"/>
        <w:textAlignment w:val="auto"/>
        <w:rPr>
          <w:rFonts w:hint="default" w:ascii="仿宋_GB2312" w:eastAsia="仿宋_GB2312" w:cs="仿宋_GB2312"/>
          <w:color w:val="auto"/>
          <w:kern w:val="2"/>
          <w:sz w:val="30"/>
          <w:szCs w:val="30"/>
          <w:highlight w:val="none"/>
        </w:rPr>
      </w:pPr>
      <w:r>
        <w:rPr>
          <w:rFonts w:hint="eastAsia" w:ascii="仿宋_GB2312" w:hAnsi="Courier New" w:eastAsia="仿宋_GB2312" w:cs="仿宋_GB2312"/>
          <w:kern w:val="2"/>
          <w:sz w:val="30"/>
          <w:szCs w:val="30"/>
          <w:highlight w:val="none"/>
          <w:u w:val="none"/>
          <w:lang w:val="en-US" w:eastAsia="zh-CN" w:bidi="ar-SA"/>
        </w:rPr>
        <w:t>统一社会信用代码证号：</w:t>
      </w:r>
      <w:r>
        <w:rPr>
          <w:rFonts w:hint="eastAsia" w:ascii="仿宋_GB2312" w:hAnsi="Courier New" w:eastAsia="仿宋_GB2312" w:cs="仿宋_GB2312"/>
          <w:kern w:val="2"/>
          <w:sz w:val="30"/>
          <w:szCs w:val="30"/>
          <w:highlight w:val="none"/>
          <w:u w:val="single"/>
          <w:lang w:val="en-US" w:eastAsia="zh-CN" w:bidi="ar-SA"/>
        </w:rPr>
        <w:t xml:space="preserve"> </w:t>
      </w:r>
      <w:r>
        <w:rPr>
          <w:rFonts w:hint="eastAsia" w:ascii="仿宋_GB2312" w:eastAsia="仿宋_GB2312" w:cs="仿宋_GB2312"/>
          <w:kern w:val="2"/>
          <w:sz w:val="30"/>
          <w:szCs w:val="30"/>
          <w:highlight w:val="none"/>
          <w:u w:val="single"/>
          <w:lang w:val="en-US" w:eastAsia="zh-CN" w:bidi="ar-SA"/>
        </w:rPr>
        <w:t xml:space="preserve">            </w:t>
      </w:r>
      <w:r>
        <w:rPr>
          <w:rFonts w:hint="eastAsia" w:ascii="仿宋_GB2312" w:hAnsi="Courier New" w:eastAsia="仿宋_GB2312" w:cs="仿宋_GB2312"/>
          <w:kern w:val="2"/>
          <w:sz w:val="30"/>
          <w:szCs w:val="30"/>
          <w:highlight w:val="none"/>
          <w:u w:val="single"/>
          <w:lang w:val="en-US" w:eastAsia="zh-CN" w:bidi="ar-SA"/>
        </w:rPr>
        <w:t xml:space="preserve"> </w:t>
      </w:r>
      <w:r>
        <w:rPr>
          <w:rFonts w:hint="default" w:ascii="仿宋_GB2312" w:eastAsia="仿宋_GB2312" w:cs="仿宋_GB2312"/>
          <w:color w:val="auto"/>
          <w:kern w:val="2"/>
          <w:sz w:val="30"/>
          <w:szCs w:val="30"/>
          <w:highlight w:val="none"/>
        </w:rPr>
        <w:t xml:space="preserve">                                                               </w:t>
      </w:r>
    </w:p>
    <w:p w14:paraId="3ED1E68B">
      <w:pPr>
        <w:pStyle w:val="13"/>
        <w:keepNext w:val="0"/>
        <w:keepLines w:val="0"/>
        <w:pageBreakBefore w:val="0"/>
        <w:widowControl w:val="0"/>
        <w:suppressLineNumbers w:val="0"/>
        <w:kinsoku/>
        <w:overflowPunct/>
        <w:topLinePunct w:val="0"/>
        <w:autoSpaceDE w:val="0"/>
        <w:autoSpaceDN/>
        <w:bidi w:val="0"/>
        <w:adjustRightInd/>
        <w:snapToGrid w:val="0"/>
        <w:spacing w:before="0" w:beforeAutospacing="0" w:after="0" w:afterAutospacing="0" w:line="580" w:lineRule="exact"/>
        <w:ind w:left="0" w:leftChars="0" w:right="0" w:firstLine="600" w:firstLineChars="200"/>
        <w:textAlignment w:val="auto"/>
        <w:rPr>
          <w:rFonts w:hint="default" w:ascii="仿宋_GB2312" w:eastAsia="仿宋_GB2312" w:cs="仿宋_GB2312"/>
          <w:color w:val="auto"/>
          <w:kern w:val="0"/>
          <w:sz w:val="30"/>
          <w:szCs w:val="30"/>
          <w:highlight w:val="none"/>
        </w:rPr>
      </w:pPr>
      <w:r>
        <w:rPr>
          <w:rFonts w:hint="default" w:ascii="仿宋_GB2312" w:eastAsia="仿宋_GB2312" w:cs="仿宋_GB2312"/>
          <w:color w:val="auto"/>
          <w:kern w:val="2"/>
          <w:sz w:val="30"/>
          <w:szCs w:val="30"/>
          <w:highlight w:val="none"/>
        </w:rPr>
        <w:t>乙方（企业方）：</w:t>
      </w:r>
      <w:r>
        <w:rPr>
          <w:rFonts w:hint="default" w:ascii="仿宋_GB2312" w:eastAsia="仿宋_GB2312" w:cs="仿宋_GB2312"/>
          <w:color w:val="auto"/>
          <w:kern w:val="2"/>
          <w:sz w:val="30"/>
          <w:szCs w:val="30"/>
          <w:highlight w:val="none"/>
          <w:u w:val="single"/>
        </w:rPr>
        <w:t xml:space="preserve">                              </w:t>
      </w:r>
      <w:r>
        <w:rPr>
          <w:rFonts w:hint="eastAsia" w:ascii="仿宋_GB2312" w:eastAsia="仿宋_GB2312" w:cs="仿宋_GB2312"/>
          <w:color w:val="auto"/>
          <w:kern w:val="2"/>
          <w:sz w:val="30"/>
          <w:szCs w:val="30"/>
          <w:highlight w:val="none"/>
          <w:u w:val="single"/>
          <w:lang w:val="en-US" w:eastAsia="zh-CN"/>
        </w:rPr>
        <w:t xml:space="preserve">  </w:t>
      </w:r>
      <w:r>
        <w:rPr>
          <w:rFonts w:hint="default" w:ascii="仿宋_GB2312" w:eastAsia="仿宋_GB2312" w:cs="仿宋_GB2312"/>
          <w:color w:val="auto"/>
          <w:kern w:val="2"/>
          <w:sz w:val="30"/>
          <w:szCs w:val="30"/>
          <w:highlight w:val="none"/>
          <w:u w:val="single"/>
        </w:rPr>
        <w:t xml:space="preserve">  </w:t>
      </w:r>
      <w:r>
        <w:rPr>
          <w:rFonts w:hint="default" w:ascii="仿宋_GB2312" w:eastAsia="仿宋_GB2312" w:cs="仿宋_GB2312"/>
          <w:color w:val="auto"/>
          <w:kern w:val="2"/>
          <w:sz w:val="30"/>
          <w:szCs w:val="30"/>
          <w:highlight w:val="none"/>
        </w:rPr>
        <w:t xml:space="preserve">  </w:t>
      </w:r>
    </w:p>
    <w:p w14:paraId="3B164219">
      <w:pPr>
        <w:pStyle w:val="11"/>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leftChars="0" w:right="0" w:firstLine="600" w:firstLineChars="200"/>
        <w:jc w:val="both"/>
        <w:textAlignment w:val="auto"/>
        <w:rPr>
          <w:rFonts w:hint="default" w:ascii="仿宋_GB2312" w:eastAsia="仿宋_GB2312" w:cs="仿宋_GB2312"/>
          <w:color w:val="auto"/>
          <w:kern w:val="0"/>
          <w:sz w:val="30"/>
          <w:szCs w:val="30"/>
          <w:highlight w:val="none"/>
        </w:rPr>
      </w:pPr>
      <w:r>
        <w:rPr>
          <w:rFonts w:hint="default" w:ascii="仿宋_GB2312" w:eastAsia="仿宋_GB2312" w:cs="仿宋_GB2312"/>
          <w:color w:val="auto"/>
          <w:kern w:val="2"/>
          <w:sz w:val="30"/>
          <w:szCs w:val="30"/>
          <w:highlight w:val="none"/>
        </w:rPr>
        <w:t>统一社会信用代码证号</w:t>
      </w:r>
      <w:r>
        <w:rPr>
          <w:rFonts w:hint="eastAsia" w:ascii="仿宋_GB2312" w:eastAsia="仿宋_GB2312" w:cs="仿宋_GB2312"/>
          <w:color w:val="auto"/>
          <w:kern w:val="2"/>
          <w:sz w:val="30"/>
          <w:szCs w:val="30"/>
          <w:highlight w:val="none"/>
          <w:lang w:eastAsia="zh-CN"/>
        </w:rPr>
        <w:t>：</w:t>
      </w:r>
      <w:r>
        <w:rPr>
          <w:rFonts w:hint="default" w:ascii="仿宋_GB2312" w:eastAsia="仿宋_GB2312" w:cs="仿宋_GB2312"/>
          <w:color w:val="auto"/>
          <w:kern w:val="2"/>
          <w:sz w:val="30"/>
          <w:szCs w:val="30"/>
          <w:highlight w:val="none"/>
          <w:u w:val="single"/>
        </w:rPr>
        <w:t xml:space="preserve">                           </w:t>
      </w:r>
      <w:r>
        <w:rPr>
          <w:rFonts w:hint="default" w:ascii="仿宋_GB2312" w:eastAsia="仿宋_GB2312" w:cs="仿宋_GB2312"/>
          <w:color w:val="auto"/>
          <w:kern w:val="2"/>
          <w:sz w:val="30"/>
          <w:szCs w:val="30"/>
          <w:highlight w:val="none"/>
        </w:rPr>
        <w:t xml:space="preserve">   </w:t>
      </w:r>
    </w:p>
    <w:p w14:paraId="70F2E1A3">
      <w:pPr>
        <w:pStyle w:val="11"/>
        <w:keepNext w:val="0"/>
        <w:keepLines w:val="0"/>
        <w:pageBreakBefore w:val="0"/>
        <w:widowControl w:val="0"/>
        <w:suppressLineNumbers w:val="0"/>
        <w:kinsoku/>
        <w:overflowPunct/>
        <w:topLinePunct w:val="0"/>
        <w:autoSpaceDE w:val="0"/>
        <w:autoSpaceDN/>
        <w:bidi w:val="0"/>
        <w:adjustRightInd/>
        <w:spacing w:before="100" w:beforeAutospacing="1" w:after="0" w:afterAutospacing="0" w:line="580" w:lineRule="exact"/>
        <w:ind w:left="0" w:leftChars="0" w:right="0" w:firstLine="600" w:firstLineChars="200"/>
        <w:jc w:val="both"/>
        <w:textAlignment w:val="auto"/>
        <w:rPr>
          <w:rFonts w:hint="default" w:ascii="仿宋_GB2312" w:eastAsia="仿宋_GB2312" w:cs="仿宋_GB2312"/>
          <w:color w:val="auto"/>
          <w:kern w:val="0"/>
          <w:sz w:val="30"/>
          <w:szCs w:val="30"/>
          <w:highlight w:val="none"/>
        </w:rPr>
      </w:pPr>
    </w:p>
    <w:p w14:paraId="23672091">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480" w:firstLineChars="200"/>
        <w:textAlignment w:val="auto"/>
        <w:rPr>
          <w:rFonts w:hint="default" w:ascii="仿宋_GB2312" w:eastAsia="仿宋_GB2312" w:cs="仿宋_GB2312"/>
          <w:color w:val="auto"/>
          <w:kern w:val="2"/>
          <w:sz w:val="24"/>
          <w:szCs w:val="24"/>
          <w:highlight w:val="none"/>
        </w:rPr>
      </w:pPr>
      <w:r>
        <w:rPr>
          <w:rFonts w:hint="default" w:ascii="仿宋_GB2312" w:eastAsia="仿宋_GB2312" w:cs="仿宋_GB2312"/>
          <w:color w:val="auto"/>
          <w:kern w:val="2"/>
          <w:sz w:val="24"/>
          <w:szCs w:val="24"/>
          <w:highlight w:val="none"/>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 食品安全国家标准餐饮服务通用卫生规范》《餐饮服务食品安全操作规范》等法律法规，遵循平等、自愿、公平和诚信原则，经甲乙双方协商一致，就学校食堂</w:t>
      </w:r>
      <w:r>
        <w:rPr>
          <w:rFonts w:hint="eastAsia" w:ascii="仿宋_GB2312" w:eastAsia="仿宋_GB2312" w:cs="仿宋_GB2312"/>
          <w:color w:val="auto"/>
          <w:kern w:val="2"/>
          <w:sz w:val="24"/>
          <w:szCs w:val="24"/>
          <w:highlight w:val="none"/>
          <w:lang w:eastAsia="zh-CN"/>
        </w:rPr>
        <w:t>委托管理</w:t>
      </w:r>
      <w:r>
        <w:rPr>
          <w:rFonts w:hint="default" w:ascii="仿宋_GB2312" w:eastAsia="仿宋_GB2312" w:cs="仿宋_GB2312"/>
          <w:color w:val="auto"/>
          <w:kern w:val="2"/>
          <w:sz w:val="24"/>
          <w:szCs w:val="24"/>
          <w:highlight w:val="none"/>
        </w:rPr>
        <w:t>服务事宜签订本合同。</w:t>
      </w:r>
    </w:p>
    <w:p w14:paraId="6A9BD528">
      <w:pPr>
        <w:pStyle w:val="13"/>
        <w:keepNext w:val="0"/>
        <w:keepLines w:val="0"/>
        <w:pageBreakBefore w:val="0"/>
        <w:widowControl w:val="0"/>
        <w:suppressLineNumbers w:val="0"/>
        <w:kinsoku/>
        <w:overflowPunct/>
        <w:topLinePunct w:val="0"/>
        <w:autoSpaceDE w:val="0"/>
        <w:autoSpaceDN/>
        <w:bidi w:val="0"/>
        <w:adjustRightInd/>
        <w:snapToGrid w:val="0"/>
        <w:spacing w:before="0" w:beforeAutospacing="0" w:after="0" w:afterAutospacing="0" w:line="580" w:lineRule="exact"/>
        <w:ind w:left="0" w:right="0" w:firstLine="482" w:firstLineChars="200"/>
        <w:textAlignment w:val="auto"/>
        <w:rPr>
          <w:rFonts w:hint="eastAsia" w:ascii="黑体" w:hAnsi="黑体" w:eastAsia="黑体" w:cs="黑体"/>
          <w:b w:val="0"/>
          <w:color w:val="auto"/>
          <w:kern w:val="2"/>
          <w:sz w:val="24"/>
          <w:szCs w:val="24"/>
          <w:highlight w:val="none"/>
        </w:rPr>
      </w:pPr>
      <w:r>
        <w:rPr>
          <w:rFonts w:hint="default" w:ascii="仿宋_GB2312" w:eastAsia="仿宋_GB2312" w:cs="仿宋_GB2312"/>
          <w:b/>
          <w:color w:val="auto"/>
          <w:kern w:val="0"/>
          <w:sz w:val="24"/>
          <w:szCs w:val="24"/>
          <w:highlight w:val="none"/>
        </w:rPr>
        <w:t xml:space="preserve"> </w:t>
      </w:r>
      <w:r>
        <w:rPr>
          <w:rFonts w:hint="eastAsia" w:ascii="黑体" w:hAnsi="黑体" w:eastAsia="黑体" w:cs="黑体"/>
          <w:b w:val="0"/>
          <w:color w:val="auto"/>
          <w:kern w:val="2"/>
          <w:sz w:val="24"/>
          <w:szCs w:val="24"/>
          <w:highlight w:val="none"/>
        </w:rPr>
        <w:t>一、合同标的</w:t>
      </w:r>
    </w:p>
    <w:p w14:paraId="5CE6A608">
      <w:pPr>
        <w:pStyle w:val="13"/>
        <w:keepNext w:val="0"/>
        <w:keepLines w:val="0"/>
        <w:pageBreakBefore w:val="0"/>
        <w:widowControl w:val="0"/>
        <w:suppressLineNumbers w:val="0"/>
        <w:kinsoku/>
        <w:overflowPunct/>
        <w:topLinePunct w:val="0"/>
        <w:autoSpaceDE w:val="0"/>
        <w:autoSpaceDN/>
        <w:bidi w:val="0"/>
        <w:adjustRightInd/>
        <w:snapToGrid w:val="0"/>
        <w:spacing w:before="0" w:beforeAutospacing="0" w:after="0" w:afterAutospacing="0" w:line="580" w:lineRule="exact"/>
        <w:ind w:left="0" w:right="0" w:firstLine="480" w:firstLineChars="200"/>
        <w:textAlignment w:val="auto"/>
        <w:rPr>
          <w:rFonts w:hint="eastAsia" w:ascii="仿宋_GB2312" w:eastAsia="仿宋_GB2312" w:cs="仿宋_GB2312"/>
          <w:color w:val="auto"/>
          <w:kern w:val="2"/>
          <w:sz w:val="24"/>
          <w:szCs w:val="24"/>
          <w:highlight w:val="none"/>
          <w:lang w:eastAsia="zh-CN"/>
        </w:rPr>
      </w:pPr>
      <w:r>
        <w:rPr>
          <w:rFonts w:hint="default" w:ascii="仿宋_GB2312" w:eastAsia="仿宋_GB2312" w:cs="仿宋_GB2312"/>
          <w:color w:val="auto"/>
          <w:kern w:val="2"/>
          <w:sz w:val="24"/>
          <w:szCs w:val="24"/>
          <w:highlight w:val="none"/>
        </w:rPr>
        <w:t>1.标的名称：</w:t>
      </w:r>
      <w:r>
        <w:rPr>
          <w:rFonts w:hint="eastAsia" w:ascii="仿宋_GB2312" w:eastAsia="仿宋_GB2312" w:cs="仿宋_GB2312"/>
          <w:color w:val="auto"/>
          <w:kern w:val="2"/>
          <w:sz w:val="24"/>
          <w:szCs w:val="24"/>
          <w:highlight w:val="none"/>
          <w:u w:val="single"/>
          <w:lang w:val="en-US" w:eastAsia="zh-CN"/>
        </w:rPr>
        <w:t>台州市文华小学</w:t>
      </w:r>
      <w:r>
        <w:rPr>
          <w:rFonts w:hint="eastAsia" w:ascii="仿宋_GB2312" w:eastAsia="仿宋_GB2312" w:cs="仿宋_GB2312"/>
          <w:color w:val="auto"/>
          <w:kern w:val="2"/>
          <w:sz w:val="24"/>
          <w:szCs w:val="24"/>
          <w:highlight w:val="none"/>
          <w:u w:val="single"/>
          <w:lang w:eastAsia="zh-CN"/>
        </w:rPr>
        <w:t>食堂委托管理服务项目</w:t>
      </w:r>
    </w:p>
    <w:p w14:paraId="50206CA3">
      <w:pPr>
        <w:pStyle w:val="13"/>
        <w:keepNext w:val="0"/>
        <w:keepLines w:val="0"/>
        <w:pageBreakBefore w:val="0"/>
        <w:widowControl w:val="0"/>
        <w:suppressLineNumbers w:val="0"/>
        <w:kinsoku/>
        <w:overflowPunct/>
        <w:topLinePunct w:val="0"/>
        <w:autoSpaceDE w:val="0"/>
        <w:autoSpaceDN/>
        <w:bidi w:val="0"/>
        <w:adjustRightInd/>
        <w:snapToGrid w:val="0"/>
        <w:spacing w:before="0" w:beforeAutospacing="0" w:after="0" w:afterAutospacing="0" w:line="580" w:lineRule="exact"/>
        <w:ind w:left="0" w:right="0" w:firstLine="480" w:firstLineChars="200"/>
        <w:textAlignment w:val="auto"/>
        <w:rPr>
          <w:rFonts w:hint="default" w:ascii="仿宋_GB2312" w:eastAsia="仿宋_GB2312" w:cs="仿宋_GB2312"/>
          <w:color w:val="auto"/>
          <w:kern w:val="2"/>
          <w:sz w:val="24"/>
          <w:szCs w:val="24"/>
          <w:highlight w:val="none"/>
          <w:u w:val="single"/>
        </w:rPr>
      </w:pPr>
      <w:r>
        <w:rPr>
          <w:rFonts w:hint="default" w:ascii="仿宋_GB2312" w:eastAsia="仿宋_GB2312" w:cs="仿宋_GB2312"/>
          <w:color w:val="auto"/>
          <w:kern w:val="2"/>
          <w:sz w:val="24"/>
          <w:szCs w:val="24"/>
          <w:highlight w:val="none"/>
        </w:rPr>
        <w:t>2.</w:t>
      </w:r>
      <w:r>
        <w:rPr>
          <w:rFonts w:hint="eastAsia" w:ascii="仿宋_GB2312" w:eastAsia="仿宋_GB2312" w:cs="仿宋_GB2312"/>
          <w:color w:val="auto"/>
          <w:kern w:val="2"/>
          <w:sz w:val="24"/>
          <w:szCs w:val="24"/>
          <w:highlight w:val="none"/>
          <w:lang w:eastAsia="zh-CN"/>
        </w:rPr>
        <w:t>委托管理服务</w:t>
      </w:r>
      <w:r>
        <w:rPr>
          <w:rFonts w:hint="default" w:ascii="仿宋_GB2312" w:eastAsia="仿宋_GB2312" w:cs="仿宋_GB2312"/>
          <w:color w:val="auto"/>
          <w:kern w:val="2"/>
          <w:sz w:val="24"/>
          <w:szCs w:val="24"/>
          <w:highlight w:val="none"/>
        </w:rPr>
        <w:t>地点：</w:t>
      </w:r>
      <w:r>
        <w:rPr>
          <w:rFonts w:hint="eastAsia" w:ascii="仿宋_GB2312" w:eastAsia="仿宋_GB2312" w:cs="仿宋_GB2312"/>
          <w:color w:val="auto"/>
          <w:kern w:val="2"/>
          <w:sz w:val="24"/>
          <w:szCs w:val="24"/>
          <w:highlight w:val="none"/>
          <w:u w:val="single"/>
          <w:lang w:val="en-US" w:eastAsia="zh-CN"/>
        </w:rPr>
        <w:t>台州市文华小学食堂</w:t>
      </w:r>
    </w:p>
    <w:p w14:paraId="426EF2C9">
      <w:pPr>
        <w:pStyle w:val="13"/>
        <w:keepNext w:val="0"/>
        <w:keepLines w:val="0"/>
        <w:pageBreakBefore w:val="0"/>
        <w:widowControl w:val="0"/>
        <w:suppressLineNumbers w:val="0"/>
        <w:kinsoku/>
        <w:overflowPunct/>
        <w:topLinePunct w:val="0"/>
        <w:autoSpaceDE w:val="0"/>
        <w:autoSpaceDN/>
        <w:bidi w:val="0"/>
        <w:adjustRightInd/>
        <w:snapToGrid w:val="0"/>
        <w:spacing w:before="0" w:beforeAutospacing="0" w:after="0" w:afterAutospacing="0" w:line="580" w:lineRule="exact"/>
        <w:ind w:left="0" w:right="0" w:firstLine="480" w:firstLineChars="200"/>
        <w:textAlignment w:val="auto"/>
        <w:rPr>
          <w:rFonts w:hint="default" w:ascii="仿宋_GB2312" w:eastAsia="仿宋_GB2312" w:cs="仿宋_GB2312"/>
          <w:color w:val="auto"/>
          <w:kern w:val="2"/>
          <w:sz w:val="24"/>
          <w:szCs w:val="24"/>
          <w:highlight w:val="none"/>
        </w:rPr>
      </w:pPr>
      <w:r>
        <w:rPr>
          <w:rFonts w:hint="eastAsia" w:ascii="仿宋_GB2312" w:eastAsia="仿宋_GB2312" w:cs="仿宋_GB2312"/>
          <w:color w:val="auto"/>
          <w:kern w:val="2"/>
          <w:sz w:val="24"/>
          <w:szCs w:val="24"/>
          <w:highlight w:val="none"/>
          <w:u w:val="none"/>
          <w:lang w:val="en-US" w:eastAsia="zh-CN"/>
        </w:rPr>
        <w:t>3.委托</w:t>
      </w:r>
      <w:r>
        <w:rPr>
          <w:rFonts w:hint="eastAsia" w:ascii="仿宋_GB2312" w:eastAsia="仿宋_GB2312" w:cs="仿宋_GB2312"/>
          <w:color w:val="auto"/>
          <w:kern w:val="2"/>
          <w:sz w:val="24"/>
          <w:szCs w:val="24"/>
          <w:highlight w:val="none"/>
          <w:lang w:eastAsia="zh-CN"/>
        </w:rPr>
        <w:t>管理</w:t>
      </w:r>
      <w:r>
        <w:rPr>
          <w:rFonts w:hint="eastAsia" w:ascii="仿宋_GB2312" w:eastAsia="仿宋_GB2312" w:cs="仿宋_GB2312"/>
          <w:color w:val="auto"/>
          <w:kern w:val="2"/>
          <w:sz w:val="24"/>
          <w:szCs w:val="24"/>
          <w:highlight w:val="none"/>
          <w:u w:val="none"/>
          <w:lang w:val="en-US" w:eastAsia="zh-CN"/>
        </w:rPr>
        <w:t>服务内容：</w:t>
      </w:r>
      <w:r>
        <w:rPr>
          <w:rFonts w:hint="eastAsia" w:ascii="仿宋_GB2312" w:eastAsia="仿宋_GB2312" w:cs="仿宋_GB2312"/>
          <w:color w:val="auto"/>
          <w:kern w:val="2"/>
          <w:sz w:val="24"/>
          <w:szCs w:val="24"/>
          <w:highlight w:val="none"/>
          <w:u w:val="single"/>
          <w:lang w:val="en-US" w:eastAsia="zh-CN"/>
        </w:rPr>
        <w:t>食堂委托管理服务</w:t>
      </w:r>
      <w:r>
        <w:rPr>
          <w:rFonts w:hint="default" w:ascii="仿宋_GB2312" w:eastAsia="仿宋_GB2312" w:cs="仿宋_GB2312"/>
          <w:color w:val="auto"/>
          <w:kern w:val="2"/>
          <w:sz w:val="24"/>
          <w:szCs w:val="24"/>
          <w:highlight w:val="none"/>
          <w:u w:val="none"/>
        </w:rPr>
        <w:t xml:space="preserve"> </w:t>
      </w:r>
      <w:r>
        <w:rPr>
          <w:rFonts w:hint="default" w:ascii="仿宋_GB2312" w:eastAsia="仿宋_GB2312" w:cs="仿宋_GB2312"/>
          <w:color w:val="auto"/>
          <w:kern w:val="2"/>
          <w:sz w:val="24"/>
          <w:szCs w:val="24"/>
          <w:highlight w:val="none"/>
        </w:rPr>
        <w:t xml:space="preserve"> </w:t>
      </w:r>
    </w:p>
    <w:p w14:paraId="50222414">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Autospacing="0" w:after="0" w:afterAutospacing="0" w:line="580" w:lineRule="exact"/>
        <w:ind w:left="0" w:right="0" w:firstLine="640" w:firstLineChars="0"/>
        <w:jc w:val="left"/>
        <w:textAlignment w:val="auto"/>
        <w:rPr>
          <w:rFonts w:hint="eastAsia" w:ascii="黑体" w:hAnsi="黑体" w:eastAsia="黑体" w:cs="黑体"/>
          <w:b w:val="0"/>
          <w:color w:val="auto"/>
          <w:kern w:val="2"/>
          <w:sz w:val="24"/>
          <w:szCs w:val="24"/>
          <w:highlight w:val="none"/>
        </w:rPr>
      </w:pPr>
      <w:r>
        <w:rPr>
          <w:rFonts w:hint="eastAsia" w:ascii="黑体" w:hAnsi="黑体" w:eastAsia="黑体" w:cs="黑体"/>
          <w:b w:val="0"/>
          <w:color w:val="auto"/>
          <w:kern w:val="2"/>
          <w:sz w:val="24"/>
          <w:szCs w:val="24"/>
          <w:highlight w:val="none"/>
        </w:rPr>
        <w:t>二、合同期限</w:t>
      </w:r>
    </w:p>
    <w:p w14:paraId="749921F5">
      <w:pPr>
        <w:pStyle w:val="13"/>
        <w:keepNext w:val="0"/>
        <w:keepLines w:val="0"/>
        <w:pageBreakBefore w:val="0"/>
        <w:widowControl w:val="0"/>
        <w:suppressLineNumbers w:val="0"/>
        <w:kinsoku/>
        <w:overflowPunct/>
        <w:topLinePunct w:val="0"/>
        <w:autoSpaceDE w:val="0"/>
        <w:autoSpaceDN/>
        <w:bidi w:val="0"/>
        <w:adjustRightInd/>
        <w:snapToGrid w:val="0"/>
        <w:spacing w:before="0" w:beforeAutospacing="0" w:after="0" w:afterAutospacing="0" w:line="580" w:lineRule="exact"/>
        <w:ind w:left="0" w:right="0" w:firstLine="480" w:firstLineChars="200"/>
        <w:textAlignment w:val="auto"/>
        <w:rPr>
          <w:rFonts w:hint="default" w:ascii="仿宋_GB2312" w:eastAsia="仿宋_GB2312" w:cs="仿宋_GB2312"/>
          <w:color w:val="auto"/>
          <w:kern w:val="2"/>
          <w:sz w:val="24"/>
          <w:szCs w:val="24"/>
          <w:highlight w:val="none"/>
        </w:rPr>
      </w:pPr>
      <w:r>
        <w:rPr>
          <w:rFonts w:hint="default" w:ascii="仿宋_GB2312" w:eastAsia="仿宋_GB2312" w:cs="仿宋_GB2312"/>
          <w:color w:val="auto"/>
          <w:kern w:val="2"/>
          <w:sz w:val="24"/>
          <w:szCs w:val="24"/>
          <w:highlight w:val="none"/>
        </w:rPr>
        <w:t>本合同期限</w:t>
      </w:r>
      <w:r>
        <w:rPr>
          <w:rFonts w:hint="default" w:ascii="仿宋_GB2312" w:eastAsia="仿宋_GB2312" w:cs="仿宋_GB2312"/>
          <w:color w:val="auto"/>
          <w:kern w:val="2"/>
          <w:sz w:val="24"/>
          <w:szCs w:val="24"/>
          <w:highlight w:val="none"/>
          <w:u w:val="single"/>
        </w:rPr>
        <w:t xml:space="preserve">  </w:t>
      </w:r>
      <w:r>
        <w:rPr>
          <w:rFonts w:hint="default" w:ascii="仿宋_GB2312" w:eastAsia="仿宋_GB2312" w:cs="仿宋_GB2312"/>
          <w:color w:val="auto"/>
          <w:kern w:val="2"/>
          <w:sz w:val="24"/>
          <w:szCs w:val="24"/>
          <w:highlight w:val="none"/>
        </w:rPr>
        <w:t xml:space="preserve">年，即： </w:t>
      </w:r>
      <w:r>
        <w:rPr>
          <w:rFonts w:hint="default" w:ascii="仿宋_GB2312" w:eastAsia="仿宋_GB2312" w:cs="仿宋_GB2312"/>
          <w:color w:val="auto"/>
          <w:kern w:val="2"/>
          <w:sz w:val="24"/>
          <w:szCs w:val="24"/>
          <w:highlight w:val="none"/>
          <w:u w:val="single"/>
        </w:rPr>
        <w:t xml:space="preserve">   </w:t>
      </w:r>
      <w:r>
        <w:rPr>
          <w:rFonts w:hint="default" w:ascii="仿宋_GB2312" w:eastAsia="仿宋_GB2312" w:cs="仿宋_GB2312"/>
          <w:color w:val="auto"/>
          <w:kern w:val="2"/>
          <w:sz w:val="24"/>
          <w:szCs w:val="24"/>
          <w:highlight w:val="none"/>
        </w:rPr>
        <w:t>年</w:t>
      </w:r>
      <w:r>
        <w:rPr>
          <w:rFonts w:hint="default" w:ascii="仿宋_GB2312" w:eastAsia="仿宋_GB2312" w:cs="仿宋_GB2312"/>
          <w:color w:val="auto"/>
          <w:kern w:val="2"/>
          <w:sz w:val="24"/>
          <w:szCs w:val="24"/>
          <w:highlight w:val="none"/>
          <w:u w:val="single"/>
        </w:rPr>
        <w:t xml:space="preserve">  </w:t>
      </w:r>
      <w:r>
        <w:rPr>
          <w:rFonts w:hint="default" w:ascii="仿宋_GB2312" w:eastAsia="仿宋_GB2312" w:cs="仿宋_GB2312"/>
          <w:color w:val="auto"/>
          <w:kern w:val="2"/>
          <w:sz w:val="24"/>
          <w:szCs w:val="24"/>
          <w:highlight w:val="none"/>
        </w:rPr>
        <w:t>月</w:t>
      </w:r>
      <w:r>
        <w:rPr>
          <w:rFonts w:hint="default" w:ascii="仿宋_GB2312" w:eastAsia="仿宋_GB2312" w:cs="仿宋_GB2312"/>
          <w:color w:val="auto"/>
          <w:kern w:val="2"/>
          <w:sz w:val="24"/>
          <w:szCs w:val="24"/>
          <w:highlight w:val="none"/>
          <w:u w:val="single"/>
        </w:rPr>
        <w:t xml:space="preserve">  </w:t>
      </w:r>
      <w:r>
        <w:rPr>
          <w:rFonts w:hint="default" w:ascii="仿宋_GB2312" w:eastAsia="仿宋_GB2312" w:cs="仿宋_GB2312"/>
          <w:color w:val="auto"/>
          <w:kern w:val="2"/>
          <w:sz w:val="24"/>
          <w:szCs w:val="24"/>
          <w:highlight w:val="none"/>
        </w:rPr>
        <w:t>日至</w:t>
      </w:r>
      <w:r>
        <w:rPr>
          <w:rFonts w:hint="default" w:ascii="仿宋_GB2312" w:eastAsia="仿宋_GB2312" w:cs="仿宋_GB2312"/>
          <w:color w:val="auto"/>
          <w:kern w:val="2"/>
          <w:sz w:val="24"/>
          <w:szCs w:val="24"/>
          <w:highlight w:val="none"/>
          <w:u w:val="single"/>
        </w:rPr>
        <w:t xml:space="preserve">    </w:t>
      </w:r>
      <w:r>
        <w:rPr>
          <w:rFonts w:hint="default" w:ascii="仿宋_GB2312" w:eastAsia="仿宋_GB2312" w:cs="仿宋_GB2312"/>
          <w:color w:val="auto"/>
          <w:kern w:val="2"/>
          <w:sz w:val="24"/>
          <w:szCs w:val="24"/>
          <w:highlight w:val="none"/>
        </w:rPr>
        <w:t>年</w:t>
      </w:r>
      <w:r>
        <w:rPr>
          <w:rFonts w:hint="default" w:ascii="仿宋_GB2312" w:eastAsia="仿宋_GB2312" w:cs="仿宋_GB2312"/>
          <w:color w:val="auto"/>
          <w:kern w:val="2"/>
          <w:sz w:val="24"/>
          <w:szCs w:val="24"/>
          <w:highlight w:val="none"/>
          <w:u w:val="single"/>
        </w:rPr>
        <w:t xml:space="preserve">  </w:t>
      </w:r>
      <w:r>
        <w:rPr>
          <w:rFonts w:hint="default" w:ascii="仿宋_GB2312" w:eastAsia="仿宋_GB2312" w:cs="仿宋_GB2312"/>
          <w:color w:val="auto"/>
          <w:kern w:val="2"/>
          <w:sz w:val="24"/>
          <w:szCs w:val="24"/>
          <w:highlight w:val="none"/>
        </w:rPr>
        <w:t>月</w:t>
      </w:r>
      <w:r>
        <w:rPr>
          <w:rFonts w:hint="default" w:ascii="仿宋_GB2312" w:eastAsia="仿宋_GB2312" w:cs="仿宋_GB2312"/>
          <w:color w:val="auto"/>
          <w:kern w:val="2"/>
          <w:sz w:val="24"/>
          <w:szCs w:val="24"/>
          <w:highlight w:val="none"/>
          <w:u w:val="single"/>
        </w:rPr>
        <w:t xml:space="preserve">  </w:t>
      </w:r>
      <w:r>
        <w:rPr>
          <w:rFonts w:hint="default" w:ascii="仿宋_GB2312" w:eastAsia="仿宋_GB2312" w:cs="仿宋_GB2312"/>
          <w:color w:val="auto"/>
          <w:kern w:val="2"/>
          <w:sz w:val="24"/>
          <w:szCs w:val="24"/>
          <w:highlight w:val="none"/>
        </w:rPr>
        <w:t>日止。</w:t>
      </w:r>
    </w:p>
    <w:p w14:paraId="0CB4CA2E">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Autospacing="0" w:after="0" w:afterAutospacing="0" w:line="580" w:lineRule="exact"/>
        <w:ind w:left="0" w:right="0" w:firstLine="640" w:firstLineChars="0"/>
        <w:jc w:val="left"/>
        <w:textAlignment w:val="auto"/>
        <w:rPr>
          <w:rFonts w:hint="eastAsia" w:ascii="黑体" w:hAnsi="黑体" w:eastAsia="黑体" w:cs="黑体"/>
          <w:b w:val="0"/>
          <w:color w:val="auto"/>
          <w:kern w:val="2"/>
          <w:sz w:val="24"/>
          <w:szCs w:val="24"/>
          <w:highlight w:val="none"/>
        </w:rPr>
      </w:pPr>
      <w:r>
        <w:rPr>
          <w:rFonts w:hint="eastAsia" w:ascii="黑体" w:hAnsi="黑体" w:eastAsia="黑体" w:cs="黑体"/>
          <w:b w:val="0"/>
          <w:color w:val="auto"/>
          <w:kern w:val="2"/>
          <w:sz w:val="24"/>
          <w:szCs w:val="24"/>
          <w:highlight w:val="none"/>
          <w:lang w:val="en-US" w:eastAsia="zh-CN"/>
        </w:rPr>
        <w:t>三</w:t>
      </w:r>
      <w:r>
        <w:rPr>
          <w:rFonts w:hint="eastAsia" w:ascii="黑体" w:hAnsi="黑体" w:eastAsia="黑体" w:cs="黑体"/>
          <w:b w:val="0"/>
          <w:color w:val="auto"/>
          <w:kern w:val="2"/>
          <w:sz w:val="24"/>
          <w:szCs w:val="24"/>
          <w:highlight w:val="none"/>
        </w:rPr>
        <w:t>、</w:t>
      </w:r>
      <w:r>
        <w:rPr>
          <w:rFonts w:hint="eastAsia" w:ascii="黑体" w:hAnsi="黑体" w:eastAsia="黑体" w:cs="黑体"/>
          <w:color w:val="auto"/>
          <w:kern w:val="2"/>
          <w:sz w:val="24"/>
          <w:szCs w:val="24"/>
          <w:highlight w:val="none"/>
          <w:lang w:eastAsia="zh-CN"/>
        </w:rPr>
        <w:t>管理</w:t>
      </w:r>
      <w:r>
        <w:rPr>
          <w:rFonts w:hint="eastAsia" w:ascii="黑体" w:hAnsi="黑体" w:eastAsia="黑体" w:cs="黑体"/>
          <w:b w:val="0"/>
          <w:color w:val="auto"/>
          <w:kern w:val="2"/>
          <w:sz w:val="24"/>
          <w:szCs w:val="24"/>
          <w:highlight w:val="none"/>
          <w:lang w:val="en-US" w:eastAsia="zh-CN"/>
        </w:rPr>
        <w:t>服务的</w:t>
      </w:r>
      <w:r>
        <w:rPr>
          <w:rFonts w:hint="eastAsia" w:ascii="黑体" w:hAnsi="黑体" w:eastAsia="黑体" w:cs="黑体"/>
          <w:b w:val="0"/>
          <w:color w:val="auto"/>
          <w:kern w:val="2"/>
          <w:sz w:val="24"/>
          <w:szCs w:val="24"/>
          <w:highlight w:val="none"/>
        </w:rPr>
        <w:t>范围和时间</w:t>
      </w:r>
    </w:p>
    <w:p w14:paraId="3E6874DA">
      <w:pPr>
        <w:pStyle w:val="13"/>
        <w:keepNext w:val="0"/>
        <w:keepLines w:val="0"/>
        <w:pageBreakBefore w:val="0"/>
        <w:widowControl w:val="0"/>
        <w:suppressLineNumbers w:val="0"/>
        <w:kinsoku/>
        <w:overflowPunct/>
        <w:topLinePunct w:val="0"/>
        <w:autoSpaceDE w:val="0"/>
        <w:autoSpaceDN/>
        <w:bidi w:val="0"/>
        <w:adjustRightInd/>
        <w:snapToGrid w:val="0"/>
        <w:spacing w:before="0" w:beforeAutospacing="0" w:after="0" w:afterAutospacing="0" w:line="580" w:lineRule="exact"/>
        <w:ind w:left="0" w:right="0" w:firstLine="480" w:firstLineChars="200"/>
        <w:textAlignment w:val="auto"/>
        <w:rPr>
          <w:rFonts w:hint="default" w:ascii="仿宋_GB2312" w:eastAsia="仿宋_GB2312" w:cs="仿宋_GB2312"/>
          <w:color w:val="auto"/>
          <w:kern w:val="2"/>
          <w:sz w:val="24"/>
          <w:szCs w:val="24"/>
          <w:highlight w:val="none"/>
        </w:rPr>
      </w:pPr>
      <w:r>
        <w:rPr>
          <w:rFonts w:hint="default" w:ascii="仿宋_GB2312" w:eastAsia="仿宋_GB2312" w:cs="仿宋_GB2312"/>
          <w:color w:val="auto"/>
          <w:kern w:val="2"/>
          <w:sz w:val="24"/>
          <w:szCs w:val="24"/>
          <w:highlight w:val="none"/>
        </w:rPr>
        <w:t>乙方应负责为</w:t>
      </w:r>
      <w:r>
        <w:rPr>
          <w:rFonts w:hint="eastAsia" w:ascii="仿宋_GB2312" w:eastAsia="仿宋_GB2312" w:cs="仿宋_GB2312"/>
          <w:color w:val="auto"/>
          <w:kern w:val="2"/>
          <w:sz w:val="24"/>
          <w:szCs w:val="24"/>
          <w:highlight w:val="none"/>
          <w:lang w:val="en-US" w:eastAsia="zh-CN"/>
        </w:rPr>
        <w:t>甲方</w:t>
      </w:r>
      <w:r>
        <w:rPr>
          <w:rFonts w:hint="default" w:ascii="仿宋_GB2312" w:eastAsia="仿宋_GB2312" w:cs="仿宋_GB2312"/>
          <w:color w:val="auto"/>
          <w:kern w:val="2"/>
          <w:sz w:val="24"/>
          <w:szCs w:val="24"/>
          <w:highlight w:val="none"/>
        </w:rPr>
        <w:t>教职工和学生提供</w:t>
      </w:r>
      <w:r>
        <w:rPr>
          <w:rFonts w:hint="eastAsia" w:ascii="仿宋_GB2312" w:eastAsia="仿宋_GB2312" w:cs="仿宋_GB2312"/>
          <w:color w:val="auto"/>
          <w:kern w:val="2"/>
          <w:sz w:val="24"/>
          <w:szCs w:val="24"/>
          <w:highlight w:val="none"/>
          <w:lang w:eastAsia="zh-CN"/>
        </w:rPr>
        <w:t>优质</w:t>
      </w:r>
      <w:r>
        <w:rPr>
          <w:rFonts w:hint="default" w:ascii="仿宋_GB2312" w:eastAsia="仿宋_GB2312" w:cs="仿宋_GB2312"/>
          <w:color w:val="auto"/>
          <w:kern w:val="2"/>
          <w:sz w:val="24"/>
          <w:szCs w:val="24"/>
          <w:highlight w:val="none"/>
        </w:rPr>
        <w:t>餐饮服务，根据学校实际情况和</w:t>
      </w:r>
      <w:r>
        <w:rPr>
          <w:rFonts w:hint="eastAsia" w:ascii="仿宋_GB2312" w:eastAsia="仿宋_GB2312" w:cs="仿宋_GB2312"/>
          <w:kern w:val="2"/>
          <w:sz w:val="24"/>
          <w:szCs w:val="24"/>
          <w:highlight w:val="none"/>
          <w:lang w:val="en-US" w:eastAsia="zh-CN"/>
        </w:rPr>
        <w:t>师生餐饮</w:t>
      </w:r>
      <w:r>
        <w:rPr>
          <w:rFonts w:hint="default" w:ascii="仿宋_GB2312" w:eastAsia="仿宋_GB2312" w:cs="仿宋_GB2312"/>
          <w:kern w:val="2"/>
          <w:sz w:val="24"/>
          <w:szCs w:val="24"/>
          <w:highlight w:val="none"/>
        </w:rPr>
        <w:t>需求</w:t>
      </w:r>
      <w:r>
        <w:rPr>
          <w:rFonts w:hint="default" w:ascii="仿宋_GB2312" w:eastAsia="仿宋_GB2312" w:cs="仿宋_GB2312"/>
          <w:color w:val="auto"/>
          <w:kern w:val="2"/>
          <w:sz w:val="24"/>
          <w:szCs w:val="24"/>
          <w:highlight w:val="none"/>
        </w:rPr>
        <w:t>制定合理的</w:t>
      </w:r>
      <w:r>
        <w:rPr>
          <w:rFonts w:hint="eastAsia" w:ascii="仿宋_GB2312" w:eastAsia="仿宋_GB2312" w:cs="仿宋_GB2312"/>
          <w:color w:val="auto"/>
          <w:kern w:val="2"/>
          <w:sz w:val="24"/>
          <w:szCs w:val="24"/>
          <w:highlight w:val="none"/>
          <w:lang w:val="en-US" w:eastAsia="zh-CN"/>
        </w:rPr>
        <w:t>经营</w:t>
      </w:r>
      <w:r>
        <w:rPr>
          <w:rFonts w:hint="default" w:ascii="仿宋_GB2312" w:eastAsia="仿宋_GB2312" w:cs="仿宋_GB2312"/>
          <w:color w:val="auto"/>
          <w:kern w:val="2"/>
          <w:sz w:val="24"/>
          <w:szCs w:val="24"/>
          <w:highlight w:val="none"/>
        </w:rPr>
        <w:t>时间</w:t>
      </w:r>
      <w:r>
        <w:rPr>
          <w:rFonts w:hint="eastAsia" w:ascii="仿宋_GB2312" w:eastAsia="仿宋_GB2312" w:cs="仿宋_GB2312"/>
          <w:color w:val="auto"/>
          <w:kern w:val="2"/>
          <w:sz w:val="24"/>
          <w:szCs w:val="24"/>
          <w:highlight w:val="none"/>
          <w:lang w:eastAsia="zh-CN"/>
        </w:rPr>
        <w:t>。</w:t>
      </w:r>
    </w:p>
    <w:p w14:paraId="2B701FCD">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Autospacing="0" w:after="0" w:afterAutospacing="0" w:line="580" w:lineRule="exact"/>
        <w:ind w:left="0" w:right="0" w:firstLine="640" w:firstLineChars="0"/>
        <w:jc w:val="left"/>
        <w:textAlignment w:val="auto"/>
        <w:rPr>
          <w:rFonts w:hint="eastAsia" w:ascii="黑体" w:hAnsi="黑体" w:eastAsia="黑体" w:cs="黑体"/>
          <w:b w:val="0"/>
          <w:color w:val="auto"/>
          <w:kern w:val="2"/>
          <w:sz w:val="24"/>
          <w:szCs w:val="24"/>
          <w:highlight w:val="none"/>
        </w:rPr>
      </w:pPr>
      <w:r>
        <w:rPr>
          <w:rFonts w:hint="eastAsia" w:ascii="黑体" w:hAnsi="黑体" w:eastAsia="黑体" w:cs="黑体"/>
          <w:b w:val="0"/>
          <w:color w:val="auto"/>
          <w:kern w:val="2"/>
          <w:sz w:val="24"/>
          <w:szCs w:val="24"/>
          <w:highlight w:val="none"/>
          <w:lang w:val="en-US" w:eastAsia="zh-CN"/>
        </w:rPr>
        <w:t>四</w:t>
      </w:r>
      <w:r>
        <w:rPr>
          <w:rFonts w:hint="eastAsia" w:ascii="黑体" w:hAnsi="黑体" w:eastAsia="黑体" w:cs="黑体"/>
          <w:b w:val="0"/>
          <w:color w:val="auto"/>
          <w:kern w:val="2"/>
          <w:sz w:val="24"/>
          <w:szCs w:val="24"/>
          <w:highlight w:val="none"/>
        </w:rPr>
        <w:t>、费用及结算方式</w:t>
      </w:r>
    </w:p>
    <w:p w14:paraId="6809E69E">
      <w:pPr>
        <w:pStyle w:val="13"/>
        <w:keepNext w:val="0"/>
        <w:keepLines w:val="0"/>
        <w:pageBreakBefore w:val="0"/>
        <w:widowControl w:val="0"/>
        <w:suppressLineNumbers w:val="0"/>
        <w:kinsoku/>
        <w:overflowPunct/>
        <w:topLinePunct w:val="0"/>
        <w:autoSpaceDE w:val="0"/>
        <w:autoSpaceDN/>
        <w:bidi w:val="0"/>
        <w:adjustRightInd/>
        <w:snapToGrid w:val="0"/>
        <w:spacing w:before="0" w:beforeAutospacing="0" w:after="0" w:afterAutospacing="0" w:line="580" w:lineRule="exact"/>
        <w:ind w:left="0" w:right="0" w:firstLine="482" w:firstLineChars="200"/>
        <w:textAlignment w:val="auto"/>
        <w:rPr>
          <w:rFonts w:hint="default" w:ascii="仿宋_GB2312" w:eastAsia="仿宋_GB2312" w:cs="仿宋_GB2312"/>
          <w:b/>
          <w:bCs/>
          <w:color w:val="auto"/>
          <w:kern w:val="2"/>
          <w:sz w:val="24"/>
          <w:szCs w:val="24"/>
          <w:highlight w:val="none"/>
        </w:rPr>
      </w:pPr>
      <w:r>
        <w:rPr>
          <w:rFonts w:hint="eastAsia" w:ascii="仿宋_GB2312" w:eastAsia="仿宋_GB2312" w:cs="仿宋_GB2312"/>
          <w:b/>
          <w:bCs/>
          <w:color w:val="auto"/>
          <w:kern w:val="2"/>
          <w:sz w:val="24"/>
          <w:szCs w:val="24"/>
          <w:highlight w:val="none"/>
          <w:lang w:val="en-US" w:eastAsia="zh-CN"/>
        </w:rPr>
        <w:t>1</w:t>
      </w:r>
      <w:r>
        <w:rPr>
          <w:rFonts w:hint="default" w:ascii="仿宋_GB2312" w:eastAsia="仿宋_GB2312" w:cs="仿宋_GB2312"/>
          <w:b/>
          <w:bCs/>
          <w:color w:val="auto"/>
          <w:kern w:val="2"/>
          <w:sz w:val="24"/>
          <w:szCs w:val="24"/>
          <w:highlight w:val="none"/>
        </w:rPr>
        <w:t>.</w:t>
      </w:r>
      <w:r>
        <w:rPr>
          <w:rFonts w:hint="eastAsia" w:ascii="仿宋_GB2312" w:eastAsia="仿宋_GB2312" w:cs="仿宋_GB2312"/>
          <w:b/>
          <w:bCs/>
          <w:color w:val="auto"/>
          <w:kern w:val="2"/>
          <w:sz w:val="24"/>
          <w:szCs w:val="24"/>
          <w:highlight w:val="none"/>
          <w:lang w:val="en-US" w:eastAsia="zh-CN"/>
        </w:rPr>
        <w:t>服务</w:t>
      </w:r>
      <w:r>
        <w:rPr>
          <w:rFonts w:hint="default" w:ascii="仿宋_GB2312" w:eastAsia="仿宋_GB2312" w:cs="仿宋_GB2312"/>
          <w:b/>
          <w:bCs/>
          <w:color w:val="auto"/>
          <w:kern w:val="2"/>
          <w:sz w:val="24"/>
          <w:szCs w:val="24"/>
          <w:highlight w:val="none"/>
        </w:rPr>
        <w:t>费用</w:t>
      </w:r>
    </w:p>
    <w:p w14:paraId="68ECA4FE">
      <w:pPr>
        <w:pStyle w:val="13"/>
        <w:keepNext w:val="0"/>
        <w:keepLines w:val="0"/>
        <w:pageBreakBefore w:val="0"/>
        <w:widowControl w:val="0"/>
        <w:suppressLineNumbers w:val="0"/>
        <w:kinsoku/>
        <w:overflowPunct/>
        <w:topLinePunct w:val="0"/>
        <w:autoSpaceDE w:val="0"/>
        <w:autoSpaceDN/>
        <w:bidi w:val="0"/>
        <w:adjustRightInd/>
        <w:snapToGrid w:val="0"/>
        <w:spacing w:before="0" w:beforeAutospacing="0" w:after="0" w:afterAutospacing="0" w:line="580" w:lineRule="exact"/>
        <w:ind w:left="0" w:right="0" w:firstLine="480" w:firstLineChars="200"/>
        <w:textAlignment w:val="auto"/>
        <w:rPr>
          <w:rFonts w:hint="default" w:ascii="仿宋_GB2312" w:eastAsia="仿宋_GB2312" w:cs="仿宋_GB2312"/>
          <w:b w:val="0"/>
          <w:color w:val="auto"/>
          <w:kern w:val="2"/>
          <w:sz w:val="24"/>
          <w:szCs w:val="24"/>
          <w:highlight w:val="none"/>
        </w:rPr>
      </w:pPr>
      <w:r>
        <w:rPr>
          <w:rFonts w:hint="default" w:ascii="仿宋_GB2312" w:eastAsia="仿宋_GB2312" w:cs="仿宋_GB2312"/>
          <w:b w:val="0"/>
          <w:color w:val="auto"/>
          <w:kern w:val="2"/>
          <w:sz w:val="24"/>
          <w:szCs w:val="24"/>
          <w:highlight w:val="none"/>
        </w:rPr>
        <w:t>服务费用为</w:t>
      </w:r>
      <w:r>
        <w:rPr>
          <w:rFonts w:hint="default" w:ascii="仿宋_GB2312" w:eastAsia="仿宋_GB2312" w:cs="仿宋_GB2312"/>
          <w:b w:val="0"/>
          <w:color w:val="auto"/>
          <w:kern w:val="2"/>
          <w:sz w:val="24"/>
          <w:szCs w:val="24"/>
          <w:highlight w:val="none"/>
          <w:u w:val="single"/>
        </w:rPr>
        <w:t xml:space="preserve">             </w:t>
      </w:r>
      <w:r>
        <w:rPr>
          <w:rFonts w:hint="eastAsia" w:ascii="仿宋_GB2312" w:eastAsia="仿宋_GB2312" w:cs="仿宋_GB2312"/>
          <w:b w:val="0"/>
          <w:color w:val="auto"/>
          <w:kern w:val="2"/>
          <w:sz w:val="24"/>
          <w:szCs w:val="24"/>
          <w:highlight w:val="none"/>
          <w:u w:val="none"/>
          <w:lang w:eastAsia="zh-CN"/>
        </w:rPr>
        <w:t>，</w:t>
      </w:r>
      <w:r>
        <w:rPr>
          <w:rFonts w:hint="default" w:ascii="仿宋_GB2312" w:eastAsia="仿宋_GB2312" w:cs="仿宋_GB2312"/>
          <w:b w:val="0"/>
          <w:color w:val="auto"/>
          <w:kern w:val="2"/>
          <w:sz w:val="24"/>
          <w:szCs w:val="24"/>
          <w:highlight w:val="none"/>
          <w:u w:val="none"/>
        </w:rPr>
        <w:t>分为固定费用和考核费用两部分</w:t>
      </w:r>
      <w:r>
        <w:rPr>
          <w:rFonts w:hint="default" w:ascii="仿宋_GB2312" w:eastAsia="仿宋_GB2312" w:cs="仿宋_GB2312"/>
          <w:b w:val="0"/>
          <w:color w:val="auto"/>
          <w:kern w:val="2"/>
          <w:sz w:val="24"/>
          <w:szCs w:val="24"/>
          <w:highlight w:val="none"/>
        </w:rPr>
        <w:t>。</w:t>
      </w:r>
    </w:p>
    <w:p w14:paraId="138A57AF">
      <w:pPr>
        <w:pStyle w:val="13"/>
        <w:keepNext w:val="0"/>
        <w:keepLines w:val="0"/>
        <w:pageBreakBefore w:val="0"/>
        <w:widowControl w:val="0"/>
        <w:suppressLineNumbers w:val="0"/>
        <w:kinsoku/>
        <w:overflowPunct/>
        <w:topLinePunct w:val="0"/>
        <w:autoSpaceDE w:val="0"/>
        <w:autoSpaceDN/>
        <w:bidi w:val="0"/>
        <w:adjustRightInd/>
        <w:snapToGrid w:val="0"/>
        <w:spacing w:before="0" w:beforeAutospacing="0" w:after="0" w:afterAutospacing="0" w:line="580" w:lineRule="exact"/>
        <w:ind w:left="0" w:right="0" w:firstLine="482" w:firstLineChars="200"/>
        <w:textAlignment w:val="auto"/>
        <w:rPr>
          <w:rFonts w:hint="default" w:ascii="仿宋_GB2312" w:eastAsia="仿宋_GB2312" w:cs="仿宋_GB2312"/>
          <w:b/>
          <w:color w:val="auto"/>
          <w:kern w:val="2"/>
          <w:sz w:val="24"/>
          <w:szCs w:val="24"/>
          <w:highlight w:val="none"/>
        </w:rPr>
      </w:pPr>
      <w:r>
        <w:rPr>
          <w:rFonts w:hint="eastAsia" w:ascii="仿宋_GB2312" w:eastAsia="仿宋_GB2312" w:cs="仿宋_GB2312"/>
          <w:b/>
          <w:color w:val="auto"/>
          <w:kern w:val="2"/>
          <w:sz w:val="24"/>
          <w:szCs w:val="24"/>
          <w:highlight w:val="none"/>
          <w:lang w:val="en-US" w:eastAsia="zh-CN"/>
        </w:rPr>
        <w:t>2</w:t>
      </w:r>
      <w:r>
        <w:rPr>
          <w:rFonts w:hint="default" w:ascii="仿宋_GB2312" w:eastAsia="仿宋_GB2312" w:cs="仿宋_GB2312"/>
          <w:b/>
          <w:color w:val="auto"/>
          <w:kern w:val="2"/>
          <w:sz w:val="24"/>
          <w:szCs w:val="24"/>
          <w:highlight w:val="none"/>
        </w:rPr>
        <w:t>.支付方式</w:t>
      </w:r>
    </w:p>
    <w:p w14:paraId="3542D09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仿宋_GB2312" w:eastAsia="仿宋_GB2312" w:cs="仿宋_GB2312"/>
          <w:b w:val="0"/>
          <w:color w:val="auto"/>
          <w:kern w:val="2"/>
          <w:sz w:val="24"/>
          <w:szCs w:val="24"/>
          <w:highlight w:val="none"/>
          <w:lang w:eastAsia="zh-CN"/>
        </w:rPr>
      </w:pPr>
      <w:r>
        <w:rPr>
          <w:rFonts w:hint="eastAsia" w:ascii="仿宋_GB2312" w:eastAsia="仿宋_GB2312" w:cs="仿宋_GB2312"/>
          <w:b w:val="0"/>
          <w:color w:val="auto"/>
          <w:kern w:val="2"/>
          <w:sz w:val="24"/>
          <w:szCs w:val="24"/>
          <w:highlight w:val="none"/>
          <w:lang w:eastAsia="zh-CN"/>
        </w:rPr>
        <w:t>☑</w:t>
      </w:r>
      <w:r>
        <w:rPr>
          <w:rFonts w:hint="default" w:ascii="仿宋_GB2312" w:eastAsia="仿宋_GB2312" w:cs="仿宋_GB2312"/>
          <w:b w:val="0"/>
          <w:color w:val="auto"/>
          <w:kern w:val="2"/>
          <w:sz w:val="24"/>
          <w:szCs w:val="24"/>
          <w:highlight w:val="none"/>
          <w:u w:val="none"/>
        </w:rPr>
        <w:t>固定费用</w:t>
      </w:r>
      <w:r>
        <w:rPr>
          <w:rFonts w:hint="eastAsia" w:ascii="仿宋_GB2312" w:eastAsia="仿宋_GB2312" w:cs="仿宋_GB2312"/>
          <w:b w:val="0"/>
          <w:color w:val="auto"/>
          <w:kern w:val="2"/>
          <w:sz w:val="24"/>
          <w:szCs w:val="24"/>
          <w:highlight w:val="none"/>
          <w:u w:val="none"/>
          <w:lang w:eastAsia="zh-CN"/>
        </w:rPr>
        <w:t>，</w:t>
      </w:r>
      <w:r>
        <w:rPr>
          <w:rFonts w:hint="default" w:ascii="仿宋_GB2312" w:hAnsi="Times New Roman" w:eastAsia="仿宋_GB2312" w:cs="仿宋_GB2312"/>
          <w:b w:val="0"/>
          <w:color w:val="auto"/>
          <w:kern w:val="2"/>
          <w:sz w:val="24"/>
          <w:szCs w:val="24"/>
          <w:highlight w:val="none"/>
          <w:lang w:val="en-US" w:eastAsia="zh-CN"/>
        </w:rPr>
        <w:t>每月</w:t>
      </w:r>
      <w:r>
        <w:rPr>
          <w:rFonts w:hint="default" w:ascii="仿宋_GB2312" w:hAnsi="Times New Roman" w:eastAsia="仿宋_GB2312" w:cs="仿宋_GB2312"/>
          <w:b w:val="0"/>
          <w:color w:val="auto"/>
          <w:kern w:val="2"/>
          <w:sz w:val="24"/>
          <w:szCs w:val="24"/>
          <w:highlight w:val="none"/>
          <w:u w:val="single"/>
          <w:lang w:val="en-US" w:eastAsia="zh-CN"/>
        </w:rPr>
        <w:t xml:space="preserve"> </w:t>
      </w:r>
      <w:r>
        <w:rPr>
          <w:rFonts w:hint="eastAsia" w:ascii="仿宋_GB2312" w:hAnsi="Times New Roman" w:eastAsia="仿宋_GB2312" w:cs="仿宋_GB2312"/>
          <w:b w:val="0"/>
          <w:color w:val="auto"/>
          <w:kern w:val="2"/>
          <w:sz w:val="24"/>
          <w:szCs w:val="24"/>
          <w:highlight w:val="none"/>
          <w:u w:val="single"/>
          <w:lang w:val="en-US" w:eastAsia="zh-CN"/>
        </w:rPr>
        <w:t>10</w:t>
      </w:r>
      <w:r>
        <w:rPr>
          <w:rFonts w:hint="default" w:ascii="仿宋_GB2312" w:hAnsi="Times New Roman" w:eastAsia="仿宋_GB2312" w:cs="仿宋_GB2312"/>
          <w:b w:val="0"/>
          <w:color w:val="auto"/>
          <w:kern w:val="2"/>
          <w:sz w:val="24"/>
          <w:szCs w:val="24"/>
          <w:highlight w:val="none"/>
          <w:u w:val="single"/>
          <w:lang w:val="en-US" w:eastAsia="zh-CN"/>
        </w:rPr>
        <w:t xml:space="preserve"> </w:t>
      </w:r>
      <w:r>
        <w:rPr>
          <w:rFonts w:hint="default" w:ascii="仿宋_GB2312" w:hAnsi="Times New Roman" w:eastAsia="仿宋_GB2312" w:cs="仿宋_GB2312"/>
          <w:b w:val="0"/>
          <w:color w:val="auto"/>
          <w:kern w:val="2"/>
          <w:sz w:val="24"/>
          <w:szCs w:val="24"/>
          <w:highlight w:val="none"/>
          <w:lang w:val="en-US" w:eastAsia="zh-CN"/>
        </w:rPr>
        <w:t>日</w:t>
      </w:r>
      <w:r>
        <w:rPr>
          <w:rFonts w:hint="eastAsia" w:ascii="仿宋_GB2312" w:hAnsi="Times New Roman" w:eastAsia="仿宋_GB2312" w:cs="仿宋_GB2312"/>
          <w:b w:val="0"/>
          <w:color w:val="auto"/>
          <w:kern w:val="2"/>
          <w:sz w:val="24"/>
          <w:szCs w:val="24"/>
          <w:highlight w:val="none"/>
          <w:lang w:val="en-US" w:eastAsia="zh-CN"/>
        </w:rPr>
        <w:t>前</w:t>
      </w:r>
      <w:r>
        <w:rPr>
          <w:rFonts w:hint="default" w:ascii="仿宋_GB2312" w:hAnsi="Times New Roman" w:eastAsia="仿宋_GB2312" w:cs="仿宋_GB2312"/>
          <w:b w:val="0"/>
          <w:color w:val="auto"/>
          <w:kern w:val="2"/>
          <w:sz w:val="24"/>
          <w:szCs w:val="24"/>
          <w:highlight w:val="none"/>
          <w:lang w:val="en-US" w:eastAsia="zh-CN"/>
        </w:rPr>
        <w:t>，由乙方提供正式票据后支付</w:t>
      </w:r>
      <w:r>
        <w:rPr>
          <w:rFonts w:hint="eastAsia" w:ascii="仿宋_GB2312" w:hAnsi="Times New Roman" w:eastAsia="仿宋_GB2312" w:cs="仿宋_GB2312"/>
          <w:b w:val="0"/>
          <w:color w:val="auto"/>
          <w:kern w:val="2"/>
          <w:sz w:val="24"/>
          <w:szCs w:val="24"/>
          <w:highlight w:val="none"/>
          <w:lang w:val="en-US" w:eastAsia="zh-CN"/>
        </w:rPr>
        <w:t>，甲方</w:t>
      </w:r>
      <w:r>
        <w:rPr>
          <w:rFonts w:hint="default" w:ascii="仿宋_GB2312" w:hAnsi="Times New Roman" w:eastAsia="仿宋_GB2312" w:cs="仿宋_GB2312"/>
          <w:b w:val="0"/>
          <w:color w:val="auto"/>
          <w:kern w:val="2"/>
          <w:sz w:val="24"/>
          <w:szCs w:val="24"/>
          <w:highlight w:val="none"/>
          <w:lang w:val="en-US" w:eastAsia="zh-CN"/>
        </w:rPr>
        <w:t>每月支付</w:t>
      </w:r>
      <w:r>
        <w:rPr>
          <w:rFonts w:hint="eastAsia" w:ascii="仿宋_GB2312" w:hAnsi="Times New Roman" w:eastAsia="仿宋_GB2312" w:cs="仿宋_GB2312"/>
          <w:b w:val="0"/>
          <w:color w:val="auto"/>
          <w:kern w:val="2"/>
          <w:sz w:val="24"/>
          <w:szCs w:val="24"/>
          <w:highlight w:val="none"/>
          <w:lang w:val="en-US" w:eastAsia="zh-CN"/>
        </w:rPr>
        <w:t>上</w:t>
      </w:r>
      <w:r>
        <w:rPr>
          <w:rFonts w:hint="default" w:ascii="仿宋_GB2312" w:hAnsi="Times New Roman" w:eastAsia="仿宋_GB2312" w:cs="仿宋_GB2312"/>
          <w:b w:val="0"/>
          <w:color w:val="auto"/>
          <w:kern w:val="2"/>
          <w:sz w:val="24"/>
          <w:szCs w:val="24"/>
          <w:highlight w:val="none"/>
          <w:lang w:val="en-US" w:eastAsia="zh-CN"/>
        </w:rPr>
        <w:t>月服务费用的</w:t>
      </w:r>
      <w:r>
        <w:rPr>
          <w:rFonts w:hint="eastAsia" w:ascii="仿宋_GB2312" w:hAnsi="Times New Roman" w:eastAsia="仿宋_GB2312" w:cs="仿宋_GB2312"/>
          <w:b w:val="0"/>
          <w:color w:val="auto"/>
          <w:kern w:val="2"/>
          <w:sz w:val="24"/>
          <w:szCs w:val="24"/>
          <w:highlight w:val="none"/>
          <w:u w:val="single"/>
          <w:lang w:val="en-US" w:eastAsia="zh-CN"/>
        </w:rPr>
        <w:t>9</w:t>
      </w:r>
      <w:r>
        <w:rPr>
          <w:rFonts w:hint="eastAsia" w:ascii="仿宋_GB2312" w:eastAsia="仿宋_GB2312" w:cs="仿宋_GB2312"/>
          <w:b w:val="0"/>
          <w:color w:val="auto"/>
          <w:kern w:val="2"/>
          <w:sz w:val="24"/>
          <w:szCs w:val="24"/>
          <w:highlight w:val="none"/>
          <w:u w:val="single"/>
          <w:lang w:val="en-US" w:eastAsia="zh-CN"/>
        </w:rPr>
        <w:t>0</w:t>
      </w:r>
      <w:r>
        <w:rPr>
          <w:rFonts w:hint="default" w:ascii="仿宋_GB2312" w:hAnsi="Times New Roman" w:eastAsia="仿宋_GB2312" w:cs="仿宋_GB2312"/>
          <w:b w:val="0"/>
          <w:color w:val="auto"/>
          <w:kern w:val="2"/>
          <w:sz w:val="24"/>
          <w:szCs w:val="24"/>
          <w:highlight w:val="none"/>
          <w:lang w:val="en-US" w:eastAsia="zh-CN"/>
        </w:rPr>
        <w:t>%</w:t>
      </w:r>
      <w:r>
        <w:rPr>
          <w:rFonts w:hint="eastAsia" w:ascii="仿宋_GB2312" w:hAnsi="Times New Roman" w:eastAsia="仿宋_GB2312" w:cs="仿宋_GB2312"/>
          <w:b w:val="0"/>
          <w:color w:val="auto"/>
          <w:kern w:val="2"/>
          <w:sz w:val="24"/>
          <w:szCs w:val="24"/>
          <w:highlight w:val="none"/>
          <w:lang w:val="en-US" w:eastAsia="zh-CN"/>
        </w:rPr>
        <w:t>。</w:t>
      </w:r>
      <w:r>
        <w:rPr>
          <w:rFonts w:hint="default" w:ascii="仿宋_GB2312" w:eastAsia="仿宋_GB2312" w:cs="仿宋_GB2312"/>
          <w:b w:val="0"/>
          <w:color w:val="auto"/>
          <w:kern w:val="2"/>
          <w:sz w:val="24"/>
          <w:szCs w:val="24"/>
          <w:highlight w:val="none"/>
          <w:u w:val="none"/>
        </w:rPr>
        <w:t>考核费用</w:t>
      </w:r>
      <w:r>
        <w:rPr>
          <w:rFonts w:hint="eastAsia" w:ascii="仿宋_GB2312" w:eastAsia="仿宋_GB2312" w:cs="仿宋_GB2312"/>
          <w:b w:val="0"/>
          <w:color w:val="auto"/>
          <w:kern w:val="2"/>
          <w:sz w:val="24"/>
          <w:szCs w:val="24"/>
          <w:highlight w:val="none"/>
          <w:u w:val="none"/>
          <w:lang w:eastAsia="zh-CN"/>
        </w:rPr>
        <w:t>，</w:t>
      </w:r>
      <w:r>
        <w:rPr>
          <w:rFonts w:hint="eastAsia" w:ascii="仿宋_GB2312" w:hAnsi="Times New Roman" w:eastAsia="仿宋_GB2312" w:cs="仿宋_GB2312"/>
          <w:b w:val="0"/>
          <w:color w:val="auto"/>
          <w:kern w:val="2"/>
          <w:sz w:val="24"/>
          <w:szCs w:val="24"/>
          <w:highlight w:val="none"/>
          <w:lang w:val="en-US" w:eastAsia="zh-CN"/>
        </w:rPr>
        <w:t>甲方</w:t>
      </w:r>
      <w:r>
        <w:rPr>
          <w:rFonts w:hint="default" w:ascii="仿宋_GB2312" w:hAnsi="Times New Roman" w:eastAsia="仿宋_GB2312" w:cs="仿宋_GB2312"/>
          <w:color w:val="auto"/>
          <w:kern w:val="2"/>
          <w:sz w:val="24"/>
          <w:szCs w:val="24"/>
          <w:highlight w:val="none"/>
        </w:rPr>
        <w:t>每月提取</w:t>
      </w:r>
      <w:r>
        <w:rPr>
          <w:rFonts w:hint="eastAsia" w:ascii="仿宋_GB2312" w:hAnsi="Times New Roman" w:eastAsia="仿宋_GB2312" w:cs="仿宋_GB2312"/>
          <w:color w:val="auto"/>
          <w:kern w:val="2"/>
          <w:sz w:val="24"/>
          <w:szCs w:val="24"/>
          <w:highlight w:val="none"/>
          <w:lang w:eastAsia="zh-CN"/>
        </w:rPr>
        <w:t>的</w:t>
      </w:r>
      <w:r>
        <w:rPr>
          <w:rFonts w:hint="eastAsia" w:ascii="仿宋_GB2312" w:eastAsia="仿宋_GB2312" w:cs="仿宋_GB2312"/>
          <w:color w:val="auto"/>
          <w:kern w:val="2"/>
          <w:sz w:val="24"/>
          <w:szCs w:val="24"/>
          <w:highlight w:val="none"/>
          <w:lang w:val="en-US" w:eastAsia="zh-CN"/>
        </w:rPr>
        <w:t>10</w:t>
      </w:r>
      <w:r>
        <w:rPr>
          <w:rFonts w:hint="eastAsia" w:ascii="仿宋_GB2312" w:hAnsi="Times New Roman" w:eastAsia="仿宋_GB2312" w:cs="仿宋_GB2312"/>
          <w:color w:val="auto"/>
          <w:kern w:val="2"/>
          <w:sz w:val="24"/>
          <w:szCs w:val="24"/>
          <w:highlight w:val="none"/>
          <w:lang w:val="en-US" w:eastAsia="zh-CN"/>
        </w:rPr>
        <w:t>%</w:t>
      </w:r>
      <w:r>
        <w:rPr>
          <w:rFonts w:hint="default" w:ascii="仿宋_GB2312" w:hAnsi="Times New Roman" w:eastAsia="仿宋_GB2312" w:cs="仿宋_GB2312"/>
          <w:color w:val="auto"/>
          <w:kern w:val="2"/>
          <w:sz w:val="24"/>
          <w:szCs w:val="24"/>
          <w:highlight w:val="none"/>
        </w:rPr>
        <w:t>服务费用作为考核经费，根据每学期测评结果</w:t>
      </w:r>
      <w:r>
        <w:rPr>
          <w:rFonts w:hint="eastAsia" w:ascii="仿宋_GB2312" w:hAnsi="Times New Roman" w:eastAsia="仿宋_GB2312" w:cs="仿宋_GB2312"/>
          <w:color w:val="auto"/>
          <w:kern w:val="2"/>
          <w:sz w:val="24"/>
          <w:szCs w:val="24"/>
          <w:highlight w:val="none"/>
          <w:lang w:eastAsia="zh-CN"/>
        </w:rPr>
        <w:t>支付乙方，具体见</w:t>
      </w:r>
      <w:r>
        <w:rPr>
          <w:rFonts w:hint="default" w:ascii="仿宋_GB2312" w:hAnsi="Times New Roman" w:eastAsia="仿宋_GB2312" w:cs="仿宋_GB2312"/>
          <w:b w:val="0"/>
          <w:color w:val="auto"/>
          <w:kern w:val="2"/>
          <w:sz w:val="24"/>
          <w:szCs w:val="24"/>
          <w:highlight w:val="none"/>
          <w:lang w:val="en-US" w:eastAsia="zh-CN"/>
        </w:rPr>
        <w:t>食堂考核办法</w:t>
      </w:r>
      <w:r>
        <w:rPr>
          <w:rFonts w:hint="eastAsia" w:ascii="仿宋_GB2312" w:hAnsi="Times New Roman" w:eastAsia="仿宋_GB2312" w:cs="仿宋_GB2312"/>
          <w:b w:val="0"/>
          <w:color w:val="auto"/>
          <w:kern w:val="2"/>
          <w:sz w:val="24"/>
          <w:szCs w:val="24"/>
          <w:highlight w:val="none"/>
          <w:lang w:val="en-US" w:eastAsia="zh-CN"/>
        </w:rPr>
        <w:t>。</w:t>
      </w:r>
    </w:p>
    <w:p w14:paraId="79B392C6">
      <w:pPr>
        <w:pStyle w:val="13"/>
        <w:keepNext w:val="0"/>
        <w:keepLines w:val="0"/>
        <w:pageBreakBefore w:val="0"/>
        <w:widowControl w:val="0"/>
        <w:suppressLineNumbers w:val="0"/>
        <w:kinsoku/>
        <w:overflowPunct/>
        <w:topLinePunct w:val="0"/>
        <w:autoSpaceDE w:val="0"/>
        <w:autoSpaceDN/>
        <w:bidi w:val="0"/>
        <w:adjustRightInd/>
        <w:snapToGrid w:val="0"/>
        <w:spacing w:before="0" w:beforeAutospacing="0" w:after="0" w:afterAutospacing="0" w:line="580" w:lineRule="exact"/>
        <w:ind w:left="0" w:right="0" w:firstLine="482" w:firstLineChars="200"/>
        <w:textAlignment w:val="auto"/>
        <w:rPr>
          <w:rFonts w:hint="eastAsia" w:ascii="仿宋_GB2312" w:hAnsi="Courier New" w:eastAsia="仿宋_GB2312" w:cs="仿宋_GB2312"/>
          <w:b/>
          <w:color w:val="auto"/>
          <w:kern w:val="2"/>
          <w:sz w:val="24"/>
          <w:szCs w:val="24"/>
          <w:highlight w:val="none"/>
        </w:rPr>
      </w:pPr>
      <w:r>
        <w:rPr>
          <w:rFonts w:hint="eastAsia" w:ascii="仿宋_GB2312" w:hAnsi="Courier New" w:eastAsia="仿宋_GB2312" w:cs="仿宋_GB2312"/>
          <w:b/>
          <w:color w:val="auto"/>
          <w:kern w:val="2"/>
          <w:sz w:val="24"/>
          <w:szCs w:val="24"/>
          <w:highlight w:val="none"/>
          <w:lang w:val="en-US" w:eastAsia="zh-CN"/>
        </w:rPr>
        <w:t>3</w:t>
      </w:r>
      <w:r>
        <w:rPr>
          <w:rFonts w:hint="eastAsia" w:ascii="仿宋_GB2312" w:hAnsi="Courier New" w:eastAsia="仿宋_GB2312" w:cs="仿宋_GB2312"/>
          <w:b/>
          <w:color w:val="auto"/>
          <w:kern w:val="2"/>
          <w:sz w:val="24"/>
          <w:szCs w:val="24"/>
          <w:highlight w:val="none"/>
        </w:rPr>
        <w:t>.</w:t>
      </w:r>
      <w:r>
        <w:rPr>
          <w:rFonts w:hint="eastAsia" w:ascii="仿宋_GB2312" w:hAnsi="Courier New" w:eastAsia="仿宋_GB2312" w:cs="仿宋_GB2312"/>
          <w:b/>
          <w:color w:val="auto"/>
          <w:kern w:val="2"/>
          <w:sz w:val="24"/>
          <w:szCs w:val="24"/>
          <w:highlight w:val="none"/>
          <w:lang w:val="en-US" w:eastAsia="zh-CN"/>
        </w:rPr>
        <w:t>其他</w:t>
      </w:r>
      <w:r>
        <w:rPr>
          <w:rFonts w:hint="eastAsia" w:ascii="仿宋_GB2312" w:hAnsi="Courier New" w:eastAsia="仿宋_GB2312" w:cs="仿宋_GB2312"/>
          <w:b/>
          <w:color w:val="auto"/>
          <w:kern w:val="2"/>
          <w:sz w:val="24"/>
          <w:szCs w:val="24"/>
          <w:highlight w:val="none"/>
        </w:rPr>
        <w:t>费用承担。</w:t>
      </w:r>
    </w:p>
    <w:p w14:paraId="09AB14DD">
      <w:pPr>
        <w:pStyle w:val="13"/>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Autospacing="0" w:after="0" w:afterAutospacing="0" w:line="580" w:lineRule="exact"/>
        <w:ind w:left="0" w:leftChars="0" w:right="0" w:firstLine="480" w:firstLineChars="200"/>
        <w:textAlignment w:val="auto"/>
        <w:rPr>
          <w:rFonts w:hint="default" w:ascii="仿宋_GB2312" w:eastAsia="仿宋_GB2312" w:cs="仿宋_GB2312"/>
          <w:color w:val="auto"/>
          <w:kern w:val="2"/>
          <w:sz w:val="24"/>
          <w:szCs w:val="24"/>
          <w:highlight w:val="none"/>
          <w:u w:val="none"/>
          <w:lang w:val="en-US" w:eastAsia="zh-CN"/>
        </w:rPr>
      </w:pPr>
      <w:r>
        <w:rPr>
          <w:rFonts w:hint="eastAsia" w:ascii="仿宋_GB2312" w:eastAsia="仿宋_GB2312" w:cs="仿宋_GB2312"/>
          <w:color w:val="auto"/>
          <w:kern w:val="2"/>
          <w:sz w:val="24"/>
          <w:szCs w:val="24"/>
          <w:highlight w:val="none"/>
          <w:u w:val="none"/>
          <w:lang w:val="en-US" w:eastAsia="zh-CN"/>
        </w:rPr>
        <w:t>食责险。</w:t>
      </w:r>
      <w:r>
        <w:rPr>
          <w:rFonts w:hint="eastAsia" w:ascii="仿宋_GB2312" w:eastAsia="仿宋_GB2312" w:cs="仿宋_GB2312"/>
          <w:color w:val="auto"/>
          <w:kern w:val="2"/>
          <w:sz w:val="24"/>
          <w:szCs w:val="24"/>
          <w:highlight w:val="none"/>
          <w:u w:val="single"/>
          <w:lang w:val="en-US" w:eastAsia="zh-CN"/>
        </w:rPr>
        <w:t>乙方</w:t>
      </w:r>
      <w:r>
        <w:rPr>
          <w:rFonts w:hint="eastAsia" w:ascii="仿宋_GB2312" w:eastAsia="仿宋_GB2312" w:cs="仿宋_GB2312"/>
          <w:color w:val="auto"/>
          <w:kern w:val="2"/>
          <w:sz w:val="24"/>
          <w:szCs w:val="24"/>
          <w:highlight w:val="none"/>
          <w:u w:val="none"/>
          <w:lang w:val="en-US" w:eastAsia="zh-CN"/>
        </w:rPr>
        <w:t>购买校园食品安全责任保险</w:t>
      </w:r>
      <w:r>
        <w:rPr>
          <w:rFonts w:hint="eastAsia" w:ascii="仿宋_GB2312" w:hAnsi="Courier New" w:eastAsia="仿宋_GB2312" w:cs="仿宋_GB2312"/>
          <w:color w:val="auto"/>
          <w:kern w:val="2"/>
          <w:sz w:val="24"/>
          <w:szCs w:val="24"/>
          <w:highlight w:val="none"/>
          <w:u w:val="none"/>
        </w:rPr>
        <w:t>。</w:t>
      </w:r>
    </w:p>
    <w:p w14:paraId="5046C75A">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640" w:firstLineChars="0"/>
        <w:jc w:val="left"/>
        <w:textAlignment w:val="auto"/>
        <w:rPr>
          <w:rFonts w:hint="eastAsia" w:ascii="黑体" w:hAnsi="黑体" w:eastAsia="黑体" w:cs="黑体"/>
          <w:b w:val="0"/>
          <w:color w:val="auto"/>
          <w:kern w:val="2"/>
          <w:sz w:val="24"/>
          <w:szCs w:val="24"/>
          <w:highlight w:val="none"/>
        </w:rPr>
      </w:pPr>
      <w:r>
        <w:rPr>
          <w:rFonts w:hint="eastAsia" w:ascii="黑体" w:hAnsi="黑体" w:eastAsia="黑体" w:cs="黑体"/>
          <w:b w:val="0"/>
          <w:color w:val="auto"/>
          <w:kern w:val="2"/>
          <w:sz w:val="24"/>
          <w:szCs w:val="24"/>
          <w:highlight w:val="none"/>
          <w:lang w:val="en-US" w:eastAsia="zh-CN"/>
        </w:rPr>
        <w:t>五</w:t>
      </w:r>
      <w:r>
        <w:rPr>
          <w:rFonts w:hint="eastAsia" w:ascii="黑体" w:hAnsi="黑体" w:eastAsia="黑体" w:cs="黑体"/>
          <w:b w:val="0"/>
          <w:color w:val="auto"/>
          <w:kern w:val="2"/>
          <w:sz w:val="24"/>
          <w:szCs w:val="24"/>
          <w:highlight w:val="none"/>
        </w:rPr>
        <w:t>、人员要求</w:t>
      </w:r>
    </w:p>
    <w:p w14:paraId="2DE241C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仿宋_GB2312" w:hAnsi="Times New Roman" w:eastAsia="仿宋_GB2312" w:cs="仿宋_GB2312"/>
          <w:color w:val="auto"/>
          <w:kern w:val="2"/>
          <w:sz w:val="24"/>
          <w:szCs w:val="24"/>
          <w:highlight w:val="none"/>
          <w:lang w:val="en-US" w:eastAsia="zh-CN"/>
        </w:rPr>
      </w:pPr>
      <w:r>
        <w:rPr>
          <w:rFonts w:hint="default" w:ascii="仿宋_GB2312" w:hAnsi="Times New Roman" w:eastAsia="仿宋_GB2312" w:cs="仿宋_GB2312"/>
          <w:b/>
          <w:color w:val="auto"/>
          <w:kern w:val="2"/>
          <w:sz w:val="24"/>
          <w:szCs w:val="24"/>
          <w:highlight w:val="none"/>
          <w:lang w:val="en-US" w:eastAsia="zh-CN"/>
        </w:rPr>
        <w:t>1.服务团队组建。</w:t>
      </w:r>
      <w:r>
        <w:rPr>
          <w:rFonts w:hint="default" w:ascii="仿宋_GB2312" w:hAnsi="Times New Roman" w:eastAsia="仿宋_GB2312" w:cs="仿宋_GB2312"/>
          <w:color w:val="auto"/>
          <w:kern w:val="2"/>
          <w:sz w:val="24"/>
          <w:szCs w:val="24"/>
          <w:highlight w:val="none"/>
          <w:lang w:val="en-US" w:eastAsia="zh-CN"/>
        </w:rPr>
        <w:t>乙方根据甲方食堂的营业规模合理组建经营服务团队，按校区就餐人数和相关实际情况合理配置</w:t>
      </w:r>
      <w:r>
        <w:rPr>
          <w:rFonts w:hint="eastAsia" w:ascii="仿宋_GB2312" w:hAnsi="Times New Roman" w:eastAsia="仿宋_GB2312" w:cs="仿宋_GB2312"/>
          <w:color w:val="auto"/>
          <w:kern w:val="2"/>
          <w:sz w:val="24"/>
          <w:szCs w:val="24"/>
          <w:highlight w:val="none"/>
          <w:lang w:val="en-US" w:eastAsia="zh-CN"/>
        </w:rPr>
        <w:t>。</w:t>
      </w:r>
    </w:p>
    <w:p w14:paraId="6797ABF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仿宋_GB2312" w:hAnsi="Times New Roman" w:eastAsia="仿宋_GB2312" w:cs="仿宋_GB2312"/>
          <w:color w:val="auto"/>
          <w:kern w:val="2"/>
          <w:sz w:val="24"/>
          <w:szCs w:val="24"/>
          <w:highlight w:val="none"/>
          <w:lang w:val="en-US" w:eastAsia="zh-CN"/>
        </w:rPr>
      </w:pPr>
      <w:r>
        <w:rPr>
          <w:rFonts w:hint="eastAsia" w:ascii="仿宋_GB2312" w:hAnsi="Times New Roman" w:eastAsia="仿宋_GB2312" w:cs="仿宋_GB2312"/>
          <w:color w:val="auto"/>
          <w:kern w:val="2"/>
          <w:sz w:val="24"/>
          <w:szCs w:val="24"/>
          <w:highlight w:val="none"/>
          <w:lang w:val="en-US" w:eastAsia="zh-CN"/>
        </w:rPr>
        <w:t>服务团队负责人</w:t>
      </w:r>
      <w:r>
        <w:rPr>
          <w:rFonts w:hint="default" w:ascii="仿宋_GB2312" w:hAnsi="Times New Roman" w:eastAsia="仿宋_GB2312" w:cs="仿宋_GB2312"/>
          <w:color w:val="auto"/>
          <w:kern w:val="2"/>
          <w:sz w:val="24"/>
          <w:szCs w:val="24"/>
          <w:highlight w:val="none"/>
          <w:u w:val="single"/>
          <w:lang w:val="en-US" w:eastAsia="zh-CN"/>
        </w:rPr>
        <w:t xml:space="preserve">    </w:t>
      </w:r>
      <w:r>
        <w:rPr>
          <w:rFonts w:hint="eastAsia" w:ascii="仿宋_GB2312" w:hAnsi="Times New Roman" w:eastAsia="仿宋_GB2312" w:cs="仿宋_GB2312"/>
          <w:color w:val="auto"/>
          <w:kern w:val="2"/>
          <w:sz w:val="24"/>
          <w:szCs w:val="24"/>
          <w:highlight w:val="none"/>
          <w:u w:val="single"/>
          <w:lang w:val="en-US" w:eastAsia="zh-CN"/>
        </w:rPr>
        <w:t>1人</w:t>
      </w:r>
      <w:r>
        <w:rPr>
          <w:rFonts w:hint="default" w:ascii="仿宋_GB2312" w:hAnsi="Times New Roman" w:eastAsia="仿宋_GB2312" w:cs="仿宋_GB2312"/>
          <w:color w:val="auto"/>
          <w:kern w:val="2"/>
          <w:sz w:val="24"/>
          <w:szCs w:val="24"/>
          <w:highlight w:val="none"/>
          <w:u w:val="single"/>
          <w:lang w:val="en-US" w:eastAsia="zh-CN"/>
        </w:rPr>
        <w:t xml:space="preserve">                   </w:t>
      </w:r>
    </w:p>
    <w:p w14:paraId="1AFDD5E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default" w:ascii="仿宋_GB2312" w:hAnsi="Times New Roman" w:eastAsia="仿宋_GB2312" w:cs="仿宋_GB2312"/>
          <w:color w:val="auto"/>
          <w:kern w:val="2"/>
          <w:sz w:val="24"/>
          <w:szCs w:val="24"/>
          <w:highlight w:val="none"/>
          <w:lang w:val="en-US" w:eastAsia="zh-CN"/>
        </w:rPr>
      </w:pPr>
      <w:r>
        <w:rPr>
          <w:rFonts w:hint="default" w:ascii="仿宋_GB2312" w:hAnsi="Times New Roman" w:eastAsia="仿宋_GB2312" w:cs="仿宋_GB2312"/>
          <w:color w:val="auto"/>
          <w:kern w:val="2"/>
          <w:sz w:val="24"/>
          <w:szCs w:val="24"/>
          <w:highlight w:val="none"/>
          <w:lang w:val="en-US" w:eastAsia="zh-CN"/>
        </w:rPr>
        <w:t>工作人员配置总人数</w:t>
      </w:r>
      <w:r>
        <w:rPr>
          <w:rFonts w:hint="default" w:ascii="仿宋_GB2312" w:hAnsi="Times New Roman" w:eastAsia="仿宋_GB2312" w:cs="仿宋_GB2312"/>
          <w:color w:val="auto"/>
          <w:kern w:val="2"/>
          <w:sz w:val="24"/>
          <w:szCs w:val="24"/>
          <w:highlight w:val="none"/>
          <w:u w:val="single"/>
          <w:lang w:val="en-US" w:eastAsia="zh-CN"/>
        </w:rPr>
        <w:t xml:space="preserve">                                       </w:t>
      </w:r>
    </w:p>
    <w:p w14:paraId="1635581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default" w:ascii="仿宋_GB2312" w:eastAsia="仿宋_GB2312" w:cs="仿宋_GB2312"/>
          <w:color w:val="auto"/>
          <w:kern w:val="2"/>
          <w:sz w:val="24"/>
          <w:szCs w:val="24"/>
          <w:highlight w:val="none"/>
          <w:u w:val="single"/>
        </w:rPr>
      </w:pPr>
      <w:r>
        <w:rPr>
          <w:rFonts w:hint="default" w:ascii="仿宋_GB2312" w:hAnsi="Times New Roman" w:eastAsia="仿宋_GB2312" w:cs="仿宋_GB2312"/>
          <w:color w:val="auto"/>
          <w:kern w:val="2"/>
          <w:sz w:val="24"/>
          <w:szCs w:val="24"/>
          <w:highlight w:val="none"/>
          <w:lang w:val="en-US" w:eastAsia="zh-CN"/>
        </w:rPr>
        <w:t>具体人员安排</w:t>
      </w:r>
      <w:r>
        <w:rPr>
          <w:rFonts w:hint="default" w:ascii="仿宋_GB2312" w:hAnsi="Times New Roman" w:eastAsia="仿宋_GB2312" w:cs="仿宋_GB2312"/>
          <w:color w:val="auto"/>
          <w:kern w:val="2"/>
          <w:sz w:val="24"/>
          <w:szCs w:val="24"/>
          <w:highlight w:val="none"/>
          <w:u w:val="single"/>
          <w:lang w:val="en-US" w:eastAsia="zh-CN"/>
        </w:rPr>
        <w:t xml:space="preserve">                                             </w:t>
      </w:r>
    </w:p>
    <w:p w14:paraId="68AC7C95">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0" w:firstLineChars="0"/>
        <w:textAlignment w:val="auto"/>
        <w:rPr>
          <w:rFonts w:hint="default" w:ascii="仿宋_GB2312" w:eastAsia="仿宋_GB2312" w:cs="仿宋_GB2312"/>
          <w:color w:val="auto"/>
          <w:kern w:val="2"/>
          <w:sz w:val="24"/>
          <w:szCs w:val="24"/>
          <w:highlight w:val="none"/>
          <w:u w:val="single"/>
        </w:rPr>
      </w:pPr>
      <w:r>
        <w:rPr>
          <w:rFonts w:hint="default" w:ascii="仿宋_GB2312" w:eastAsia="仿宋_GB2312" w:cs="仿宋_GB2312"/>
          <w:color w:val="auto"/>
          <w:kern w:val="2"/>
          <w:sz w:val="24"/>
          <w:szCs w:val="24"/>
          <w:highlight w:val="none"/>
          <w:u w:val="single"/>
        </w:rPr>
        <w:t xml:space="preserve">                                                                                </w:t>
      </w:r>
    </w:p>
    <w:p w14:paraId="668B81C7">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0" w:firstLineChars="0"/>
        <w:textAlignment w:val="auto"/>
        <w:rPr>
          <w:rFonts w:hint="default" w:ascii="仿宋_GB2312" w:eastAsia="仿宋_GB2312" w:cs="仿宋_GB2312"/>
          <w:b/>
          <w:color w:val="auto"/>
          <w:kern w:val="2"/>
          <w:sz w:val="24"/>
          <w:szCs w:val="24"/>
          <w:highlight w:val="none"/>
        </w:rPr>
      </w:pPr>
      <w:r>
        <w:rPr>
          <w:rFonts w:hint="default" w:ascii="仿宋_GB2312" w:eastAsia="仿宋_GB2312" w:cs="仿宋_GB2312"/>
          <w:color w:val="auto"/>
          <w:kern w:val="2"/>
          <w:sz w:val="24"/>
          <w:szCs w:val="24"/>
          <w:highlight w:val="none"/>
        </w:rPr>
        <w:t xml:space="preserve">    </w:t>
      </w:r>
      <w:r>
        <w:rPr>
          <w:rFonts w:hint="default" w:ascii="仿宋_GB2312" w:eastAsia="仿宋_GB2312" w:cs="仿宋_GB2312"/>
          <w:b/>
          <w:color w:val="auto"/>
          <w:kern w:val="2"/>
          <w:sz w:val="24"/>
          <w:szCs w:val="24"/>
          <w:highlight w:val="none"/>
        </w:rPr>
        <w:t>2.人员</w:t>
      </w:r>
      <w:r>
        <w:rPr>
          <w:rFonts w:hint="eastAsia" w:ascii="仿宋_GB2312" w:eastAsia="仿宋_GB2312" w:cs="仿宋_GB2312"/>
          <w:b/>
          <w:color w:val="auto"/>
          <w:kern w:val="2"/>
          <w:sz w:val="24"/>
          <w:szCs w:val="24"/>
          <w:highlight w:val="none"/>
          <w:lang w:eastAsia="zh-CN"/>
        </w:rPr>
        <w:t>证明</w:t>
      </w:r>
      <w:r>
        <w:rPr>
          <w:rFonts w:hint="default" w:ascii="仿宋_GB2312" w:eastAsia="仿宋_GB2312" w:cs="仿宋_GB2312"/>
          <w:b/>
          <w:color w:val="auto"/>
          <w:kern w:val="2"/>
          <w:sz w:val="24"/>
          <w:szCs w:val="24"/>
          <w:highlight w:val="none"/>
        </w:rPr>
        <w:t>。</w:t>
      </w:r>
    </w:p>
    <w:p w14:paraId="5D493632">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textAlignment w:val="auto"/>
        <w:rPr>
          <w:rFonts w:hint="default" w:ascii="仿宋_GB2312" w:eastAsia="仿宋_GB2312" w:cs="仿宋_GB2312"/>
          <w:color w:val="auto"/>
          <w:kern w:val="2"/>
          <w:sz w:val="24"/>
          <w:szCs w:val="24"/>
          <w:highlight w:val="none"/>
        </w:rPr>
      </w:pPr>
      <w:r>
        <w:rPr>
          <w:rFonts w:hint="eastAsia" w:ascii="仿宋_GB2312" w:eastAsia="仿宋_GB2312" w:cs="仿宋_GB2312"/>
          <w:color w:val="auto"/>
          <w:kern w:val="2"/>
          <w:sz w:val="24"/>
          <w:szCs w:val="24"/>
          <w:highlight w:val="none"/>
          <w:lang w:val="en-US" w:eastAsia="zh-CN"/>
        </w:rPr>
        <w:t>2.1</w:t>
      </w:r>
      <w:r>
        <w:rPr>
          <w:rFonts w:hint="default" w:ascii="仿宋_GB2312" w:eastAsia="仿宋_GB2312" w:cs="仿宋_GB2312"/>
          <w:color w:val="auto"/>
          <w:kern w:val="2"/>
          <w:sz w:val="24"/>
          <w:szCs w:val="24"/>
          <w:highlight w:val="none"/>
        </w:rPr>
        <w:t>工作人员</w:t>
      </w:r>
      <w:r>
        <w:rPr>
          <w:rFonts w:hint="eastAsia" w:ascii="仿宋_GB2312" w:eastAsia="仿宋_GB2312" w:cs="仿宋_GB2312"/>
          <w:color w:val="auto"/>
          <w:kern w:val="2"/>
          <w:sz w:val="24"/>
          <w:szCs w:val="24"/>
          <w:highlight w:val="none"/>
          <w:lang w:eastAsia="zh-CN"/>
        </w:rPr>
        <w:t>应</w:t>
      </w:r>
      <w:r>
        <w:rPr>
          <w:rFonts w:hint="default" w:ascii="仿宋_GB2312" w:eastAsia="仿宋_GB2312" w:cs="仿宋_GB2312"/>
          <w:color w:val="auto"/>
          <w:kern w:val="2"/>
          <w:sz w:val="24"/>
          <w:szCs w:val="24"/>
          <w:highlight w:val="none"/>
        </w:rPr>
        <w:t>进行岗前培训，取得</w:t>
      </w:r>
      <w:r>
        <w:rPr>
          <w:rFonts w:hint="eastAsia" w:ascii="仿宋_GB2312" w:eastAsia="仿宋_GB2312" w:cs="仿宋_GB2312"/>
          <w:color w:val="auto"/>
          <w:kern w:val="2"/>
          <w:sz w:val="24"/>
          <w:szCs w:val="24"/>
          <w:highlight w:val="none"/>
          <w:lang w:eastAsia="zh-CN"/>
        </w:rPr>
        <w:t>“</w:t>
      </w:r>
      <w:r>
        <w:rPr>
          <w:rFonts w:hint="default" w:ascii="仿宋_GB2312" w:eastAsia="仿宋_GB2312" w:cs="仿宋_GB2312"/>
          <w:color w:val="auto"/>
          <w:kern w:val="2"/>
          <w:sz w:val="24"/>
          <w:szCs w:val="24"/>
          <w:highlight w:val="none"/>
        </w:rPr>
        <w:t>预防性健康体检合格证明</w:t>
      </w:r>
      <w:r>
        <w:rPr>
          <w:rFonts w:hint="eastAsia" w:ascii="仿宋_GB2312" w:eastAsia="仿宋_GB2312" w:cs="仿宋_GB2312"/>
          <w:color w:val="auto"/>
          <w:kern w:val="2"/>
          <w:sz w:val="24"/>
          <w:szCs w:val="24"/>
          <w:highlight w:val="none"/>
          <w:lang w:eastAsia="zh-CN"/>
        </w:rPr>
        <w:t>”</w:t>
      </w:r>
      <w:r>
        <w:rPr>
          <w:rFonts w:hint="default" w:ascii="仿宋_GB2312" w:eastAsia="仿宋_GB2312" w:cs="仿宋_GB2312"/>
          <w:color w:val="auto"/>
          <w:kern w:val="2"/>
          <w:sz w:val="24"/>
          <w:szCs w:val="24"/>
          <w:highlight w:val="none"/>
        </w:rPr>
        <w:t>后方可上岗，</w:t>
      </w:r>
      <w:r>
        <w:rPr>
          <w:rFonts w:hint="eastAsia" w:ascii="仿宋_GB2312" w:eastAsia="仿宋_GB2312" w:cs="仿宋_GB2312"/>
          <w:b w:val="0"/>
          <w:color w:val="auto"/>
          <w:kern w:val="2"/>
          <w:sz w:val="24"/>
          <w:szCs w:val="24"/>
          <w:highlight w:val="none"/>
          <w:lang w:eastAsia="zh-CN"/>
        </w:rPr>
        <w:t>☑</w:t>
      </w:r>
      <w:r>
        <w:rPr>
          <w:rFonts w:hint="eastAsia" w:ascii="仿宋_GB2312" w:eastAsia="仿宋_GB2312" w:cs="仿宋_GB2312"/>
          <w:color w:val="auto"/>
          <w:kern w:val="2"/>
          <w:sz w:val="24"/>
          <w:szCs w:val="24"/>
          <w:highlight w:val="none"/>
          <w:lang w:val="en-US" w:eastAsia="zh-CN"/>
        </w:rPr>
        <w:t>厨师、</w:t>
      </w:r>
      <w:r>
        <w:rPr>
          <w:rFonts w:hint="eastAsia" w:ascii="仿宋_GB2312" w:eastAsia="仿宋_GB2312" w:cs="仿宋_GB2312"/>
          <w:b w:val="0"/>
          <w:color w:val="auto"/>
          <w:kern w:val="2"/>
          <w:sz w:val="24"/>
          <w:szCs w:val="24"/>
          <w:highlight w:val="none"/>
          <w:lang w:eastAsia="zh-CN"/>
        </w:rPr>
        <w:t>☑</w:t>
      </w:r>
      <w:r>
        <w:rPr>
          <w:rFonts w:hint="eastAsia" w:ascii="仿宋_GB2312" w:eastAsia="仿宋_GB2312" w:cs="仿宋_GB2312"/>
          <w:color w:val="auto"/>
          <w:kern w:val="2"/>
          <w:sz w:val="24"/>
          <w:szCs w:val="24"/>
          <w:highlight w:val="none"/>
          <w:lang w:val="en-US" w:eastAsia="zh-CN"/>
        </w:rPr>
        <w:t>面点师、</w:t>
      </w:r>
      <w:r>
        <w:rPr>
          <w:rFonts w:hint="eastAsia" w:ascii="仿宋_GB2312" w:eastAsia="仿宋_GB2312" w:cs="仿宋_GB2312"/>
          <w:b w:val="0"/>
          <w:color w:val="auto"/>
          <w:kern w:val="2"/>
          <w:sz w:val="24"/>
          <w:szCs w:val="24"/>
          <w:highlight w:val="none"/>
          <w:lang w:eastAsia="zh-CN"/>
        </w:rPr>
        <w:t>□</w:t>
      </w:r>
      <w:r>
        <w:rPr>
          <w:rFonts w:hint="eastAsia" w:ascii="仿宋_GB2312" w:eastAsia="仿宋_GB2312" w:cs="仿宋_GB2312"/>
          <w:color w:val="auto"/>
          <w:kern w:val="2"/>
          <w:sz w:val="24"/>
          <w:szCs w:val="24"/>
          <w:highlight w:val="none"/>
          <w:lang w:val="en-US" w:eastAsia="zh-CN"/>
        </w:rPr>
        <w:t>营养师等</w:t>
      </w:r>
      <w:r>
        <w:rPr>
          <w:rFonts w:hint="default" w:ascii="仿宋_GB2312" w:eastAsia="仿宋_GB2312" w:cs="仿宋_GB2312"/>
          <w:color w:val="auto"/>
          <w:kern w:val="2"/>
          <w:sz w:val="24"/>
          <w:szCs w:val="24"/>
          <w:highlight w:val="none"/>
        </w:rPr>
        <w:t>特殊岗位工作人员</w:t>
      </w:r>
      <w:r>
        <w:rPr>
          <w:rFonts w:hint="eastAsia" w:ascii="仿宋_GB2312" w:eastAsia="仿宋_GB2312" w:cs="仿宋_GB2312"/>
          <w:color w:val="auto"/>
          <w:kern w:val="2"/>
          <w:sz w:val="24"/>
          <w:szCs w:val="24"/>
          <w:highlight w:val="none"/>
          <w:lang w:eastAsia="zh-CN"/>
        </w:rPr>
        <w:t>应</w:t>
      </w:r>
      <w:r>
        <w:rPr>
          <w:rFonts w:hint="default" w:ascii="仿宋_GB2312" w:eastAsia="仿宋_GB2312" w:cs="仿宋_GB2312"/>
          <w:color w:val="auto"/>
          <w:kern w:val="2"/>
          <w:sz w:val="24"/>
          <w:szCs w:val="24"/>
          <w:highlight w:val="none"/>
        </w:rPr>
        <w:t>取得相关证书。</w:t>
      </w:r>
    </w:p>
    <w:p w14:paraId="1B7F6D1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textAlignment w:val="auto"/>
        <w:rPr>
          <w:rFonts w:hint="eastAsia" w:ascii="仿宋_GB2312" w:hAnsi="Times New Roman" w:eastAsia="仿宋_GB2312" w:cs="仿宋_GB2312"/>
          <w:color w:val="auto"/>
          <w:kern w:val="2"/>
          <w:sz w:val="24"/>
          <w:szCs w:val="24"/>
          <w:highlight w:val="none"/>
        </w:rPr>
      </w:pPr>
      <w:r>
        <w:rPr>
          <w:rFonts w:hint="eastAsia" w:ascii="仿宋_GB2312" w:hAnsi="Times New Roman" w:eastAsia="仿宋_GB2312" w:cs="仿宋_GB2312"/>
          <w:color w:val="auto"/>
          <w:kern w:val="2"/>
          <w:sz w:val="24"/>
          <w:szCs w:val="24"/>
          <w:highlight w:val="none"/>
          <w:lang w:val="en-US" w:eastAsia="zh-CN"/>
        </w:rPr>
        <w:t>2.2乙方应提供由公安部门开具的服务团队工作人员的无犯罪记录证明。</w:t>
      </w:r>
    </w:p>
    <w:p w14:paraId="62D8A255">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640" w:firstLineChars="0"/>
        <w:jc w:val="left"/>
        <w:textAlignment w:val="auto"/>
        <w:rPr>
          <w:rFonts w:hint="eastAsia" w:ascii="黑体" w:hAnsi="黑体" w:eastAsia="黑体" w:cs="黑体"/>
          <w:b w:val="0"/>
          <w:color w:val="auto"/>
          <w:kern w:val="2"/>
          <w:sz w:val="24"/>
          <w:szCs w:val="24"/>
          <w:highlight w:val="none"/>
        </w:rPr>
      </w:pPr>
      <w:r>
        <w:rPr>
          <w:rFonts w:hint="eastAsia" w:ascii="黑体" w:hAnsi="黑体" w:eastAsia="黑体" w:cs="黑体"/>
          <w:b w:val="0"/>
          <w:color w:val="auto"/>
          <w:kern w:val="2"/>
          <w:sz w:val="24"/>
          <w:szCs w:val="24"/>
          <w:highlight w:val="none"/>
          <w:lang w:val="en-US" w:eastAsia="zh-CN"/>
        </w:rPr>
        <w:t>六</w:t>
      </w:r>
      <w:r>
        <w:rPr>
          <w:rFonts w:hint="eastAsia" w:ascii="黑体" w:hAnsi="黑体" w:eastAsia="黑体" w:cs="黑体"/>
          <w:b w:val="0"/>
          <w:color w:val="auto"/>
          <w:kern w:val="2"/>
          <w:sz w:val="24"/>
          <w:szCs w:val="24"/>
          <w:highlight w:val="none"/>
        </w:rPr>
        <w:t>、甲方权利与义务</w:t>
      </w:r>
    </w:p>
    <w:p w14:paraId="2F639C4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default" w:ascii="仿宋_GB2312" w:eastAsia="仿宋_GB2312" w:cs="仿宋_GB2312"/>
          <w:b w:val="0"/>
          <w:color w:val="auto"/>
          <w:kern w:val="2"/>
          <w:sz w:val="24"/>
          <w:szCs w:val="24"/>
          <w:highlight w:val="none"/>
        </w:rPr>
      </w:pPr>
      <w:r>
        <w:rPr>
          <w:rFonts w:hint="default" w:ascii="仿宋_GB2312" w:hAnsi="Times New Roman" w:eastAsia="仿宋_GB2312" w:cs="仿宋_GB2312"/>
          <w:b/>
          <w:color w:val="auto"/>
          <w:kern w:val="2"/>
          <w:sz w:val="24"/>
          <w:szCs w:val="24"/>
          <w:highlight w:val="none"/>
          <w:lang w:val="en-US" w:eastAsia="zh-CN"/>
        </w:rPr>
        <w:t>1.主体责任。</w:t>
      </w:r>
      <w:r>
        <w:rPr>
          <w:rFonts w:hint="default" w:ascii="仿宋_GB2312" w:hAnsi="Times New Roman" w:eastAsia="仿宋_GB2312" w:cs="仿宋_GB2312"/>
          <w:b w:val="0"/>
          <w:color w:val="auto"/>
          <w:kern w:val="2"/>
          <w:sz w:val="24"/>
          <w:szCs w:val="24"/>
          <w:highlight w:val="none"/>
          <w:lang w:val="en-US" w:eastAsia="zh-CN"/>
        </w:rPr>
        <w:t>甲方</w:t>
      </w:r>
      <w:r>
        <w:rPr>
          <w:rFonts w:hint="eastAsia" w:ascii="仿宋_GB2312" w:hAnsi="Times New Roman" w:eastAsia="仿宋_GB2312" w:cs="仿宋_GB2312"/>
          <w:b w:val="0"/>
          <w:color w:val="auto"/>
          <w:kern w:val="2"/>
          <w:sz w:val="24"/>
          <w:szCs w:val="24"/>
          <w:highlight w:val="none"/>
          <w:lang w:val="en-US" w:eastAsia="zh-CN"/>
        </w:rPr>
        <w:t>应</w:t>
      </w:r>
      <w:r>
        <w:rPr>
          <w:rFonts w:hint="default" w:ascii="仿宋_GB2312" w:hAnsi="Times New Roman" w:eastAsia="仿宋_GB2312" w:cs="仿宋_GB2312"/>
          <w:b w:val="0"/>
          <w:color w:val="auto"/>
          <w:kern w:val="2"/>
          <w:sz w:val="24"/>
          <w:szCs w:val="24"/>
          <w:highlight w:val="none"/>
          <w:lang w:val="en-US" w:eastAsia="zh-CN"/>
        </w:rPr>
        <w:t>取得学校食堂</w:t>
      </w:r>
      <w:r>
        <w:rPr>
          <w:rFonts w:hint="eastAsia" w:ascii="仿宋_GB2312" w:hAnsi="Times New Roman" w:eastAsia="仿宋_GB2312" w:cs="仿宋_GB2312"/>
          <w:b w:val="0"/>
          <w:color w:val="auto"/>
          <w:kern w:val="2"/>
          <w:sz w:val="24"/>
          <w:szCs w:val="24"/>
          <w:highlight w:val="none"/>
          <w:lang w:val="en-US" w:eastAsia="zh-CN"/>
        </w:rPr>
        <w:t>《</w:t>
      </w:r>
      <w:r>
        <w:rPr>
          <w:rFonts w:hint="default" w:ascii="仿宋_GB2312" w:hAnsi="Times New Roman" w:eastAsia="仿宋_GB2312" w:cs="仿宋_GB2312"/>
          <w:b w:val="0"/>
          <w:color w:val="auto"/>
          <w:kern w:val="2"/>
          <w:sz w:val="24"/>
          <w:szCs w:val="24"/>
          <w:highlight w:val="none"/>
          <w:lang w:val="en-US" w:eastAsia="zh-CN"/>
        </w:rPr>
        <w:t>食品经营许可证</w:t>
      </w:r>
      <w:r>
        <w:rPr>
          <w:rFonts w:hint="eastAsia" w:ascii="仿宋_GB2312" w:hAnsi="Times New Roman" w:eastAsia="仿宋_GB2312" w:cs="仿宋_GB2312"/>
          <w:b w:val="0"/>
          <w:color w:val="auto"/>
          <w:kern w:val="2"/>
          <w:sz w:val="24"/>
          <w:szCs w:val="24"/>
          <w:highlight w:val="none"/>
          <w:lang w:val="en-US" w:eastAsia="zh-CN"/>
        </w:rPr>
        <w:t>》</w:t>
      </w:r>
      <w:r>
        <w:rPr>
          <w:rFonts w:hint="default" w:ascii="仿宋_GB2312" w:hAnsi="Times New Roman" w:eastAsia="仿宋_GB2312" w:cs="仿宋_GB2312"/>
          <w:b w:val="0"/>
          <w:color w:val="auto"/>
          <w:kern w:val="2"/>
          <w:sz w:val="24"/>
          <w:szCs w:val="24"/>
          <w:highlight w:val="none"/>
          <w:lang w:val="en-US" w:eastAsia="zh-CN"/>
        </w:rPr>
        <w:t>，承担食品安全主体责任，落实校长负责制，结合学校实际制定食品安全风险管控清单。甲方</w:t>
      </w:r>
      <w:r>
        <w:rPr>
          <w:rFonts w:hint="eastAsia" w:ascii="仿宋_GB2312" w:hAnsi="Times New Roman" w:eastAsia="仿宋_GB2312" w:cs="仿宋_GB2312"/>
          <w:b w:val="0"/>
          <w:color w:val="auto"/>
          <w:kern w:val="2"/>
          <w:sz w:val="24"/>
          <w:szCs w:val="24"/>
          <w:highlight w:val="none"/>
          <w:lang w:val="en-US" w:eastAsia="zh-CN"/>
        </w:rPr>
        <w:t>应成立学校食堂食品安全管理机构，明确人员</w:t>
      </w:r>
      <w:r>
        <w:rPr>
          <w:rFonts w:hint="default" w:ascii="仿宋_GB2312" w:hAnsi="Times New Roman" w:eastAsia="仿宋_GB2312" w:cs="仿宋_GB2312"/>
          <w:b w:val="0"/>
          <w:color w:val="auto"/>
          <w:kern w:val="2"/>
          <w:sz w:val="24"/>
          <w:szCs w:val="24"/>
          <w:highlight w:val="none"/>
          <w:lang w:val="en-US" w:eastAsia="zh-CN"/>
        </w:rPr>
        <w:t>对乙方日常管理进行监督，督促乙方落实食品安全管理制度、履行食品安全责任，定期对乙方进行检查、评估和考核，发现问题及时督促整改。</w:t>
      </w:r>
    </w:p>
    <w:p w14:paraId="03D661A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default" w:ascii="仿宋_GB2312" w:eastAsia="仿宋_GB2312" w:cs="仿宋_GB2312"/>
          <w:b w:val="0"/>
          <w:color w:val="auto"/>
          <w:kern w:val="2"/>
          <w:sz w:val="24"/>
          <w:szCs w:val="24"/>
          <w:highlight w:val="none"/>
        </w:rPr>
      </w:pPr>
      <w:r>
        <w:rPr>
          <w:rFonts w:hint="default" w:ascii="仿宋_GB2312" w:hAnsi="Times New Roman" w:eastAsia="仿宋_GB2312" w:cs="仿宋_GB2312"/>
          <w:b/>
          <w:color w:val="auto"/>
          <w:kern w:val="2"/>
          <w:sz w:val="24"/>
          <w:szCs w:val="24"/>
          <w:highlight w:val="none"/>
          <w:lang w:val="en-US" w:eastAsia="zh-CN"/>
        </w:rPr>
        <w:t>2.人员配备。</w:t>
      </w:r>
      <w:r>
        <w:rPr>
          <w:rFonts w:hint="default" w:ascii="仿宋_GB2312" w:hAnsi="Times New Roman" w:eastAsia="仿宋_GB2312" w:cs="仿宋_GB2312"/>
          <w:b w:val="0"/>
          <w:color w:val="auto"/>
          <w:kern w:val="2"/>
          <w:sz w:val="24"/>
          <w:szCs w:val="24"/>
          <w:highlight w:val="none"/>
          <w:lang w:val="en-US" w:eastAsia="zh-CN"/>
        </w:rPr>
        <w:t>甲方应</w:t>
      </w:r>
      <w:r>
        <w:rPr>
          <w:rFonts w:hint="eastAsia" w:ascii="仿宋_GB2312" w:hAnsi="Times New Roman" w:eastAsia="仿宋_GB2312" w:cs="仿宋_GB2312"/>
          <w:b w:val="0"/>
          <w:color w:val="auto"/>
          <w:kern w:val="2"/>
          <w:sz w:val="24"/>
          <w:szCs w:val="24"/>
          <w:highlight w:val="none"/>
          <w:lang w:val="en-US" w:eastAsia="zh-CN"/>
        </w:rPr>
        <w:t>按照</w:t>
      </w:r>
      <w:r>
        <w:rPr>
          <w:rFonts w:hint="default" w:ascii="仿宋_GB2312" w:hAnsi="Times New Roman" w:eastAsia="仿宋_GB2312" w:cs="仿宋_GB2312"/>
          <w:b w:val="0"/>
          <w:color w:val="auto"/>
          <w:kern w:val="2"/>
          <w:sz w:val="24"/>
          <w:szCs w:val="24"/>
          <w:highlight w:val="none"/>
          <w:lang w:val="en-US" w:eastAsia="zh-CN"/>
        </w:rPr>
        <w:t>《企业落实食品安全主体责任监督管理办法》（国家市场监督管理总局令第60号）配备食品安全总监/食品安全员，结合学校实际细化制定《食品安全总监职责》《食品安全员守则》，落实</w:t>
      </w:r>
      <w:r>
        <w:rPr>
          <w:rFonts w:hint="eastAsia" w:ascii="仿宋_GB2312" w:hAnsi="Times New Roman" w:eastAsia="仿宋_GB2312" w:cs="仿宋_GB2312"/>
          <w:b w:val="0"/>
          <w:color w:val="auto"/>
          <w:kern w:val="2"/>
          <w:sz w:val="24"/>
          <w:szCs w:val="24"/>
          <w:highlight w:val="none"/>
          <w:lang w:val="en-US" w:eastAsia="zh-CN"/>
        </w:rPr>
        <w:t>食品安全“</w:t>
      </w:r>
      <w:r>
        <w:rPr>
          <w:rFonts w:hint="default" w:ascii="仿宋_GB2312" w:hAnsi="Times New Roman" w:eastAsia="仿宋_GB2312" w:cs="仿宋_GB2312"/>
          <w:b w:val="0"/>
          <w:color w:val="auto"/>
          <w:kern w:val="2"/>
          <w:sz w:val="24"/>
          <w:szCs w:val="24"/>
          <w:highlight w:val="none"/>
          <w:lang w:val="en-US" w:eastAsia="zh-CN"/>
        </w:rPr>
        <w:t>日管控</w:t>
      </w:r>
      <w:r>
        <w:rPr>
          <w:rFonts w:hint="eastAsia" w:ascii="仿宋_GB2312" w:hAnsi="Times New Roman" w:eastAsia="仿宋_GB2312" w:cs="仿宋_GB2312"/>
          <w:b w:val="0"/>
          <w:color w:val="auto"/>
          <w:kern w:val="2"/>
          <w:sz w:val="24"/>
          <w:szCs w:val="24"/>
          <w:highlight w:val="none"/>
          <w:lang w:val="en-US" w:eastAsia="zh-CN"/>
        </w:rPr>
        <w:t>、</w:t>
      </w:r>
      <w:r>
        <w:rPr>
          <w:rFonts w:hint="default" w:ascii="仿宋_GB2312" w:hAnsi="Times New Roman" w:eastAsia="仿宋_GB2312" w:cs="仿宋_GB2312"/>
          <w:b w:val="0"/>
          <w:color w:val="auto"/>
          <w:kern w:val="2"/>
          <w:sz w:val="24"/>
          <w:szCs w:val="24"/>
          <w:highlight w:val="none"/>
          <w:lang w:val="en-US" w:eastAsia="zh-CN"/>
        </w:rPr>
        <w:t>周排查</w:t>
      </w:r>
      <w:r>
        <w:rPr>
          <w:rFonts w:hint="eastAsia" w:ascii="仿宋_GB2312" w:hAnsi="Times New Roman" w:eastAsia="仿宋_GB2312" w:cs="仿宋_GB2312"/>
          <w:b w:val="0"/>
          <w:color w:val="auto"/>
          <w:kern w:val="2"/>
          <w:sz w:val="24"/>
          <w:szCs w:val="24"/>
          <w:highlight w:val="none"/>
          <w:lang w:val="en-US" w:eastAsia="zh-CN"/>
        </w:rPr>
        <w:t>、</w:t>
      </w:r>
      <w:r>
        <w:rPr>
          <w:rFonts w:hint="default" w:ascii="仿宋_GB2312" w:hAnsi="Times New Roman" w:eastAsia="仿宋_GB2312" w:cs="仿宋_GB2312"/>
          <w:b w:val="0"/>
          <w:color w:val="auto"/>
          <w:kern w:val="2"/>
          <w:sz w:val="24"/>
          <w:szCs w:val="24"/>
          <w:highlight w:val="none"/>
          <w:lang w:val="en-US" w:eastAsia="zh-CN"/>
        </w:rPr>
        <w:t>月调度</w:t>
      </w:r>
      <w:r>
        <w:rPr>
          <w:rFonts w:hint="eastAsia" w:ascii="仿宋_GB2312" w:hAnsi="Times New Roman" w:eastAsia="仿宋_GB2312" w:cs="仿宋_GB2312"/>
          <w:b w:val="0"/>
          <w:color w:val="auto"/>
          <w:kern w:val="2"/>
          <w:sz w:val="24"/>
          <w:szCs w:val="24"/>
          <w:highlight w:val="none"/>
          <w:lang w:val="en-US" w:eastAsia="zh-CN"/>
        </w:rPr>
        <w:t>”</w:t>
      </w:r>
      <w:r>
        <w:rPr>
          <w:rFonts w:hint="default" w:ascii="仿宋_GB2312" w:hAnsi="Times New Roman" w:eastAsia="仿宋_GB2312" w:cs="仿宋_GB2312"/>
          <w:b w:val="0"/>
          <w:color w:val="auto"/>
          <w:kern w:val="2"/>
          <w:sz w:val="24"/>
          <w:szCs w:val="24"/>
          <w:highlight w:val="none"/>
          <w:lang w:val="en-US" w:eastAsia="zh-CN"/>
        </w:rPr>
        <w:t>制度，同时督促乙方配备相应食品安全总监/食品安全员。</w:t>
      </w:r>
    </w:p>
    <w:p w14:paraId="3325234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仿宋_GB2312" w:hAnsi="Times New Roman" w:eastAsia="仿宋_GB2312" w:cs="仿宋_GB2312"/>
          <w:b w:val="0"/>
          <w:color w:val="auto"/>
          <w:kern w:val="2"/>
          <w:sz w:val="24"/>
          <w:szCs w:val="24"/>
          <w:highlight w:val="none"/>
          <w:lang w:val="en-US" w:eastAsia="zh-CN"/>
        </w:rPr>
      </w:pPr>
      <w:r>
        <w:rPr>
          <w:rFonts w:hint="eastAsia" w:ascii="仿宋_GB2312" w:hAnsi="Times New Roman" w:eastAsia="仿宋_GB2312" w:cs="仿宋_GB2312"/>
          <w:b/>
          <w:color w:val="auto"/>
          <w:kern w:val="2"/>
          <w:sz w:val="24"/>
          <w:szCs w:val="24"/>
          <w:highlight w:val="none"/>
          <w:lang w:val="en-US" w:eastAsia="zh-CN"/>
        </w:rPr>
        <w:t>3</w:t>
      </w:r>
      <w:r>
        <w:rPr>
          <w:rFonts w:hint="default" w:ascii="仿宋_GB2312" w:hAnsi="Times New Roman" w:eastAsia="仿宋_GB2312" w:cs="仿宋_GB2312"/>
          <w:b/>
          <w:color w:val="auto"/>
          <w:kern w:val="2"/>
          <w:sz w:val="24"/>
          <w:szCs w:val="24"/>
          <w:highlight w:val="none"/>
          <w:lang w:val="en-US" w:eastAsia="zh-CN"/>
        </w:rPr>
        <w:t>.食材采购。</w:t>
      </w:r>
      <w:r>
        <w:rPr>
          <w:rFonts w:hint="default" w:ascii="仿宋_GB2312" w:hAnsi="Times New Roman" w:eastAsia="仿宋_GB2312" w:cs="仿宋_GB2312"/>
          <w:b w:val="0"/>
          <w:color w:val="auto"/>
          <w:kern w:val="2"/>
          <w:sz w:val="24"/>
          <w:szCs w:val="24"/>
          <w:highlight w:val="none"/>
          <w:lang w:val="en-US" w:eastAsia="zh-CN"/>
        </w:rPr>
        <w:t>甲方采购</w:t>
      </w:r>
      <w:r>
        <w:rPr>
          <w:rFonts w:hint="eastAsia" w:ascii="仿宋_GB2312" w:hAnsi="Times New Roman" w:eastAsia="仿宋_GB2312" w:cs="仿宋_GB2312"/>
          <w:b w:val="0"/>
          <w:color w:val="auto"/>
          <w:kern w:val="2"/>
          <w:sz w:val="24"/>
          <w:szCs w:val="24"/>
          <w:highlight w:val="none"/>
          <w:lang w:val="en-US" w:eastAsia="zh-CN"/>
        </w:rPr>
        <w:t>的</w:t>
      </w:r>
      <w:r>
        <w:rPr>
          <w:rFonts w:hint="default" w:ascii="仿宋_GB2312" w:hAnsi="Times New Roman" w:eastAsia="仿宋_GB2312" w:cs="仿宋_GB2312"/>
          <w:b w:val="0"/>
          <w:color w:val="auto"/>
          <w:kern w:val="2"/>
          <w:sz w:val="24"/>
          <w:szCs w:val="24"/>
          <w:highlight w:val="none"/>
          <w:lang w:val="en-US" w:eastAsia="zh-CN"/>
        </w:rPr>
        <w:t>大宗食品</w:t>
      </w:r>
      <w:r>
        <w:rPr>
          <w:rFonts w:hint="eastAsia" w:ascii="仿宋_GB2312" w:hAnsi="Times New Roman" w:eastAsia="仿宋_GB2312" w:cs="仿宋_GB2312"/>
          <w:b w:val="0"/>
          <w:color w:val="auto"/>
          <w:kern w:val="2"/>
          <w:sz w:val="24"/>
          <w:szCs w:val="24"/>
          <w:highlight w:val="none"/>
          <w:lang w:val="en-US" w:eastAsia="zh-CN"/>
        </w:rPr>
        <w:t>，应按</w:t>
      </w:r>
      <w:r>
        <w:rPr>
          <w:rFonts w:hint="default" w:ascii="仿宋_GB2312" w:hAnsi="Times New Roman" w:eastAsia="仿宋_GB2312" w:cs="仿宋_GB2312"/>
          <w:b w:val="0"/>
          <w:color w:val="auto"/>
          <w:kern w:val="2"/>
          <w:sz w:val="24"/>
          <w:szCs w:val="24"/>
          <w:highlight w:val="none"/>
          <w:lang w:val="en-US" w:eastAsia="zh-CN"/>
        </w:rPr>
        <w:t>属地教育部门</w:t>
      </w:r>
      <w:r>
        <w:rPr>
          <w:rFonts w:hint="eastAsia" w:ascii="仿宋_GB2312" w:hAnsi="Times New Roman" w:eastAsia="仿宋_GB2312" w:cs="仿宋_GB2312"/>
          <w:b w:val="0"/>
          <w:color w:val="auto"/>
          <w:kern w:val="2"/>
          <w:sz w:val="24"/>
          <w:szCs w:val="24"/>
          <w:highlight w:val="none"/>
          <w:lang w:val="en-US" w:eastAsia="zh-CN"/>
        </w:rPr>
        <w:t>要求选择供货商</w:t>
      </w:r>
      <w:r>
        <w:rPr>
          <w:rFonts w:hint="default" w:ascii="仿宋_GB2312" w:hAnsi="Times New Roman" w:eastAsia="仿宋_GB2312" w:cs="仿宋_GB2312"/>
          <w:b w:val="0"/>
          <w:color w:val="auto"/>
          <w:kern w:val="2"/>
          <w:sz w:val="24"/>
          <w:szCs w:val="24"/>
          <w:highlight w:val="none"/>
          <w:lang w:val="en-US" w:eastAsia="zh-CN"/>
        </w:rPr>
        <w:t>，签订供货协议。加强食品供货商管理，建立食品供货商退出机制</w:t>
      </w:r>
      <w:r>
        <w:rPr>
          <w:rFonts w:hint="eastAsia" w:ascii="仿宋_GB2312" w:hAnsi="Times New Roman" w:eastAsia="仿宋_GB2312" w:cs="仿宋_GB2312"/>
          <w:b w:val="0"/>
          <w:color w:val="auto"/>
          <w:kern w:val="2"/>
          <w:sz w:val="24"/>
          <w:szCs w:val="24"/>
          <w:highlight w:val="none"/>
          <w:lang w:val="en-US" w:eastAsia="zh-CN"/>
        </w:rPr>
        <w:t>。</w:t>
      </w:r>
    </w:p>
    <w:p w14:paraId="02007344">
      <w:pPr>
        <w:keepNext w:val="0"/>
        <w:keepLines w:val="0"/>
        <w:pageBreakBefore w:val="0"/>
        <w:widowControl w:val="0"/>
        <w:suppressLineNumbers w:val="0"/>
        <w:kinsoku/>
        <w:overflowPunct/>
        <w:topLinePunct w:val="0"/>
        <w:autoSpaceDE w:val="0"/>
        <w:autoSpaceDN/>
        <w:bidi w:val="0"/>
        <w:adjustRightInd/>
        <w:snapToGrid w:val="0"/>
        <w:spacing w:before="0" w:beforeAutospacing="0" w:after="0" w:afterAutospacing="0" w:line="580" w:lineRule="exact"/>
        <w:ind w:left="0" w:right="0" w:firstLine="482" w:firstLineChars="200"/>
        <w:jc w:val="left"/>
        <w:textAlignment w:val="auto"/>
        <w:rPr>
          <w:rFonts w:hint="eastAsia" w:ascii="仿宋_GB2312" w:hAnsi="Times New Roman" w:eastAsia="仿宋_GB2312" w:cs="仿宋_GB2312"/>
          <w:b w:val="0"/>
          <w:color w:val="auto"/>
          <w:kern w:val="2"/>
          <w:sz w:val="24"/>
          <w:szCs w:val="24"/>
          <w:highlight w:val="none"/>
          <w:lang w:val="en-US" w:eastAsia="zh-CN"/>
        </w:rPr>
      </w:pPr>
      <w:r>
        <w:rPr>
          <w:rFonts w:hint="eastAsia" w:ascii="仿宋_GB2312" w:hAnsi="Times New Roman" w:eastAsia="仿宋_GB2312" w:cs="仿宋_GB2312"/>
          <w:b/>
          <w:color w:val="auto"/>
          <w:kern w:val="2"/>
          <w:sz w:val="24"/>
          <w:szCs w:val="24"/>
          <w:highlight w:val="none"/>
          <w:lang w:val="en-US" w:eastAsia="zh-CN"/>
        </w:rPr>
        <w:t>4.食材验收。</w:t>
      </w:r>
      <w:r>
        <w:rPr>
          <w:rFonts w:hint="eastAsia" w:ascii="仿宋_GB2312" w:hAnsi="Times New Roman" w:eastAsia="仿宋_GB2312" w:cs="仿宋_GB2312"/>
          <w:b w:val="0"/>
          <w:color w:val="auto"/>
          <w:kern w:val="2"/>
          <w:sz w:val="24"/>
          <w:szCs w:val="24"/>
          <w:highlight w:val="none"/>
          <w:lang w:val="en-US" w:eastAsia="zh-CN"/>
        </w:rPr>
        <w:t>甲方应对采购的食材进行验收，落实食材索证索票制度，建立采购台账，对列入《浙江省食品安全数字化追溯规定》重点目录内的产品使用“浙食链”系统确认入库，</w:t>
      </w:r>
      <w:r>
        <w:rPr>
          <w:rFonts w:hint="default" w:ascii="仿宋_GB2312" w:hAnsi="Calibri" w:eastAsia="仿宋_GB2312" w:cs="仿宋_GB2312"/>
          <w:color w:val="auto"/>
          <w:kern w:val="2"/>
          <w:sz w:val="24"/>
          <w:szCs w:val="24"/>
          <w:highlight w:val="none"/>
          <w:lang w:val="en-US" w:eastAsia="zh-CN" w:bidi="ar-SA"/>
        </w:rPr>
        <w:t>不</w:t>
      </w:r>
      <w:r>
        <w:rPr>
          <w:rFonts w:hint="eastAsia" w:ascii="仿宋_GB2312" w:hAnsi="Calibri" w:eastAsia="仿宋_GB2312" w:cs="仿宋_GB2312"/>
          <w:color w:val="auto"/>
          <w:kern w:val="2"/>
          <w:sz w:val="24"/>
          <w:szCs w:val="24"/>
          <w:highlight w:val="none"/>
          <w:lang w:val="en-US" w:eastAsia="zh-CN" w:bidi="ar-SA"/>
        </w:rPr>
        <w:t>得</w:t>
      </w:r>
      <w:r>
        <w:rPr>
          <w:rFonts w:hint="default" w:ascii="仿宋_GB2312" w:hAnsi="Calibri" w:eastAsia="仿宋_GB2312" w:cs="仿宋_GB2312"/>
          <w:color w:val="auto"/>
          <w:kern w:val="2"/>
          <w:sz w:val="24"/>
          <w:szCs w:val="24"/>
          <w:highlight w:val="none"/>
          <w:lang w:val="en-US" w:eastAsia="zh-CN" w:bidi="ar-SA"/>
        </w:rPr>
        <w:t>采购腐败变质</w:t>
      </w:r>
      <w:r>
        <w:rPr>
          <w:rFonts w:hint="eastAsia" w:ascii="仿宋_GB2312" w:hAnsi="Calibri" w:eastAsia="仿宋_GB2312" w:cs="仿宋_GB2312"/>
          <w:color w:val="auto"/>
          <w:kern w:val="2"/>
          <w:sz w:val="24"/>
          <w:szCs w:val="24"/>
          <w:highlight w:val="none"/>
          <w:lang w:val="en-US" w:eastAsia="zh-CN" w:bidi="ar-SA"/>
        </w:rPr>
        <w:t>、</w:t>
      </w:r>
      <w:r>
        <w:rPr>
          <w:rFonts w:hint="default" w:ascii="仿宋_GB2312" w:hAnsi="Calibri" w:eastAsia="仿宋_GB2312" w:cs="仿宋_GB2312"/>
          <w:color w:val="auto"/>
          <w:kern w:val="2"/>
          <w:sz w:val="24"/>
          <w:szCs w:val="24"/>
          <w:highlight w:val="none"/>
          <w:lang w:val="en-US" w:eastAsia="zh-CN" w:bidi="ar-SA"/>
        </w:rPr>
        <w:t>有毒有害</w:t>
      </w:r>
      <w:r>
        <w:rPr>
          <w:rFonts w:hint="eastAsia" w:ascii="仿宋_GB2312" w:hAnsi="Calibri" w:eastAsia="仿宋_GB2312" w:cs="仿宋_GB2312"/>
          <w:color w:val="auto"/>
          <w:kern w:val="2"/>
          <w:sz w:val="24"/>
          <w:szCs w:val="24"/>
          <w:highlight w:val="none"/>
          <w:lang w:val="en-US" w:eastAsia="zh-CN" w:bidi="ar-SA"/>
        </w:rPr>
        <w:t>、</w:t>
      </w:r>
      <w:r>
        <w:rPr>
          <w:rFonts w:hint="default" w:ascii="仿宋_GB2312" w:hAnsi="Calibri" w:eastAsia="仿宋_GB2312" w:cs="仿宋_GB2312"/>
          <w:color w:val="auto"/>
          <w:kern w:val="2"/>
          <w:sz w:val="24"/>
          <w:szCs w:val="24"/>
          <w:highlight w:val="none"/>
          <w:lang w:val="en-US" w:eastAsia="zh-CN" w:bidi="ar-SA"/>
        </w:rPr>
        <w:t>来历不明的食品原料及食品。</w:t>
      </w:r>
      <w:r>
        <w:rPr>
          <w:rFonts w:hint="eastAsia" w:ascii="仿宋_GB2312" w:eastAsia="仿宋_GB2312" w:cs="仿宋_GB2312"/>
          <w:color w:val="auto"/>
          <w:kern w:val="2"/>
          <w:sz w:val="24"/>
          <w:szCs w:val="24"/>
          <w:highlight w:val="none"/>
          <w:lang w:eastAsia="zh-CN"/>
        </w:rPr>
        <w:t>发现采购的食材有</w:t>
      </w:r>
      <w:r>
        <w:rPr>
          <w:rFonts w:hint="default" w:ascii="仿宋_GB2312" w:eastAsia="仿宋_GB2312" w:cs="仿宋_GB2312"/>
          <w:color w:val="auto"/>
          <w:kern w:val="2"/>
          <w:sz w:val="24"/>
          <w:szCs w:val="24"/>
          <w:highlight w:val="none"/>
        </w:rPr>
        <w:t>腐败变质</w:t>
      </w:r>
      <w:r>
        <w:rPr>
          <w:rFonts w:hint="eastAsia" w:ascii="仿宋_GB2312" w:eastAsia="仿宋_GB2312" w:cs="仿宋_GB2312"/>
          <w:color w:val="auto"/>
          <w:kern w:val="2"/>
          <w:sz w:val="24"/>
          <w:szCs w:val="24"/>
          <w:highlight w:val="none"/>
          <w:lang w:eastAsia="zh-CN"/>
        </w:rPr>
        <w:t>或不符合食品安全要求的，应拒绝接收。</w:t>
      </w:r>
    </w:p>
    <w:p w14:paraId="2F0A59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default" w:ascii="仿宋_GB2312" w:eastAsia="仿宋_GB2312" w:cs="仿宋_GB2312"/>
          <w:b w:val="0"/>
          <w:color w:val="auto"/>
          <w:kern w:val="2"/>
          <w:sz w:val="24"/>
          <w:szCs w:val="24"/>
          <w:highlight w:val="none"/>
        </w:rPr>
      </w:pPr>
      <w:r>
        <w:rPr>
          <w:rFonts w:hint="eastAsia" w:ascii="仿宋_GB2312" w:hAnsi="Times New Roman" w:eastAsia="仿宋_GB2312" w:cs="仿宋_GB2312"/>
          <w:b/>
          <w:color w:val="auto"/>
          <w:kern w:val="2"/>
          <w:sz w:val="24"/>
          <w:szCs w:val="24"/>
          <w:highlight w:val="none"/>
          <w:lang w:val="en-US" w:eastAsia="zh-CN"/>
        </w:rPr>
        <w:t>5.</w:t>
      </w:r>
      <w:r>
        <w:rPr>
          <w:rFonts w:hint="default" w:ascii="仿宋_GB2312" w:hAnsi="Times New Roman" w:eastAsia="仿宋_GB2312" w:cs="仿宋_GB2312"/>
          <w:b/>
          <w:color w:val="auto"/>
          <w:kern w:val="2"/>
          <w:sz w:val="24"/>
          <w:szCs w:val="24"/>
          <w:highlight w:val="none"/>
          <w:lang w:val="en-US" w:eastAsia="zh-CN"/>
        </w:rPr>
        <w:t>经营保障。</w:t>
      </w:r>
      <w:r>
        <w:rPr>
          <w:rFonts w:hint="default" w:ascii="仿宋_GB2312" w:hAnsi="Times New Roman" w:eastAsia="仿宋_GB2312" w:cs="仿宋_GB2312"/>
          <w:b w:val="0"/>
          <w:color w:val="auto"/>
          <w:kern w:val="2"/>
          <w:sz w:val="24"/>
          <w:szCs w:val="24"/>
          <w:highlight w:val="none"/>
          <w:lang w:val="en-US" w:eastAsia="zh-CN"/>
        </w:rPr>
        <w:t>甲方应保证乙方</w:t>
      </w:r>
      <w:r>
        <w:rPr>
          <w:rFonts w:hint="eastAsia" w:ascii="仿宋_GB2312" w:hAnsi="Times New Roman" w:eastAsia="仿宋_GB2312" w:cs="仿宋_GB2312"/>
          <w:b w:val="0"/>
          <w:color w:val="auto"/>
          <w:kern w:val="2"/>
          <w:sz w:val="24"/>
          <w:szCs w:val="24"/>
          <w:highlight w:val="none"/>
          <w:lang w:val="en-US" w:eastAsia="zh-CN"/>
        </w:rPr>
        <w:t>在履约情况下</w:t>
      </w:r>
      <w:r>
        <w:rPr>
          <w:rFonts w:hint="default" w:ascii="仿宋_GB2312" w:hAnsi="Times New Roman" w:eastAsia="仿宋_GB2312" w:cs="仿宋_GB2312"/>
          <w:b w:val="0"/>
          <w:color w:val="auto"/>
          <w:kern w:val="2"/>
          <w:sz w:val="24"/>
          <w:szCs w:val="24"/>
          <w:highlight w:val="none"/>
          <w:lang w:val="en-US" w:eastAsia="zh-CN"/>
        </w:rPr>
        <w:t>正常的经营环境（包括水、电、天然气的正常供应等），提供食堂主体运行所需证件，学校有重大活动、放假或停水停电等情况时，应提前</w:t>
      </w:r>
      <w:r>
        <w:rPr>
          <w:rFonts w:hint="eastAsia" w:ascii="仿宋_GB2312" w:hAnsi="Times New Roman" w:eastAsia="仿宋_GB2312" w:cs="仿宋_GB2312"/>
          <w:b w:val="0"/>
          <w:color w:val="auto"/>
          <w:kern w:val="2"/>
          <w:sz w:val="24"/>
          <w:szCs w:val="24"/>
          <w:highlight w:val="none"/>
          <w:u w:val="single"/>
          <w:lang w:val="en-US" w:eastAsia="zh-CN"/>
        </w:rPr>
        <w:t xml:space="preserve"> 1 </w:t>
      </w:r>
      <w:r>
        <w:rPr>
          <w:rFonts w:hint="eastAsia" w:ascii="仿宋_GB2312" w:hAnsi="Times New Roman" w:eastAsia="仿宋_GB2312" w:cs="仿宋_GB2312"/>
          <w:b w:val="0"/>
          <w:color w:val="auto"/>
          <w:kern w:val="2"/>
          <w:sz w:val="24"/>
          <w:szCs w:val="24"/>
          <w:highlight w:val="none"/>
          <w:u w:val="none"/>
          <w:lang w:val="en-US" w:eastAsia="zh-CN"/>
        </w:rPr>
        <w:t>个工作日</w:t>
      </w:r>
      <w:r>
        <w:rPr>
          <w:rFonts w:hint="default" w:ascii="仿宋_GB2312" w:hAnsi="Times New Roman" w:eastAsia="仿宋_GB2312" w:cs="仿宋_GB2312"/>
          <w:b w:val="0"/>
          <w:color w:val="auto"/>
          <w:kern w:val="2"/>
          <w:sz w:val="24"/>
          <w:szCs w:val="24"/>
          <w:highlight w:val="none"/>
          <w:lang w:val="en-US" w:eastAsia="zh-CN"/>
        </w:rPr>
        <w:t>通知乙方及时调整保障计划。</w:t>
      </w:r>
    </w:p>
    <w:p w14:paraId="770D9535">
      <w:pPr>
        <w:pStyle w:val="13"/>
        <w:keepNext w:val="0"/>
        <w:keepLines w:val="0"/>
        <w:pageBreakBefore w:val="0"/>
        <w:widowControl w:val="0"/>
        <w:suppressLineNumbers w:val="0"/>
        <w:kinsoku/>
        <w:overflowPunct/>
        <w:topLinePunct w:val="0"/>
        <w:autoSpaceDE w:val="0"/>
        <w:autoSpaceDN/>
        <w:bidi w:val="0"/>
        <w:adjustRightInd/>
        <w:snapToGrid w:val="0"/>
        <w:spacing w:before="0" w:beforeAutospacing="0" w:after="0" w:afterAutospacing="0" w:line="580" w:lineRule="exact"/>
        <w:ind w:left="0" w:right="0" w:firstLine="482" w:firstLineChars="200"/>
        <w:textAlignment w:val="auto"/>
        <w:rPr>
          <w:rFonts w:hint="default" w:ascii="仿宋_GB2312" w:eastAsia="仿宋_GB2312" w:cs="仿宋_GB2312"/>
          <w:b w:val="0"/>
          <w:color w:val="auto"/>
          <w:kern w:val="2"/>
          <w:sz w:val="24"/>
          <w:szCs w:val="24"/>
          <w:highlight w:val="none"/>
        </w:rPr>
      </w:pPr>
      <w:r>
        <w:rPr>
          <w:rFonts w:hint="eastAsia" w:ascii="仿宋_GB2312" w:eastAsia="仿宋_GB2312" w:cs="仿宋_GB2312"/>
          <w:b/>
          <w:color w:val="auto"/>
          <w:kern w:val="2"/>
          <w:sz w:val="24"/>
          <w:szCs w:val="24"/>
          <w:highlight w:val="none"/>
          <w:lang w:val="en-US" w:eastAsia="zh-CN"/>
        </w:rPr>
        <w:t>6</w:t>
      </w:r>
      <w:r>
        <w:rPr>
          <w:rFonts w:hint="default" w:ascii="仿宋_GB2312" w:eastAsia="仿宋_GB2312" w:cs="仿宋_GB2312"/>
          <w:b/>
          <w:color w:val="auto"/>
          <w:kern w:val="2"/>
          <w:sz w:val="24"/>
          <w:szCs w:val="24"/>
          <w:highlight w:val="none"/>
        </w:rPr>
        <w:t>.财务管理。</w:t>
      </w:r>
      <w:r>
        <w:rPr>
          <w:rFonts w:hint="default" w:ascii="仿宋_GB2312" w:eastAsia="仿宋_GB2312" w:cs="仿宋_GB2312"/>
          <w:b w:val="0"/>
          <w:color w:val="auto"/>
          <w:kern w:val="2"/>
          <w:sz w:val="24"/>
          <w:szCs w:val="24"/>
          <w:highlight w:val="none"/>
        </w:rPr>
        <w:t>甲方负责食堂的账务处理、原料采购及销售定价。</w:t>
      </w:r>
    </w:p>
    <w:p w14:paraId="1F8D9F36">
      <w:pPr>
        <w:pStyle w:val="13"/>
        <w:keepNext w:val="0"/>
        <w:keepLines w:val="0"/>
        <w:pageBreakBefore w:val="0"/>
        <w:widowControl w:val="0"/>
        <w:suppressLineNumbers w:val="0"/>
        <w:kinsoku/>
        <w:overflowPunct/>
        <w:topLinePunct w:val="0"/>
        <w:autoSpaceDE w:val="0"/>
        <w:autoSpaceDN/>
        <w:bidi w:val="0"/>
        <w:adjustRightInd/>
        <w:snapToGrid w:val="0"/>
        <w:spacing w:before="0" w:beforeAutospacing="0" w:after="0" w:afterAutospacing="0" w:line="580" w:lineRule="exact"/>
        <w:ind w:left="0" w:right="0" w:firstLine="482" w:firstLineChars="200"/>
        <w:textAlignment w:val="auto"/>
        <w:rPr>
          <w:rFonts w:hint="default" w:ascii="仿宋_GB2312" w:eastAsia="仿宋_GB2312" w:cs="仿宋_GB2312"/>
          <w:b w:val="0"/>
          <w:color w:val="auto"/>
          <w:kern w:val="2"/>
          <w:sz w:val="24"/>
          <w:szCs w:val="24"/>
          <w:highlight w:val="none"/>
        </w:rPr>
      </w:pPr>
      <w:r>
        <w:rPr>
          <w:rFonts w:hint="eastAsia" w:ascii="仿宋_GB2312" w:eastAsia="仿宋_GB2312" w:cs="仿宋_GB2312"/>
          <w:b/>
          <w:color w:val="auto"/>
          <w:kern w:val="2"/>
          <w:sz w:val="24"/>
          <w:szCs w:val="24"/>
          <w:highlight w:val="none"/>
          <w:lang w:val="en-US" w:eastAsia="zh-CN"/>
        </w:rPr>
        <w:t>7</w:t>
      </w:r>
      <w:r>
        <w:rPr>
          <w:rFonts w:hint="default" w:ascii="仿宋_GB2312" w:eastAsia="仿宋_GB2312" w:cs="仿宋_GB2312"/>
          <w:b/>
          <w:color w:val="auto"/>
          <w:kern w:val="2"/>
          <w:sz w:val="24"/>
          <w:szCs w:val="24"/>
          <w:highlight w:val="none"/>
        </w:rPr>
        <w:t>.供餐服务。</w:t>
      </w:r>
      <w:r>
        <w:rPr>
          <w:rFonts w:hint="default" w:ascii="仿宋_GB2312" w:eastAsia="仿宋_GB2312" w:cs="仿宋_GB2312"/>
          <w:color w:val="auto"/>
          <w:kern w:val="2"/>
          <w:sz w:val="24"/>
          <w:szCs w:val="24"/>
          <w:highlight w:val="none"/>
        </w:rPr>
        <w:t>甲方应制定供餐标准供乙方执行。</w:t>
      </w:r>
    </w:p>
    <w:p w14:paraId="2F1863C4">
      <w:pPr>
        <w:pStyle w:val="13"/>
        <w:keepNext w:val="0"/>
        <w:keepLines w:val="0"/>
        <w:pageBreakBefore w:val="0"/>
        <w:widowControl w:val="0"/>
        <w:suppressLineNumbers w:val="0"/>
        <w:kinsoku/>
        <w:overflowPunct/>
        <w:topLinePunct w:val="0"/>
        <w:autoSpaceDE w:val="0"/>
        <w:autoSpaceDN/>
        <w:bidi w:val="0"/>
        <w:adjustRightInd/>
        <w:snapToGrid w:val="0"/>
        <w:spacing w:before="0" w:beforeAutospacing="0" w:after="0" w:afterAutospacing="0" w:line="580" w:lineRule="exact"/>
        <w:ind w:left="0" w:right="0" w:firstLine="482" w:firstLineChars="200"/>
        <w:textAlignment w:val="auto"/>
        <w:rPr>
          <w:rFonts w:hint="default" w:ascii="仿宋_GB2312" w:eastAsia="仿宋_GB2312" w:cs="仿宋_GB2312"/>
          <w:color w:val="auto"/>
          <w:kern w:val="2"/>
          <w:sz w:val="24"/>
          <w:szCs w:val="24"/>
          <w:highlight w:val="none"/>
          <w:lang w:val="en-US" w:eastAsia="zh-CN"/>
        </w:rPr>
      </w:pPr>
      <w:r>
        <w:rPr>
          <w:rFonts w:hint="eastAsia" w:ascii="仿宋_GB2312" w:eastAsia="仿宋_GB2312" w:cs="仿宋_GB2312"/>
          <w:b/>
          <w:color w:val="auto"/>
          <w:kern w:val="2"/>
          <w:sz w:val="24"/>
          <w:szCs w:val="24"/>
          <w:highlight w:val="none"/>
          <w:lang w:val="en-US" w:eastAsia="zh-CN"/>
        </w:rPr>
        <w:t>8</w:t>
      </w:r>
      <w:r>
        <w:rPr>
          <w:rFonts w:hint="default" w:ascii="仿宋_GB2312" w:eastAsia="仿宋_GB2312" w:cs="仿宋_GB2312"/>
          <w:b/>
          <w:color w:val="auto"/>
          <w:kern w:val="2"/>
          <w:sz w:val="24"/>
          <w:szCs w:val="24"/>
          <w:highlight w:val="none"/>
        </w:rPr>
        <w:t>.校园智治。</w:t>
      </w:r>
      <w:r>
        <w:rPr>
          <w:rFonts w:hint="default" w:ascii="仿宋_GB2312" w:eastAsia="仿宋_GB2312" w:cs="仿宋_GB2312"/>
          <w:color w:val="auto"/>
          <w:kern w:val="2"/>
          <w:sz w:val="24"/>
          <w:szCs w:val="24"/>
          <w:highlight w:val="none"/>
        </w:rPr>
        <w:t>甲方</w:t>
      </w:r>
      <w:r>
        <w:rPr>
          <w:rFonts w:hint="eastAsia" w:ascii="仿宋_GB2312" w:eastAsia="仿宋_GB2312" w:cs="仿宋_GB2312"/>
          <w:color w:val="auto"/>
          <w:kern w:val="2"/>
          <w:sz w:val="24"/>
          <w:szCs w:val="24"/>
          <w:highlight w:val="none"/>
          <w:lang w:val="en-US" w:eastAsia="zh-CN"/>
        </w:rPr>
        <w:t>做好食堂基础信息、人员管理以及</w:t>
      </w:r>
      <w:r>
        <w:rPr>
          <w:rFonts w:hint="eastAsia" w:ascii="仿宋_GB2312" w:eastAsia="仿宋_GB2312" w:cs="仿宋_GB2312"/>
          <w:color w:val="auto"/>
          <w:kern w:val="2"/>
          <w:sz w:val="24"/>
          <w:szCs w:val="24"/>
          <w:highlight w:val="none"/>
          <w:lang w:eastAsia="zh-CN"/>
        </w:rPr>
        <w:t>“</w:t>
      </w:r>
      <w:r>
        <w:rPr>
          <w:rFonts w:hint="default" w:ascii="仿宋_GB2312" w:eastAsia="仿宋_GB2312" w:cs="仿宋_GB2312"/>
          <w:color w:val="auto"/>
          <w:kern w:val="2"/>
          <w:sz w:val="24"/>
          <w:szCs w:val="24"/>
          <w:highlight w:val="none"/>
        </w:rPr>
        <w:t>阳光厨房</w:t>
      </w:r>
      <w:r>
        <w:rPr>
          <w:rFonts w:hint="eastAsia" w:ascii="仿宋_GB2312" w:eastAsia="仿宋_GB2312" w:cs="仿宋_GB2312"/>
          <w:color w:val="auto"/>
          <w:kern w:val="2"/>
          <w:sz w:val="24"/>
          <w:szCs w:val="24"/>
          <w:highlight w:val="none"/>
          <w:lang w:eastAsia="zh-CN"/>
        </w:rPr>
        <w:t>”</w:t>
      </w:r>
      <w:r>
        <w:rPr>
          <w:rFonts w:hint="default" w:ascii="仿宋_GB2312" w:eastAsia="仿宋_GB2312" w:cs="仿宋_GB2312"/>
          <w:color w:val="auto"/>
          <w:kern w:val="2"/>
          <w:sz w:val="24"/>
          <w:szCs w:val="24"/>
          <w:highlight w:val="none"/>
        </w:rPr>
        <w:t>动态维护，对视频不清晰、掉线、转位、移位的及时修复</w:t>
      </w:r>
      <w:r>
        <w:rPr>
          <w:rFonts w:hint="eastAsia" w:ascii="仿宋_GB2312" w:eastAsia="仿宋_GB2312" w:cs="仿宋_GB2312"/>
          <w:color w:val="auto"/>
          <w:kern w:val="2"/>
          <w:sz w:val="24"/>
          <w:szCs w:val="24"/>
          <w:highlight w:val="none"/>
          <w:lang w:eastAsia="zh-CN"/>
        </w:rPr>
        <w:t>。</w:t>
      </w:r>
    </w:p>
    <w:p w14:paraId="60F757A4">
      <w:pPr>
        <w:pStyle w:val="13"/>
        <w:keepNext w:val="0"/>
        <w:keepLines w:val="0"/>
        <w:pageBreakBefore w:val="0"/>
        <w:widowControl w:val="0"/>
        <w:suppressLineNumbers w:val="0"/>
        <w:kinsoku/>
        <w:overflowPunct/>
        <w:topLinePunct w:val="0"/>
        <w:autoSpaceDE w:val="0"/>
        <w:autoSpaceDN/>
        <w:bidi w:val="0"/>
        <w:adjustRightInd/>
        <w:snapToGrid w:val="0"/>
        <w:spacing w:before="0" w:beforeAutospacing="0" w:after="0" w:afterAutospacing="0" w:line="580" w:lineRule="exact"/>
        <w:ind w:left="0" w:right="0" w:firstLine="482" w:firstLineChars="200"/>
        <w:textAlignment w:val="auto"/>
        <w:rPr>
          <w:rFonts w:hint="default" w:ascii="仿宋_GB2312" w:eastAsia="仿宋_GB2312" w:cs="仿宋_GB2312"/>
          <w:color w:val="auto"/>
          <w:kern w:val="2"/>
          <w:sz w:val="24"/>
          <w:szCs w:val="24"/>
          <w:highlight w:val="none"/>
        </w:rPr>
      </w:pPr>
      <w:r>
        <w:rPr>
          <w:rFonts w:hint="eastAsia" w:ascii="仿宋_GB2312" w:eastAsia="仿宋_GB2312" w:cs="仿宋_GB2312"/>
          <w:b/>
          <w:color w:val="auto"/>
          <w:kern w:val="2"/>
          <w:sz w:val="24"/>
          <w:szCs w:val="24"/>
          <w:highlight w:val="none"/>
          <w:lang w:val="en-US" w:eastAsia="zh-CN"/>
        </w:rPr>
        <w:t>9</w:t>
      </w:r>
      <w:r>
        <w:rPr>
          <w:rFonts w:hint="default" w:ascii="仿宋_GB2312" w:eastAsia="仿宋_GB2312" w:cs="仿宋_GB2312"/>
          <w:b/>
          <w:color w:val="auto"/>
          <w:kern w:val="2"/>
          <w:sz w:val="24"/>
          <w:szCs w:val="24"/>
          <w:highlight w:val="none"/>
        </w:rPr>
        <w:t>.</w:t>
      </w:r>
      <w:r>
        <w:rPr>
          <w:rFonts w:hint="eastAsia" w:ascii="仿宋_GB2312" w:eastAsia="仿宋_GB2312" w:cs="仿宋_GB2312"/>
          <w:b/>
          <w:color w:val="auto"/>
          <w:kern w:val="2"/>
          <w:sz w:val="24"/>
          <w:szCs w:val="24"/>
          <w:highlight w:val="none"/>
          <w:lang w:eastAsia="zh-CN"/>
        </w:rPr>
        <w:t>“</w:t>
      </w:r>
      <w:r>
        <w:rPr>
          <w:rFonts w:hint="default" w:ascii="仿宋_GB2312" w:eastAsia="仿宋_GB2312" w:cs="仿宋_GB2312"/>
          <w:b/>
          <w:color w:val="auto"/>
          <w:kern w:val="2"/>
          <w:sz w:val="24"/>
          <w:szCs w:val="24"/>
          <w:highlight w:val="none"/>
        </w:rPr>
        <w:t>三防</w:t>
      </w:r>
      <w:r>
        <w:rPr>
          <w:rFonts w:hint="eastAsia" w:ascii="仿宋_GB2312" w:eastAsia="仿宋_GB2312" w:cs="仿宋_GB2312"/>
          <w:b/>
          <w:color w:val="auto"/>
          <w:kern w:val="2"/>
          <w:sz w:val="24"/>
          <w:szCs w:val="24"/>
          <w:highlight w:val="none"/>
          <w:lang w:eastAsia="zh-CN"/>
        </w:rPr>
        <w:t>”</w:t>
      </w:r>
      <w:r>
        <w:rPr>
          <w:rFonts w:hint="default" w:ascii="仿宋_GB2312" w:eastAsia="仿宋_GB2312" w:cs="仿宋_GB2312"/>
          <w:b/>
          <w:color w:val="auto"/>
          <w:kern w:val="2"/>
          <w:sz w:val="24"/>
          <w:szCs w:val="24"/>
          <w:highlight w:val="none"/>
        </w:rPr>
        <w:t>配备。</w:t>
      </w:r>
      <w:r>
        <w:rPr>
          <w:rFonts w:hint="default" w:ascii="仿宋_GB2312" w:eastAsia="仿宋_GB2312" w:cs="仿宋_GB2312"/>
          <w:color w:val="auto"/>
          <w:kern w:val="2"/>
          <w:sz w:val="24"/>
          <w:szCs w:val="24"/>
          <w:highlight w:val="none"/>
        </w:rPr>
        <w:t>甲方应当配齐防蝇、防尘、防鼠等</w:t>
      </w:r>
      <w:r>
        <w:rPr>
          <w:rFonts w:hint="eastAsia" w:ascii="仿宋_GB2312" w:eastAsia="仿宋_GB2312" w:cs="仿宋_GB2312"/>
          <w:color w:val="auto"/>
          <w:kern w:val="2"/>
          <w:sz w:val="24"/>
          <w:szCs w:val="24"/>
          <w:highlight w:val="none"/>
          <w:lang w:eastAsia="zh-CN"/>
        </w:rPr>
        <w:t>“</w:t>
      </w:r>
      <w:r>
        <w:rPr>
          <w:rFonts w:hint="default" w:ascii="仿宋_GB2312" w:eastAsia="仿宋_GB2312" w:cs="仿宋_GB2312"/>
          <w:color w:val="auto"/>
          <w:kern w:val="2"/>
          <w:sz w:val="24"/>
          <w:szCs w:val="24"/>
          <w:highlight w:val="none"/>
        </w:rPr>
        <w:t>三防</w:t>
      </w:r>
      <w:r>
        <w:rPr>
          <w:rFonts w:hint="eastAsia" w:ascii="仿宋_GB2312" w:eastAsia="仿宋_GB2312" w:cs="仿宋_GB2312"/>
          <w:color w:val="auto"/>
          <w:kern w:val="2"/>
          <w:sz w:val="24"/>
          <w:szCs w:val="24"/>
          <w:highlight w:val="none"/>
          <w:lang w:eastAsia="zh-CN"/>
        </w:rPr>
        <w:t>”</w:t>
      </w:r>
      <w:r>
        <w:rPr>
          <w:rFonts w:hint="default" w:ascii="仿宋_GB2312" w:eastAsia="仿宋_GB2312" w:cs="仿宋_GB2312"/>
          <w:color w:val="auto"/>
          <w:kern w:val="2"/>
          <w:sz w:val="24"/>
          <w:szCs w:val="24"/>
          <w:highlight w:val="none"/>
        </w:rPr>
        <w:t>设备设施。</w:t>
      </w:r>
    </w:p>
    <w:p w14:paraId="1758B9A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default" w:ascii="仿宋_GB2312" w:hAnsi="Times New Roman" w:eastAsia="仿宋_GB2312" w:cs="仿宋_GB2312"/>
          <w:b w:val="0"/>
          <w:color w:val="auto"/>
          <w:kern w:val="2"/>
          <w:sz w:val="24"/>
          <w:szCs w:val="24"/>
          <w:highlight w:val="none"/>
          <w:lang w:val="en-US" w:eastAsia="zh-CN"/>
        </w:rPr>
      </w:pPr>
      <w:r>
        <w:rPr>
          <w:rFonts w:hint="eastAsia" w:ascii="仿宋_GB2312" w:hAnsi="Times New Roman" w:eastAsia="仿宋_GB2312" w:cs="仿宋_GB2312"/>
          <w:b/>
          <w:color w:val="auto"/>
          <w:kern w:val="2"/>
          <w:sz w:val="24"/>
          <w:szCs w:val="24"/>
          <w:highlight w:val="none"/>
          <w:lang w:val="en-US" w:eastAsia="zh-CN"/>
        </w:rPr>
        <w:t>1</w:t>
      </w:r>
      <w:r>
        <w:rPr>
          <w:rFonts w:hint="eastAsia" w:ascii="仿宋_GB2312" w:eastAsia="仿宋_GB2312" w:cs="仿宋_GB2312"/>
          <w:b/>
          <w:color w:val="auto"/>
          <w:kern w:val="2"/>
          <w:sz w:val="24"/>
          <w:szCs w:val="24"/>
          <w:highlight w:val="none"/>
          <w:lang w:val="en-US" w:eastAsia="zh-CN"/>
        </w:rPr>
        <w:t>0</w:t>
      </w:r>
      <w:r>
        <w:rPr>
          <w:rFonts w:hint="default" w:ascii="仿宋_GB2312" w:hAnsi="Times New Roman" w:eastAsia="仿宋_GB2312" w:cs="仿宋_GB2312"/>
          <w:b/>
          <w:color w:val="auto"/>
          <w:kern w:val="2"/>
          <w:sz w:val="24"/>
          <w:szCs w:val="24"/>
          <w:highlight w:val="none"/>
          <w:lang w:val="en-US" w:eastAsia="zh-CN"/>
        </w:rPr>
        <w:t>.</w:t>
      </w:r>
      <w:r>
        <w:rPr>
          <w:rFonts w:hint="eastAsia" w:ascii="仿宋_GB2312" w:hAnsi="Times New Roman" w:eastAsia="仿宋_GB2312" w:cs="仿宋_GB2312"/>
          <w:b/>
          <w:color w:val="auto"/>
          <w:kern w:val="2"/>
          <w:sz w:val="24"/>
          <w:szCs w:val="24"/>
          <w:highlight w:val="none"/>
          <w:lang w:val="en-US" w:eastAsia="zh-CN"/>
        </w:rPr>
        <w:t>互动机制</w:t>
      </w:r>
      <w:r>
        <w:rPr>
          <w:rFonts w:hint="default" w:ascii="仿宋_GB2312" w:hAnsi="Times New Roman" w:eastAsia="仿宋_GB2312" w:cs="仿宋_GB2312"/>
          <w:b/>
          <w:color w:val="auto"/>
          <w:kern w:val="2"/>
          <w:sz w:val="24"/>
          <w:szCs w:val="24"/>
          <w:highlight w:val="none"/>
          <w:lang w:val="en-US" w:eastAsia="zh-CN"/>
        </w:rPr>
        <w:t>。</w:t>
      </w:r>
      <w:r>
        <w:rPr>
          <w:rFonts w:hint="default" w:ascii="仿宋_GB2312" w:hAnsi="Times New Roman" w:eastAsia="仿宋_GB2312" w:cs="仿宋_GB2312"/>
          <w:b w:val="0"/>
          <w:color w:val="auto"/>
          <w:kern w:val="2"/>
          <w:sz w:val="24"/>
          <w:szCs w:val="24"/>
          <w:highlight w:val="none"/>
          <w:lang w:val="en-US" w:eastAsia="zh-CN"/>
        </w:rPr>
        <w:t>甲方应建立食堂问题投诉渠道和反馈机制。通过学校网站、电话、公众号、邮箱等方式引导家长</w:t>
      </w:r>
      <w:r>
        <w:rPr>
          <w:rFonts w:hint="eastAsia" w:ascii="仿宋_GB2312" w:hAnsi="Times New Roman" w:eastAsia="仿宋_GB2312" w:cs="仿宋_GB2312"/>
          <w:b w:val="0"/>
          <w:color w:val="auto"/>
          <w:kern w:val="2"/>
          <w:sz w:val="24"/>
          <w:szCs w:val="24"/>
          <w:highlight w:val="none"/>
          <w:lang w:val="en-US" w:eastAsia="zh-CN"/>
        </w:rPr>
        <w:t>或</w:t>
      </w:r>
      <w:r>
        <w:rPr>
          <w:rFonts w:hint="default" w:ascii="仿宋_GB2312" w:hAnsi="Times New Roman" w:eastAsia="仿宋_GB2312" w:cs="仿宋_GB2312"/>
          <w:b w:val="0"/>
          <w:color w:val="auto"/>
          <w:kern w:val="2"/>
          <w:sz w:val="24"/>
          <w:szCs w:val="24"/>
          <w:highlight w:val="none"/>
          <w:lang w:val="en-US" w:eastAsia="zh-CN"/>
        </w:rPr>
        <w:t>学生共同参与校园食品安全管理，按照规定每学期组织</w:t>
      </w:r>
      <w:r>
        <w:rPr>
          <w:rFonts w:hint="eastAsia" w:ascii="仿宋_GB2312" w:hAnsi="Times New Roman" w:eastAsia="仿宋_GB2312" w:cs="仿宋_GB2312"/>
          <w:b w:val="0"/>
          <w:color w:val="auto"/>
          <w:kern w:val="2"/>
          <w:sz w:val="24"/>
          <w:szCs w:val="24"/>
          <w:highlight w:val="none"/>
          <w:lang w:val="en-US" w:eastAsia="zh-CN"/>
        </w:rPr>
        <w:t>家长或学生</w:t>
      </w:r>
      <w:r>
        <w:rPr>
          <w:rFonts w:hint="default" w:ascii="仿宋_GB2312" w:hAnsi="Times New Roman" w:eastAsia="仿宋_GB2312" w:cs="仿宋_GB2312"/>
          <w:b w:val="0"/>
          <w:color w:val="auto"/>
          <w:kern w:val="2"/>
          <w:sz w:val="24"/>
          <w:szCs w:val="24"/>
          <w:highlight w:val="none"/>
          <w:lang w:val="en-US" w:eastAsia="zh-CN"/>
        </w:rPr>
        <w:t>代表进行</w:t>
      </w:r>
      <w:r>
        <w:rPr>
          <w:rFonts w:hint="eastAsia" w:ascii="仿宋_GB2312" w:hAnsi="Times New Roman" w:eastAsia="仿宋_GB2312" w:cs="仿宋_GB2312"/>
          <w:b w:val="0"/>
          <w:color w:val="auto"/>
          <w:kern w:val="2"/>
          <w:sz w:val="24"/>
          <w:szCs w:val="24"/>
          <w:highlight w:val="none"/>
          <w:lang w:val="en-US" w:eastAsia="zh-CN"/>
        </w:rPr>
        <w:t>交流与沟通机制，并进行</w:t>
      </w:r>
      <w:r>
        <w:rPr>
          <w:rFonts w:hint="default" w:ascii="仿宋_GB2312" w:hAnsi="Times New Roman" w:eastAsia="仿宋_GB2312" w:cs="仿宋_GB2312"/>
          <w:b w:val="0"/>
          <w:color w:val="auto"/>
          <w:kern w:val="2"/>
          <w:sz w:val="24"/>
          <w:szCs w:val="24"/>
          <w:highlight w:val="none"/>
          <w:lang w:val="en-US" w:eastAsia="zh-CN"/>
        </w:rPr>
        <w:t>供餐满意度测评。</w:t>
      </w:r>
    </w:p>
    <w:p w14:paraId="12E1B96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default" w:ascii="仿宋_GB2312" w:eastAsia="仿宋_GB2312" w:cs="仿宋_GB2312"/>
          <w:b w:val="0"/>
          <w:color w:val="auto"/>
          <w:kern w:val="2"/>
          <w:sz w:val="24"/>
          <w:szCs w:val="24"/>
          <w:highlight w:val="none"/>
        </w:rPr>
      </w:pPr>
      <w:r>
        <w:rPr>
          <w:rFonts w:hint="eastAsia" w:ascii="仿宋_GB2312" w:hAnsi="Times New Roman" w:eastAsia="仿宋_GB2312" w:cs="仿宋_GB2312"/>
          <w:b/>
          <w:color w:val="auto"/>
          <w:kern w:val="2"/>
          <w:sz w:val="24"/>
          <w:szCs w:val="24"/>
          <w:highlight w:val="none"/>
          <w:lang w:val="en-US" w:eastAsia="zh-CN"/>
        </w:rPr>
        <w:t>1</w:t>
      </w:r>
      <w:r>
        <w:rPr>
          <w:rFonts w:hint="eastAsia" w:ascii="仿宋_GB2312" w:eastAsia="仿宋_GB2312" w:cs="仿宋_GB2312"/>
          <w:b/>
          <w:color w:val="auto"/>
          <w:kern w:val="2"/>
          <w:sz w:val="24"/>
          <w:szCs w:val="24"/>
          <w:highlight w:val="none"/>
          <w:lang w:val="en-US" w:eastAsia="zh-CN"/>
        </w:rPr>
        <w:t>1</w:t>
      </w:r>
      <w:r>
        <w:rPr>
          <w:rFonts w:hint="default" w:ascii="仿宋_GB2312" w:hAnsi="Times New Roman" w:eastAsia="仿宋_GB2312" w:cs="仿宋_GB2312"/>
          <w:b/>
          <w:color w:val="auto"/>
          <w:kern w:val="2"/>
          <w:sz w:val="24"/>
          <w:szCs w:val="24"/>
          <w:highlight w:val="none"/>
          <w:lang w:val="en-US" w:eastAsia="zh-CN"/>
        </w:rPr>
        <w:t>.宣传</w:t>
      </w:r>
      <w:r>
        <w:rPr>
          <w:rFonts w:hint="eastAsia" w:ascii="仿宋_GB2312" w:hAnsi="Times New Roman" w:eastAsia="仿宋_GB2312" w:cs="仿宋_GB2312"/>
          <w:b/>
          <w:color w:val="auto"/>
          <w:kern w:val="2"/>
          <w:sz w:val="24"/>
          <w:szCs w:val="24"/>
          <w:highlight w:val="none"/>
          <w:lang w:val="en-US" w:eastAsia="zh-CN"/>
        </w:rPr>
        <w:t>教育</w:t>
      </w:r>
      <w:r>
        <w:rPr>
          <w:rFonts w:hint="default" w:ascii="仿宋_GB2312" w:hAnsi="Times New Roman" w:eastAsia="仿宋_GB2312" w:cs="仿宋_GB2312"/>
          <w:b/>
          <w:color w:val="auto"/>
          <w:kern w:val="2"/>
          <w:sz w:val="24"/>
          <w:szCs w:val="24"/>
          <w:highlight w:val="none"/>
          <w:lang w:val="en-US" w:eastAsia="zh-CN"/>
        </w:rPr>
        <w:t>。</w:t>
      </w:r>
      <w:r>
        <w:rPr>
          <w:rFonts w:hint="default" w:ascii="仿宋_GB2312" w:hAnsi="Times New Roman" w:eastAsia="仿宋_GB2312" w:cs="仿宋_GB2312"/>
          <w:b w:val="0"/>
          <w:color w:val="auto"/>
          <w:kern w:val="2"/>
          <w:sz w:val="24"/>
          <w:szCs w:val="24"/>
          <w:highlight w:val="none"/>
          <w:lang w:val="en-US" w:eastAsia="zh-CN"/>
        </w:rPr>
        <w:t>甲方</w:t>
      </w:r>
      <w:r>
        <w:rPr>
          <w:rFonts w:hint="eastAsia" w:ascii="仿宋_GB2312" w:hAnsi="Times New Roman" w:eastAsia="仿宋_GB2312" w:cs="仿宋_GB2312"/>
          <w:b w:val="0"/>
          <w:color w:val="auto"/>
          <w:kern w:val="2"/>
          <w:sz w:val="24"/>
          <w:szCs w:val="24"/>
          <w:highlight w:val="none"/>
          <w:lang w:val="en-US" w:eastAsia="zh-CN"/>
        </w:rPr>
        <w:t>对</w:t>
      </w:r>
      <w:r>
        <w:rPr>
          <w:rFonts w:hint="default" w:ascii="仿宋_GB2312" w:hAnsi="Times New Roman" w:eastAsia="仿宋_GB2312" w:cs="仿宋_GB2312"/>
          <w:b w:val="0"/>
          <w:color w:val="auto"/>
          <w:kern w:val="2"/>
          <w:sz w:val="24"/>
          <w:szCs w:val="24"/>
          <w:highlight w:val="none"/>
          <w:lang w:val="en-US" w:eastAsia="zh-CN"/>
        </w:rPr>
        <w:t>食堂的</w:t>
      </w:r>
      <w:r>
        <w:rPr>
          <w:rFonts w:hint="eastAsia" w:ascii="仿宋_GB2312" w:hAnsi="Times New Roman" w:eastAsia="仿宋_GB2312" w:cs="仿宋_GB2312"/>
          <w:b w:val="0"/>
          <w:color w:val="auto"/>
          <w:kern w:val="2"/>
          <w:sz w:val="24"/>
          <w:szCs w:val="24"/>
          <w:highlight w:val="none"/>
          <w:lang w:val="en-US" w:eastAsia="zh-CN"/>
        </w:rPr>
        <w:t>宣传标语、宣传海报、宣传资料等内容进行</w:t>
      </w:r>
      <w:r>
        <w:rPr>
          <w:rFonts w:hint="default" w:ascii="仿宋_GB2312" w:hAnsi="Times New Roman" w:eastAsia="仿宋_GB2312" w:cs="仿宋_GB2312"/>
          <w:b w:val="0"/>
          <w:color w:val="auto"/>
          <w:kern w:val="2"/>
          <w:sz w:val="24"/>
          <w:szCs w:val="24"/>
          <w:highlight w:val="none"/>
          <w:lang w:val="en-US" w:eastAsia="zh-CN"/>
        </w:rPr>
        <w:t>审核</w:t>
      </w:r>
      <w:r>
        <w:rPr>
          <w:rFonts w:hint="eastAsia" w:ascii="仿宋_GB2312" w:hAnsi="Times New Roman" w:eastAsia="仿宋_GB2312" w:cs="仿宋_GB2312"/>
          <w:b w:val="0"/>
          <w:color w:val="auto"/>
          <w:kern w:val="2"/>
          <w:sz w:val="24"/>
          <w:szCs w:val="24"/>
          <w:highlight w:val="none"/>
          <w:lang w:val="en-US" w:eastAsia="zh-CN"/>
        </w:rPr>
        <w:t>和</w:t>
      </w:r>
      <w:r>
        <w:rPr>
          <w:rFonts w:hint="default" w:ascii="仿宋_GB2312" w:hAnsi="Times New Roman" w:eastAsia="仿宋_GB2312" w:cs="仿宋_GB2312"/>
          <w:b w:val="0"/>
          <w:color w:val="auto"/>
          <w:kern w:val="2"/>
          <w:sz w:val="24"/>
          <w:szCs w:val="24"/>
          <w:highlight w:val="none"/>
          <w:lang w:val="en-US" w:eastAsia="zh-CN"/>
        </w:rPr>
        <w:t>管理。</w:t>
      </w:r>
    </w:p>
    <w:p w14:paraId="5589B24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default" w:ascii="仿宋_GB2312" w:eastAsia="仿宋_GB2312" w:cs="仿宋_GB2312"/>
          <w:b w:val="0"/>
          <w:color w:val="auto"/>
          <w:kern w:val="2"/>
          <w:sz w:val="24"/>
          <w:szCs w:val="24"/>
          <w:highlight w:val="none"/>
        </w:rPr>
      </w:pPr>
      <w:r>
        <w:rPr>
          <w:rFonts w:hint="default" w:ascii="仿宋_GB2312" w:hAnsi="Times New Roman" w:eastAsia="仿宋_GB2312" w:cs="仿宋_GB2312"/>
          <w:b/>
          <w:color w:val="auto"/>
          <w:kern w:val="2"/>
          <w:sz w:val="24"/>
          <w:szCs w:val="24"/>
          <w:highlight w:val="none"/>
          <w:lang w:val="en-US" w:eastAsia="zh-CN"/>
        </w:rPr>
        <w:t>1</w:t>
      </w:r>
      <w:r>
        <w:rPr>
          <w:rFonts w:hint="eastAsia" w:ascii="仿宋_GB2312" w:eastAsia="仿宋_GB2312" w:cs="仿宋_GB2312"/>
          <w:b/>
          <w:color w:val="auto"/>
          <w:kern w:val="2"/>
          <w:sz w:val="24"/>
          <w:szCs w:val="24"/>
          <w:highlight w:val="none"/>
          <w:lang w:val="en-US" w:eastAsia="zh-CN"/>
        </w:rPr>
        <w:t>2</w:t>
      </w:r>
      <w:r>
        <w:rPr>
          <w:rFonts w:hint="default" w:ascii="仿宋_GB2312" w:hAnsi="Times New Roman" w:eastAsia="仿宋_GB2312" w:cs="仿宋_GB2312"/>
          <w:b/>
          <w:color w:val="auto"/>
          <w:kern w:val="2"/>
          <w:sz w:val="24"/>
          <w:szCs w:val="24"/>
          <w:highlight w:val="none"/>
          <w:lang w:val="en-US" w:eastAsia="zh-CN"/>
        </w:rPr>
        <w:t>.违规处置。</w:t>
      </w:r>
      <w:r>
        <w:rPr>
          <w:rFonts w:hint="default" w:ascii="仿宋_GB2312" w:hAnsi="Times New Roman" w:eastAsia="仿宋_GB2312" w:cs="仿宋_GB2312"/>
          <w:b w:val="0"/>
          <w:color w:val="auto"/>
          <w:kern w:val="2"/>
          <w:sz w:val="24"/>
          <w:szCs w:val="24"/>
          <w:highlight w:val="none"/>
          <w:lang w:val="en-US" w:eastAsia="zh-CN"/>
        </w:rPr>
        <w:t>甲方有权</w:t>
      </w:r>
      <w:r>
        <w:rPr>
          <w:rFonts w:hint="eastAsia" w:ascii="仿宋_GB2312" w:hAnsi="Times New Roman" w:eastAsia="仿宋_GB2312" w:cs="仿宋_GB2312"/>
          <w:b w:val="0"/>
          <w:color w:val="auto"/>
          <w:kern w:val="2"/>
          <w:sz w:val="24"/>
          <w:szCs w:val="24"/>
          <w:highlight w:val="none"/>
          <w:lang w:val="en-US" w:eastAsia="zh-CN"/>
        </w:rPr>
        <w:t>要求</w:t>
      </w:r>
      <w:r>
        <w:rPr>
          <w:rFonts w:hint="default" w:ascii="仿宋_GB2312" w:hAnsi="Times New Roman" w:eastAsia="仿宋_GB2312" w:cs="仿宋_GB2312"/>
          <w:b w:val="0"/>
          <w:color w:val="auto"/>
          <w:kern w:val="2"/>
          <w:sz w:val="24"/>
          <w:szCs w:val="24"/>
          <w:highlight w:val="none"/>
          <w:lang w:val="en-US" w:eastAsia="zh-CN"/>
        </w:rPr>
        <w:t>乙方撤换不称职或不遵守校纪校规的从业人员。</w:t>
      </w:r>
    </w:p>
    <w:p w14:paraId="0ABF01B7">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640" w:firstLineChars="0"/>
        <w:jc w:val="left"/>
        <w:textAlignment w:val="auto"/>
        <w:rPr>
          <w:rFonts w:hint="eastAsia" w:ascii="黑体" w:hAnsi="黑体" w:eastAsia="黑体" w:cs="黑体"/>
          <w:b w:val="0"/>
          <w:color w:val="auto"/>
          <w:kern w:val="2"/>
          <w:sz w:val="24"/>
          <w:szCs w:val="24"/>
          <w:highlight w:val="none"/>
        </w:rPr>
      </w:pPr>
      <w:r>
        <w:rPr>
          <w:rFonts w:hint="eastAsia" w:ascii="黑体" w:hAnsi="黑体" w:eastAsia="黑体" w:cs="黑体"/>
          <w:b w:val="0"/>
          <w:color w:val="auto"/>
          <w:kern w:val="2"/>
          <w:sz w:val="24"/>
          <w:szCs w:val="24"/>
          <w:highlight w:val="none"/>
          <w:lang w:val="en-US" w:eastAsia="zh-CN"/>
        </w:rPr>
        <w:t>七</w:t>
      </w:r>
      <w:r>
        <w:rPr>
          <w:rFonts w:hint="eastAsia" w:ascii="黑体" w:hAnsi="黑体" w:eastAsia="黑体" w:cs="黑体"/>
          <w:b w:val="0"/>
          <w:color w:val="auto"/>
          <w:kern w:val="2"/>
          <w:sz w:val="24"/>
          <w:szCs w:val="24"/>
          <w:highlight w:val="none"/>
        </w:rPr>
        <w:t>、乙方权利与义务</w:t>
      </w:r>
    </w:p>
    <w:p w14:paraId="487B529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default" w:ascii="仿宋_GB2312" w:eastAsia="仿宋_GB2312" w:cs="仿宋_GB2312"/>
          <w:color w:val="auto"/>
          <w:kern w:val="2"/>
          <w:sz w:val="24"/>
          <w:szCs w:val="24"/>
          <w:highlight w:val="none"/>
        </w:rPr>
      </w:pPr>
      <w:r>
        <w:rPr>
          <w:rFonts w:hint="default" w:ascii="仿宋_GB2312" w:hAnsi="Times New Roman" w:eastAsia="仿宋_GB2312" w:cs="仿宋_GB2312"/>
          <w:b/>
          <w:color w:val="auto"/>
          <w:kern w:val="2"/>
          <w:sz w:val="24"/>
          <w:szCs w:val="24"/>
          <w:highlight w:val="none"/>
          <w:lang w:val="en-US" w:eastAsia="zh-CN"/>
        </w:rPr>
        <w:t>1.费用约定。</w:t>
      </w:r>
      <w:r>
        <w:rPr>
          <w:rFonts w:hint="default" w:ascii="仿宋_GB2312" w:hAnsi="Times New Roman" w:eastAsia="仿宋_GB2312" w:cs="仿宋_GB2312"/>
          <w:color w:val="auto"/>
          <w:kern w:val="2"/>
          <w:sz w:val="24"/>
          <w:szCs w:val="24"/>
          <w:highlight w:val="none"/>
          <w:lang w:val="en-US" w:eastAsia="zh-CN"/>
        </w:rPr>
        <w:t>乙方有权按照合同约定收取费用。</w:t>
      </w:r>
    </w:p>
    <w:p w14:paraId="3FED9BA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default" w:ascii="仿宋_GB2312" w:eastAsia="仿宋_GB2312" w:cs="仿宋_GB2312"/>
          <w:color w:val="auto"/>
          <w:kern w:val="2"/>
          <w:sz w:val="24"/>
          <w:szCs w:val="24"/>
          <w:highlight w:val="none"/>
        </w:rPr>
      </w:pPr>
      <w:r>
        <w:rPr>
          <w:rFonts w:hint="default" w:ascii="仿宋_GB2312" w:hAnsi="Times New Roman" w:eastAsia="仿宋_GB2312" w:cs="仿宋_GB2312"/>
          <w:b/>
          <w:color w:val="auto"/>
          <w:kern w:val="2"/>
          <w:sz w:val="24"/>
          <w:szCs w:val="24"/>
          <w:highlight w:val="none"/>
          <w:lang w:val="en-US" w:eastAsia="zh-CN"/>
        </w:rPr>
        <w:t>2.资质要求。</w:t>
      </w:r>
      <w:r>
        <w:rPr>
          <w:rFonts w:hint="default" w:ascii="仿宋_GB2312" w:hAnsi="Times New Roman" w:eastAsia="仿宋_GB2312" w:cs="仿宋_GB2312"/>
          <w:b w:val="0"/>
          <w:color w:val="auto"/>
          <w:kern w:val="2"/>
          <w:sz w:val="24"/>
          <w:szCs w:val="24"/>
          <w:highlight w:val="none"/>
          <w:lang w:val="en-US" w:eastAsia="zh-CN"/>
        </w:rPr>
        <w:t>乙方依法取得</w:t>
      </w:r>
      <w:r>
        <w:rPr>
          <w:rFonts w:hint="eastAsia" w:ascii="仿宋_GB2312" w:hAnsi="Times New Roman" w:eastAsia="仿宋_GB2312" w:cs="仿宋_GB2312"/>
          <w:b w:val="0"/>
          <w:color w:val="auto"/>
          <w:kern w:val="2"/>
          <w:sz w:val="24"/>
          <w:szCs w:val="24"/>
          <w:highlight w:val="none"/>
          <w:lang w:val="en-US" w:eastAsia="zh-CN"/>
        </w:rPr>
        <w:t>食品经营许可证，含餐饮服务管理经营项目</w:t>
      </w:r>
      <w:r>
        <w:rPr>
          <w:rFonts w:hint="default" w:ascii="仿宋_GB2312" w:hAnsi="Times New Roman" w:eastAsia="仿宋_GB2312" w:cs="仿宋_GB2312"/>
          <w:color w:val="auto"/>
          <w:kern w:val="2"/>
          <w:sz w:val="24"/>
          <w:szCs w:val="24"/>
          <w:highlight w:val="none"/>
          <w:lang w:val="en-US" w:eastAsia="zh-CN"/>
        </w:rPr>
        <w:t>。</w:t>
      </w:r>
    </w:p>
    <w:p w14:paraId="045562F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default" w:ascii="仿宋_GB2312" w:eastAsia="仿宋_GB2312" w:cs="仿宋_GB2312"/>
          <w:color w:val="auto"/>
          <w:kern w:val="2"/>
          <w:sz w:val="24"/>
          <w:szCs w:val="24"/>
          <w:highlight w:val="none"/>
        </w:rPr>
      </w:pPr>
      <w:r>
        <w:rPr>
          <w:rFonts w:hint="default" w:ascii="仿宋_GB2312" w:hAnsi="Times New Roman" w:eastAsia="仿宋_GB2312" w:cs="仿宋_GB2312"/>
          <w:b/>
          <w:color w:val="auto"/>
          <w:kern w:val="2"/>
          <w:sz w:val="24"/>
          <w:szCs w:val="24"/>
          <w:highlight w:val="none"/>
          <w:lang w:val="en-US" w:eastAsia="zh-CN"/>
        </w:rPr>
        <w:t>3.规范执行。</w:t>
      </w:r>
      <w:r>
        <w:rPr>
          <w:rFonts w:hint="default" w:ascii="仿宋_GB2312" w:hAnsi="Times New Roman" w:eastAsia="仿宋_GB2312" w:cs="仿宋_GB2312"/>
          <w:color w:val="auto"/>
          <w:kern w:val="2"/>
          <w:sz w:val="24"/>
          <w:szCs w:val="24"/>
          <w:highlight w:val="none"/>
          <w:lang w:val="en-US" w:eastAsia="zh-CN"/>
        </w:rPr>
        <w:t>乙方应严格遵守《</w:t>
      </w:r>
      <w:r>
        <w:rPr>
          <w:rFonts w:hint="eastAsia" w:ascii="仿宋_GB2312" w:eastAsia="仿宋_GB2312" w:cs="仿宋_GB2312"/>
          <w:color w:val="auto"/>
          <w:kern w:val="2"/>
          <w:sz w:val="24"/>
          <w:szCs w:val="24"/>
          <w:highlight w:val="none"/>
          <w:lang w:val="en-US" w:eastAsia="zh-CN"/>
        </w:rPr>
        <w:t>中华人民共和国食品安全法</w:t>
      </w:r>
      <w:r>
        <w:rPr>
          <w:rFonts w:hint="default" w:ascii="仿宋_GB2312" w:hAnsi="Times New Roman" w:eastAsia="仿宋_GB2312" w:cs="仿宋_GB2312"/>
          <w:color w:val="auto"/>
          <w:kern w:val="2"/>
          <w:sz w:val="24"/>
          <w:szCs w:val="24"/>
          <w:highlight w:val="none"/>
          <w:lang w:val="en-US" w:eastAsia="zh-CN"/>
        </w:rPr>
        <w:t>》</w:t>
      </w:r>
      <w:r>
        <w:rPr>
          <w:rFonts w:hint="default" w:ascii="仿宋_GB2312" w:hAnsi="Times New Roman" w:eastAsia="仿宋_GB2312" w:cs="仿宋_GB2312"/>
          <w:color w:val="auto"/>
          <w:kern w:val="0"/>
          <w:sz w:val="24"/>
          <w:szCs w:val="24"/>
          <w:highlight w:val="none"/>
          <w:lang w:val="en-US" w:eastAsia="zh-CN"/>
        </w:rPr>
        <w:t>《学校食品安全与营养健康管理规定》</w:t>
      </w:r>
      <w:r>
        <w:rPr>
          <w:rFonts w:hint="default" w:ascii="仿宋_GB2312" w:hAnsi="Times New Roman" w:eastAsia="仿宋_GB2312" w:cs="仿宋_GB2312"/>
          <w:color w:val="auto"/>
          <w:kern w:val="2"/>
          <w:sz w:val="24"/>
          <w:szCs w:val="24"/>
          <w:highlight w:val="none"/>
          <w:lang w:val="en-US" w:eastAsia="zh-CN"/>
        </w:rPr>
        <w:t>《GB31654—2021 食品安全国家标准餐饮服务通用卫生规范》《餐饮服务食品安全操作规范》等要求，履行食品安全管理责任，主动接受甲方的监督和管理。</w:t>
      </w:r>
    </w:p>
    <w:p w14:paraId="13C129C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default" w:ascii="仿宋_GB2312" w:hAnsi="Times New Roman" w:eastAsia="仿宋_GB2312" w:cs="仿宋_GB2312"/>
          <w:color w:val="auto"/>
          <w:kern w:val="2"/>
          <w:sz w:val="24"/>
          <w:szCs w:val="24"/>
          <w:highlight w:val="none"/>
          <w:lang w:val="en-US" w:eastAsia="zh-CN"/>
        </w:rPr>
      </w:pPr>
      <w:r>
        <w:rPr>
          <w:rFonts w:hint="default" w:ascii="仿宋_GB2312" w:hAnsi="Times New Roman" w:eastAsia="仿宋_GB2312" w:cs="仿宋_GB2312"/>
          <w:color w:val="auto"/>
          <w:kern w:val="2"/>
          <w:sz w:val="24"/>
          <w:szCs w:val="24"/>
          <w:highlight w:val="none"/>
          <w:lang w:val="en-US" w:eastAsia="zh-CN"/>
        </w:rPr>
        <w:t>乙方应严格规范食品加工管理，保持加工经营场所内外环境整洁，实施原料采购、粗加工、切配、烹饪、供餐、留样、餐用具清洗消毒保洁全过程控制管理。</w:t>
      </w:r>
      <w:r>
        <w:rPr>
          <w:rFonts w:hint="eastAsia" w:ascii="仿宋_GB2312" w:hAnsi="Times New Roman" w:eastAsia="仿宋_GB2312" w:cs="仿宋_GB2312"/>
          <w:color w:val="auto"/>
          <w:kern w:val="2"/>
          <w:sz w:val="24"/>
          <w:szCs w:val="24"/>
          <w:highlight w:val="none"/>
          <w:lang w:val="en-US" w:eastAsia="zh-CN"/>
        </w:rPr>
        <w:t>积极落实</w:t>
      </w:r>
      <w:r>
        <w:rPr>
          <w:rFonts w:hint="default" w:ascii="仿宋_GB2312" w:hAnsi="Times New Roman" w:eastAsia="仿宋_GB2312" w:cs="仿宋_GB2312"/>
          <w:color w:val="auto"/>
          <w:kern w:val="2"/>
          <w:sz w:val="24"/>
          <w:szCs w:val="24"/>
          <w:highlight w:val="none"/>
          <w:lang w:val="en-US" w:eastAsia="zh-CN"/>
        </w:rPr>
        <w:t>《学校食堂食品安全管理工作卡位操作手册》和色标管理制度</w:t>
      </w:r>
      <w:r>
        <w:rPr>
          <w:rFonts w:hint="eastAsia" w:ascii="仿宋_GB2312" w:hAnsi="Times New Roman" w:eastAsia="仿宋_GB2312" w:cs="仿宋_GB2312"/>
          <w:color w:val="auto"/>
          <w:kern w:val="2"/>
          <w:sz w:val="24"/>
          <w:szCs w:val="24"/>
          <w:highlight w:val="none"/>
          <w:lang w:val="en-US" w:eastAsia="zh-CN"/>
        </w:rPr>
        <w:t>等</w:t>
      </w:r>
      <w:r>
        <w:rPr>
          <w:rFonts w:hint="default" w:ascii="仿宋_GB2312" w:hAnsi="Times New Roman" w:eastAsia="仿宋_GB2312" w:cs="仿宋_GB2312"/>
          <w:color w:val="auto"/>
          <w:kern w:val="2"/>
          <w:sz w:val="24"/>
          <w:szCs w:val="24"/>
          <w:highlight w:val="none"/>
          <w:lang w:val="en-US" w:eastAsia="zh-CN"/>
        </w:rPr>
        <w:t>要求。</w:t>
      </w:r>
    </w:p>
    <w:p w14:paraId="60888B5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default" w:ascii="仿宋_GB2312" w:hAnsi="Times New Roman" w:eastAsia="仿宋_GB2312" w:cs="仿宋_GB2312"/>
          <w:color w:val="auto"/>
          <w:kern w:val="2"/>
          <w:sz w:val="24"/>
          <w:szCs w:val="24"/>
          <w:highlight w:val="none"/>
          <w:lang w:val="en-US" w:eastAsia="zh-CN"/>
        </w:rPr>
      </w:pPr>
      <w:r>
        <w:rPr>
          <w:rFonts w:hint="eastAsia" w:ascii="仿宋_GB2312" w:hAnsi="Times New Roman" w:eastAsia="仿宋_GB2312" w:cs="仿宋_GB2312"/>
          <w:b/>
          <w:color w:val="auto"/>
          <w:kern w:val="2"/>
          <w:sz w:val="24"/>
          <w:szCs w:val="24"/>
          <w:highlight w:val="none"/>
          <w:lang w:val="en-US" w:eastAsia="zh-CN"/>
        </w:rPr>
        <w:t>4</w:t>
      </w:r>
      <w:r>
        <w:rPr>
          <w:rFonts w:hint="default" w:ascii="仿宋_GB2312" w:hAnsi="Times New Roman" w:eastAsia="仿宋_GB2312" w:cs="仿宋_GB2312"/>
          <w:b/>
          <w:color w:val="auto"/>
          <w:kern w:val="2"/>
          <w:sz w:val="24"/>
          <w:szCs w:val="24"/>
          <w:highlight w:val="none"/>
          <w:lang w:val="en-US" w:eastAsia="zh-CN"/>
        </w:rPr>
        <w:t>.两员责任。</w:t>
      </w:r>
      <w:r>
        <w:rPr>
          <w:rFonts w:hint="default" w:ascii="仿宋_GB2312" w:hAnsi="Times New Roman" w:eastAsia="仿宋_GB2312" w:cs="仿宋_GB2312"/>
          <w:color w:val="auto"/>
          <w:kern w:val="2"/>
          <w:sz w:val="24"/>
          <w:szCs w:val="24"/>
          <w:highlight w:val="none"/>
          <w:lang w:val="en-US" w:eastAsia="zh-CN"/>
        </w:rPr>
        <w:t>乙方应</w:t>
      </w:r>
      <w:r>
        <w:rPr>
          <w:rFonts w:hint="eastAsia" w:ascii="仿宋_GB2312" w:hAnsi="Times New Roman" w:eastAsia="仿宋_GB2312" w:cs="仿宋_GB2312"/>
          <w:color w:val="auto"/>
          <w:kern w:val="2"/>
          <w:sz w:val="24"/>
          <w:szCs w:val="24"/>
          <w:highlight w:val="none"/>
          <w:lang w:val="en-US" w:eastAsia="zh-CN"/>
        </w:rPr>
        <w:t>按照</w:t>
      </w:r>
      <w:r>
        <w:rPr>
          <w:rFonts w:hint="default" w:ascii="仿宋_GB2312" w:hAnsi="Times New Roman" w:eastAsia="仿宋_GB2312" w:cs="仿宋_GB2312"/>
          <w:color w:val="auto"/>
          <w:kern w:val="2"/>
          <w:sz w:val="24"/>
          <w:szCs w:val="24"/>
          <w:highlight w:val="none"/>
          <w:lang w:val="en-US" w:eastAsia="zh-CN"/>
        </w:rPr>
        <w:t>《企业落实食品安全主体责任监督管理办法》</w:t>
      </w:r>
      <w:r>
        <w:rPr>
          <w:rFonts w:hint="eastAsia" w:ascii="仿宋_GB2312" w:hAnsi="Times New Roman" w:eastAsia="仿宋_GB2312" w:cs="仿宋_GB2312"/>
          <w:color w:val="auto"/>
          <w:kern w:val="2"/>
          <w:sz w:val="24"/>
          <w:szCs w:val="24"/>
          <w:highlight w:val="none"/>
          <w:lang w:val="en-US" w:eastAsia="zh-CN"/>
        </w:rPr>
        <w:t>规定</w:t>
      </w:r>
      <w:r>
        <w:rPr>
          <w:rFonts w:hint="default" w:ascii="仿宋_GB2312" w:hAnsi="Times New Roman" w:eastAsia="仿宋_GB2312" w:cs="仿宋_GB2312"/>
          <w:color w:val="auto"/>
          <w:kern w:val="2"/>
          <w:sz w:val="24"/>
          <w:szCs w:val="24"/>
          <w:highlight w:val="none"/>
          <w:lang w:val="en-US" w:eastAsia="zh-CN"/>
        </w:rPr>
        <w:t>配备食品安全总监/食品安全员，落实“日管控、周排查、月调度”制度要求，同甲方食品安全管理人员共同开展食堂食品安全日常管理。</w:t>
      </w:r>
    </w:p>
    <w:p w14:paraId="22E59C4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default" w:ascii="仿宋_GB2312" w:hAnsi="Times New Roman" w:eastAsia="仿宋_GB2312" w:cs="仿宋_GB2312"/>
          <w:color w:val="auto"/>
          <w:kern w:val="2"/>
          <w:sz w:val="24"/>
          <w:szCs w:val="24"/>
          <w:highlight w:val="none"/>
          <w:lang w:val="en-US" w:eastAsia="zh-CN"/>
        </w:rPr>
      </w:pPr>
      <w:r>
        <w:rPr>
          <w:rFonts w:hint="eastAsia" w:ascii="仿宋_GB2312" w:hAnsi="Times New Roman" w:eastAsia="仿宋_GB2312" w:cs="仿宋_GB2312"/>
          <w:b/>
          <w:color w:val="auto"/>
          <w:kern w:val="2"/>
          <w:sz w:val="24"/>
          <w:szCs w:val="24"/>
          <w:highlight w:val="none"/>
          <w:lang w:val="en-US" w:eastAsia="zh-CN"/>
        </w:rPr>
        <w:t>5.用工管理。</w:t>
      </w:r>
      <w:r>
        <w:rPr>
          <w:rFonts w:hint="default" w:ascii="仿宋_GB2312" w:hAnsi="Times New Roman" w:eastAsia="仿宋_GB2312" w:cs="仿宋_GB2312"/>
          <w:color w:val="auto"/>
          <w:kern w:val="2"/>
          <w:sz w:val="24"/>
          <w:szCs w:val="24"/>
          <w:highlight w:val="none"/>
          <w:lang w:val="en-US" w:eastAsia="zh-CN"/>
        </w:rPr>
        <w:t>乙方应根据合同约定组建服务团队。乙方应与</w:t>
      </w:r>
      <w:r>
        <w:rPr>
          <w:rFonts w:hint="eastAsia" w:ascii="仿宋_GB2312" w:hAnsi="Times New Roman" w:eastAsia="仿宋_GB2312" w:cs="仿宋_GB2312"/>
          <w:color w:val="auto"/>
          <w:kern w:val="2"/>
          <w:sz w:val="24"/>
          <w:szCs w:val="24"/>
          <w:highlight w:val="none"/>
          <w:lang w:val="en-US" w:eastAsia="zh-CN"/>
        </w:rPr>
        <w:t>聘用的员工</w:t>
      </w:r>
      <w:r>
        <w:rPr>
          <w:rFonts w:hint="default" w:ascii="仿宋_GB2312" w:hAnsi="Times New Roman" w:eastAsia="仿宋_GB2312" w:cs="仿宋_GB2312"/>
          <w:color w:val="auto"/>
          <w:kern w:val="2"/>
          <w:sz w:val="24"/>
          <w:szCs w:val="24"/>
          <w:highlight w:val="none"/>
          <w:lang w:val="en-US" w:eastAsia="zh-CN"/>
        </w:rPr>
        <w:t>签订</w:t>
      </w:r>
      <w:r>
        <w:rPr>
          <w:rFonts w:hint="eastAsia" w:ascii="仿宋_GB2312" w:hAnsi="Times New Roman" w:eastAsia="仿宋_GB2312" w:cs="仿宋_GB2312"/>
          <w:color w:val="auto"/>
          <w:kern w:val="2"/>
          <w:sz w:val="24"/>
          <w:szCs w:val="24"/>
          <w:highlight w:val="none"/>
          <w:lang w:val="en-US" w:eastAsia="zh-CN"/>
        </w:rPr>
        <w:t>用工协议</w:t>
      </w:r>
      <w:r>
        <w:rPr>
          <w:rFonts w:hint="default" w:ascii="仿宋_GB2312" w:hAnsi="Times New Roman" w:eastAsia="仿宋_GB2312" w:cs="仿宋_GB2312"/>
          <w:color w:val="auto"/>
          <w:kern w:val="2"/>
          <w:sz w:val="24"/>
          <w:szCs w:val="24"/>
          <w:highlight w:val="none"/>
          <w:lang w:val="en-US" w:eastAsia="zh-CN"/>
        </w:rPr>
        <w:t>，与甲方没有人事依附关系，自行承担</w:t>
      </w:r>
      <w:r>
        <w:rPr>
          <w:rFonts w:hint="eastAsia" w:ascii="仿宋_GB2312" w:hAnsi="Times New Roman" w:eastAsia="仿宋_GB2312" w:cs="仿宋_GB2312"/>
          <w:color w:val="auto"/>
          <w:kern w:val="2"/>
          <w:sz w:val="24"/>
          <w:szCs w:val="24"/>
          <w:highlight w:val="none"/>
          <w:lang w:val="en-US" w:eastAsia="zh-CN"/>
        </w:rPr>
        <w:t>用工</w:t>
      </w:r>
      <w:r>
        <w:rPr>
          <w:rFonts w:hint="default" w:ascii="仿宋_GB2312" w:hAnsi="Times New Roman" w:eastAsia="仿宋_GB2312" w:cs="仿宋_GB2312"/>
          <w:color w:val="auto"/>
          <w:kern w:val="2"/>
          <w:sz w:val="24"/>
          <w:szCs w:val="24"/>
          <w:highlight w:val="none"/>
          <w:lang w:val="en-US" w:eastAsia="zh-CN"/>
        </w:rPr>
        <w:t>纠纷的处理和工伤等相关经济和法律责任。乙方员工应严格遵守国家法律法规和甲方单位的各项规章制度。同时，乙方负责员工的生产安全（包括车辆交通安全），并根据责任划分承担相应的责任。乙方应为</w:t>
      </w:r>
      <w:r>
        <w:rPr>
          <w:rFonts w:hint="eastAsia" w:ascii="仿宋_GB2312" w:hAnsi="Times New Roman" w:eastAsia="仿宋_GB2312" w:cs="仿宋_GB2312"/>
          <w:color w:val="auto"/>
          <w:kern w:val="2"/>
          <w:sz w:val="24"/>
          <w:szCs w:val="24"/>
          <w:highlight w:val="none"/>
          <w:lang w:val="en-US" w:eastAsia="zh-CN"/>
        </w:rPr>
        <w:t>员工</w:t>
      </w:r>
      <w:r>
        <w:rPr>
          <w:rFonts w:hint="default" w:ascii="仿宋_GB2312" w:hAnsi="Times New Roman" w:eastAsia="仿宋_GB2312" w:cs="仿宋_GB2312"/>
          <w:color w:val="auto"/>
          <w:kern w:val="2"/>
          <w:sz w:val="24"/>
          <w:szCs w:val="24"/>
          <w:highlight w:val="none"/>
          <w:lang w:val="en-US" w:eastAsia="zh-CN"/>
        </w:rPr>
        <w:t>缴纳相关保险。</w:t>
      </w:r>
    </w:p>
    <w:p w14:paraId="2979E60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default" w:ascii="仿宋_GB2312" w:eastAsia="仿宋_GB2312" w:cs="仿宋_GB2312"/>
          <w:color w:val="auto"/>
          <w:kern w:val="2"/>
          <w:sz w:val="24"/>
          <w:szCs w:val="24"/>
          <w:highlight w:val="none"/>
        </w:rPr>
      </w:pPr>
      <w:r>
        <w:rPr>
          <w:rFonts w:hint="eastAsia" w:ascii="仿宋_GB2312" w:hAnsi="Times New Roman" w:eastAsia="仿宋_GB2312" w:cs="仿宋_GB2312"/>
          <w:b/>
          <w:color w:val="auto"/>
          <w:kern w:val="2"/>
          <w:sz w:val="24"/>
          <w:szCs w:val="24"/>
          <w:highlight w:val="none"/>
          <w:lang w:val="en-US" w:eastAsia="zh-CN"/>
        </w:rPr>
        <w:t>6</w:t>
      </w:r>
      <w:r>
        <w:rPr>
          <w:rFonts w:hint="default" w:ascii="仿宋_GB2312" w:hAnsi="Times New Roman" w:eastAsia="仿宋_GB2312" w:cs="仿宋_GB2312"/>
          <w:b/>
          <w:color w:val="auto"/>
          <w:kern w:val="2"/>
          <w:sz w:val="24"/>
          <w:szCs w:val="24"/>
          <w:highlight w:val="none"/>
          <w:lang w:val="en-US" w:eastAsia="zh-CN"/>
        </w:rPr>
        <w:t>.人员管理。</w:t>
      </w:r>
      <w:r>
        <w:rPr>
          <w:rFonts w:hint="default" w:ascii="仿宋_GB2312" w:hAnsi="Times New Roman" w:eastAsia="仿宋_GB2312" w:cs="仿宋_GB2312"/>
          <w:color w:val="auto"/>
          <w:kern w:val="2"/>
          <w:sz w:val="24"/>
          <w:szCs w:val="24"/>
          <w:highlight w:val="none"/>
          <w:lang w:val="en-US" w:eastAsia="zh-CN"/>
        </w:rPr>
        <w:t>乙方应严格</w:t>
      </w:r>
      <w:r>
        <w:rPr>
          <w:rFonts w:hint="eastAsia" w:ascii="仿宋_GB2312" w:hAnsi="Times New Roman" w:eastAsia="仿宋_GB2312" w:cs="仿宋_GB2312"/>
          <w:color w:val="auto"/>
          <w:kern w:val="2"/>
          <w:sz w:val="24"/>
          <w:szCs w:val="24"/>
          <w:highlight w:val="none"/>
          <w:lang w:val="en-US" w:eastAsia="zh-CN"/>
        </w:rPr>
        <w:t>从业</w:t>
      </w:r>
      <w:r>
        <w:rPr>
          <w:rFonts w:hint="default" w:ascii="仿宋_GB2312" w:hAnsi="Times New Roman" w:eastAsia="仿宋_GB2312" w:cs="仿宋_GB2312"/>
          <w:color w:val="auto"/>
          <w:kern w:val="2"/>
          <w:sz w:val="24"/>
          <w:szCs w:val="24"/>
          <w:highlight w:val="none"/>
          <w:lang w:val="en-US" w:eastAsia="zh-CN"/>
        </w:rPr>
        <w:t>人员健康管理，制定实施从业人员食品安全培训考核计划。聘</w:t>
      </w:r>
      <w:r>
        <w:rPr>
          <w:rFonts w:hint="eastAsia" w:ascii="仿宋_GB2312" w:hAnsi="Times New Roman" w:eastAsia="仿宋_GB2312" w:cs="仿宋_GB2312"/>
          <w:color w:val="auto"/>
          <w:kern w:val="2"/>
          <w:sz w:val="24"/>
          <w:szCs w:val="24"/>
          <w:highlight w:val="none"/>
          <w:lang w:val="en-US" w:eastAsia="zh-CN"/>
        </w:rPr>
        <w:t>用</w:t>
      </w:r>
      <w:r>
        <w:rPr>
          <w:rFonts w:hint="default" w:ascii="仿宋_GB2312" w:hAnsi="Times New Roman" w:eastAsia="仿宋_GB2312" w:cs="仿宋_GB2312"/>
          <w:color w:val="auto"/>
          <w:kern w:val="2"/>
          <w:sz w:val="24"/>
          <w:szCs w:val="24"/>
          <w:highlight w:val="none"/>
          <w:lang w:val="en-US" w:eastAsia="zh-CN"/>
        </w:rPr>
        <w:t>的食品从业人员应持有效健康证明，</w:t>
      </w:r>
      <w:r>
        <w:rPr>
          <w:rFonts w:hint="eastAsia" w:ascii="仿宋_GB2312" w:hAnsi="Times New Roman" w:eastAsia="仿宋_GB2312" w:cs="仿宋_GB2312"/>
          <w:color w:val="auto"/>
          <w:kern w:val="2"/>
          <w:sz w:val="24"/>
          <w:szCs w:val="24"/>
          <w:highlight w:val="none"/>
          <w:lang w:val="en-US" w:eastAsia="zh-CN"/>
        </w:rPr>
        <w:t>经培训合格后上岗并留存记录</w:t>
      </w:r>
      <w:r>
        <w:rPr>
          <w:rFonts w:hint="default" w:ascii="仿宋_GB2312" w:hAnsi="Times New Roman" w:eastAsia="仿宋_GB2312" w:cs="仿宋_GB2312"/>
          <w:color w:val="auto"/>
          <w:kern w:val="2"/>
          <w:sz w:val="24"/>
          <w:szCs w:val="24"/>
          <w:highlight w:val="none"/>
          <w:lang w:val="en-US" w:eastAsia="zh-CN"/>
        </w:rPr>
        <w:t>，按规定每日晨检，穿戴整洁的工作服、帽子、口罩，禁止无关人员进入厨房。</w:t>
      </w:r>
    </w:p>
    <w:p w14:paraId="554ABAA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default" w:ascii="仿宋_GB2312" w:hAnsi="Times New Roman" w:eastAsia="仿宋_GB2312" w:cs="仿宋_GB2312"/>
          <w:b/>
          <w:color w:val="auto"/>
          <w:kern w:val="2"/>
          <w:sz w:val="24"/>
          <w:szCs w:val="24"/>
          <w:highlight w:val="none"/>
          <w:lang w:val="en-US" w:eastAsia="zh-CN"/>
        </w:rPr>
      </w:pPr>
      <w:r>
        <w:rPr>
          <w:rFonts w:hint="eastAsia" w:ascii="仿宋_GB2312" w:eastAsia="仿宋_GB2312" w:cs="仿宋_GB2312"/>
          <w:b/>
          <w:bCs/>
          <w:color w:val="auto"/>
          <w:kern w:val="2"/>
          <w:sz w:val="24"/>
          <w:szCs w:val="24"/>
          <w:highlight w:val="none"/>
          <w:lang w:val="en-US" w:eastAsia="zh-CN"/>
        </w:rPr>
        <w:t>7.采购验收。</w:t>
      </w:r>
      <w:r>
        <w:rPr>
          <w:rFonts w:hint="default" w:ascii="仿宋_GB2312" w:eastAsia="仿宋_GB2312" w:cs="仿宋_GB2312"/>
          <w:b w:val="0"/>
          <w:bCs w:val="0"/>
          <w:color w:val="auto"/>
          <w:kern w:val="2"/>
          <w:sz w:val="24"/>
          <w:szCs w:val="24"/>
          <w:highlight w:val="none"/>
          <w:lang w:val="en-US" w:eastAsia="zh-CN"/>
        </w:rPr>
        <w:t>乙方应积极协助甲方</w:t>
      </w:r>
      <w:r>
        <w:rPr>
          <w:rFonts w:hint="eastAsia" w:ascii="仿宋_GB2312" w:eastAsia="仿宋_GB2312" w:cs="仿宋_GB2312"/>
          <w:b w:val="0"/>
          <w:bCs w:val="0"/>
          <w:color w:val="auto"/>
          <w:kern w:val="2"/>
          <w:sz w:val="24"/>
          <w:szCs w:val="24"/>
          <w:highlight w:val="none"/>
          <w:lang w:val="en-US" w:eastAsia="zh-CN"/>
        </w:rPr>
        <w:t>开展食材验收、台账建立等工作</w:t>
      </w:r>
      <w:r>
        <w:rPr>
          <w:rFonts w:hint="default" w:ascii="仿宋_GB2312" w:hAnsi="Courier New" w:eastAsia="仿宋_GB2312" w:cs="仿宋_GB2312"/>
          <w:color w:val="auto"/>
          <w:kern w:val="2"/>
          <w:sz w:val="24"/>
          <w:szCs w:val="24"/>
          <w:highlight w:val="none"/>
        </w:rPr>
        <w:t>。</w:t>
      </w:r>
      <w:r>
        <w:rPr>
          <w:rFonts w:hint="eastAsia" w:ascii="仿宋_GB2312" w:eastAsia="仿宋_GB2312" w:cs="仿宋_GB2312"/>
          <w:color w:val="auto"/>
          <w:kern w:val="2"/>
          <w:sz w:val="24"/>
          <w:szCs w:val="24"/>
          <w:highlight w:val="none"/>
          <w:lang w:eastAsia="zh-CN"/>
        </w:rPr>
        <w:t>发现采购的食材有</w:t>
      </w:r>
      <w:r>
        <w:rPr>
          <w:rFonts w:hint="default" w:ascii="仿宋_GB2312" w:eastAsia="仿宋_GB2312" w:cs="仿宋_GB2312"/>
          <w:color w:val="auto"/>
          <w:kern w:val="2"/>
          <w:sz w:val="24"/>
          <w:szCs w:val="24"/>
          <w:highlight w:val="none"/>
        </w:rPr>
        <w:t>腐败变质</w:t>
      </w:r>
      <w:r>
        <w:rPr>
          <w:rFonts w:hint="eastAsia" w:ascii="仿宋_GB2312" w:eastAsia="仿宋_GB2312" w:cs="仿宋_GB2312"/>
          <w:color w:val="auto"/>
          <w:kern w:val="2"/>
          <w:sz w:val="24"/>
          <w:szCs w:val="24"/>
          <w:highlight w:val="none"/>
          <w:lang w:eastAsia="zh-CN"/>
        </w:rPr>
        <w:t>或不符合食品安全要求的，应拒绝接收。</w:t>
      </w:r>
    </w:p>
    <w:p w14:paraId="486459B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Times New Roman" w:hAnsi="Times New Roman" w:eastAsia="宋体" w:cs="Times New Roman"/>
          <w:color w:val="auto"/>
          <w:kern w:val="2"/>
          <w:sz w:val="18"/>
          <w:szCs w:val="18"/>
          <w:highlight w:val="none"/>
        </w:rPr>
      </w:pPr>
      <w:r>
        <w:rPr>
          <w:rFonts w:hint="eastAsia" w:ascii="仿宋_GB2312" w:hAnsi="Times New Roman" w:eastAsia="仿宋_GB2312" w:cs="仿宋_GB2312"/>
          <w:b/>
          <w:color w:val="auto"/>
          <w:kern w:val="2"/>
          <w:sz w:val="24"/>
          <w:szCs w:val="24"/>
          <w:highlight w:val="none"/>
          <w:lang w:val="en-US" w:eastAsia="zh-CN"/>
        </w:rPr>
        <w:t>8.病媒防护</w:t>
      </w:r>
      <w:r>
        <w:rPr>
          <w:rFonts w:hint="default" w:ascii="仿宋_GB2312" w:hAnsi="Times New Roman" w:eastAsia="仿宋_GB2312" w:cs="仿宋_GB2312"/>
          <w:b/>
          <w:color w:val="auto"/>
          <w:kern w:val="2"/>
          <w:sz w:val="24"/>
          <w:szCs w:val="24"/>
          <w:highlight w:val="none"/>
          <w:lang w:val="en-US" w:eastAsia="zh-CN"/>
        </w:rPr>
        <w:t>。</w:t>
      </w:r>
      <w:r>
        <w:rPr>
          <w:rFonts w:hint="default" w:ascii="仿宋_GB2312" w:hAnsi="Times New Roman" w:eastAsia="仿宋_GB2312" w:cs="仿宋_GB2312"/>
          <w:color w:val="auto"/>
          <w:kern w:val="2"/>
          <w:sz w:val="24"/>
          <w:szCs w:val="24"/>
          <w:highlight w:val="none"/>
          <w:lang w:val="en-US" w:eastAsia="zh-CN"/>
        </w:rPr>
        <w:t>乙方应做好</w:t>
      </w:r>
      <w:r>
        <w:rPr>
          <w:rFonts w:hint="eastAsia" w:ascii="仿宋_GB2312" w:hAnsi="Times New Roman" w:eastAsia="仿宋_GB2312" w:cs="仿宋_GB2312"/>
          <w:color w:val="auto"/>
          <w:kern w:val="2"/>
          <w:sz w:val="24"/>
          <w:szCs w:val="24"/>
          <w:highlight w:val="none"/>
          <w:lang w:val="en-US" w:eastAsia="zh-CN"/>
        </w:rPr>
        <w:t>老鼠、蟑螂、</w:t>
      </w:r>
      <w:r>
        <w:rPr>
          <w:rFonts w:hint="default" w:ascii="仿宋_GB2312" w:hAnsi="Times New Roman" w:eastAsia="仿宋_GB2312" w:cs="仿宋_GB2312"/>
          <w:color w:val="auto"/>
          <w:kern w:val="2"/>
          <w:sz w:val="24"/>
          <w:szCs w:val="24"/>
          <w:highlight w:val="none"/>
          <w:lang w:val="en-US" w:eastAsia="zh-CN"/>
        </w:rPr>
        <w:t>蝇</w:t>
      </w:r>
      <w:r>
        <w:rPr>
          <w:rFonts w:hint="eastAsia" w:ascii="仿宋_GB2312" w:hAnsi="Times New Roman" w:eastAsia="仿宋_GB2312" w:cs="仿宋_GB2312"/>
          <w:color w:val="auto"/>
          <w:kern w:val="2"/>
          <w:sz w:val="24"/>
          <w:szCs w:val="24"/>
          <w:highlight w:val="none"/>
          <w:lang w:val="en-US" w:eastAsia="zh-CN"/>
        </w:rPr>
        <w:t>（虫）等病媒生物防护工作</w:t>
      </w:r>
      <w:r>
        <w:rPr>
          <w:rFonts w:hint="default" w:ascii="仿宋_GB2312" w:hAnsi="Times New Roman" w:eastAsia="仿宋_GB2312" w:cs="仿宋_GB2312"/>
          <w:color w:val="auto"/>
          <w:kern w:val="2"/>
          <w:sz w:val="24"/>
          <w:szCs w:val="24"/>
          <w:highlight w:val="none"/>
          <w:lang w:val="en-US" w:eastAsia="zh-CN"/>
        </w:rPr>
        <w:t>，垃圾做到日</w:t>
      </w:r>
      <w:r>
        <w:rPr>
          <w:rFonts w:hint="default" w:ascii="Times New Roman" w:hAnsi="Times New Roman" w:eastAsia="仿宋_GB2312" w:cs="Times New Roman"/>
          <w:color w:val="auto"/>
          <w:kern w:val="2"/>
          <w:sz w:val="24"/>
          <w:szCs w:val="24"/>
          <w:highlight w:val="none"/>
          <w:lang w:val="en-US" w:eastAsia="zh-CN"/>
        </w:rPr>
        <w:t>产日清，定期检查库房、操作间、橱柜等设施设备，采取有效措施消除四害孽生条件。</w:t>
      </w:r>
    </w:p>
    <w:p w14:paraId="4FDC7CC1">
      <w:pPr>
        <w:keepNext w:val="0"/>
        <w:keepLines w:val="0"/>
        <w:pageBreakBefore w:val="0"/>
        <w:widowControl w:val="0"/>
        <w:suppressLineNumbers w:val="0"/>
        <w:kinsoku/>
        <w:overflowPunct/>
        <w:topLinePunct w:val="0"/>
        <w:autoSpaceDE w:val="0"/>
        <w:autoSpaceDN/>
        <w:bidi w:val="0"/>
        <w:adjustRightInd/>
        <w:snapToGrid w:val="0"/>
        <w:spacing w:before="0" w:beforeAutospacing="0" w:after="0" w:afterAutospacing="0" w:line="580" w:lineRule="exact"/>
        <w:ind w:left="0" w:right="0" w:firstLine="482" w:firstLineChars="200"/>
        <w:textAlignment w:val="auto"/>
        <w:rPr>
          <w:rFonts w:hint="eastAsia" w:ascii="宋体" w:hAnsi="Courier New" w:eastAsia="宋体" w:cs="Times New Roman"/>
          <w:color w:val="auto"/>
          <w:kern w:val="0"/>
          <w:sz w:val="21"/>
          <w:szCs w:val="21"/>
          <w:highlight w:val="none"/>
        </w:rPr>
      </w:pPr>
      <w:r>
        <w:rPr>
          <w:rFonts w:hint="eastAsia" w:ascii="仿宋_GB2312" w:hAnsi="Times New Roman" w:eastAsia="仿宋_GB2312" w:cs="仿宋_GB2312"/>
          <w:b/>
          <w:color w:val="auto"/>
          <w:kern w:val="2"/>
          <w:sz w:val="24"/>
          <w:szCs w:val="24"/>
          <w:highlight w:val="none"/>
          <w:lang w:val="en-US" w:eastAsia="zh-CN"/>
        </w:rPr>
        <w:t>9</w:t>
      </w:r>
      <w:r>
        <w:rPr>
          <w:rFonts w:hint="default" w:ascii="仿宋_GB2312" w:eastAsia="仿宋_GB2312" w:cs="仿宋_GB2312"/>
          <w:b/>
          <w:color w:val="auto"/>
          <w:kern w:val="2"/>
          <w:sz w:val="24"/>
          <w:szCs w:val="24"/>
          <w:highlight w:val="none"/>
        </w:rPr>
        <w:t>.体系</w:t>
      </w:r>
      <w:r>
        <w:rPr>
          <w:rFonts w:hint="eastAsia" w:ascii="仿宋_GB2312" w:eastAsia="仿宋_GB2312" w:cs="仿宋_GB2312"/>
          <w:b/>
          <w:color w:val="auto"/>
          <w:kern w:val="2"/>
          <w:sz w:val="24"/>
          <w:szCs w:val="24"/>
          <w:highlight w:val="none"/>
          <w:lang w:eastAsia="zh-CN"/>
        </w:rPr>
        <w:t>导入</w:t>
      </w:r>
      <w:r>
        <w:rPr>
          <w:rFonts w:hint="default" w:ascii="仿宋_GB2312" w:eastAsia="仿宋_GB2312" w:cs="仿宋_GB2312"/>
          <w:b/>
          <w:color w:val="auto"/>
          <w:kern w:val="2"/>
          <w:sz w:val="24"/>
          <w:szCs w:val="24"/>
          <w:highlight w:val="none"/>
        </w:rPr>
        <w:t>。</w:t>
      </w:r>
      <w:r>
        <w:rPr>
          <w:rFonts w:hint="default" w:ascii="仿宋_GB2312" w:eastAsia="仿宋_GB2312" w:cs="仿宋_GB2312"/>
          <w:color w:val="auto"/>
          <w:kern w:val="2"/>
          <w:sz w:val="24"/>
          <w:szCs w:val="24"/>
          <w:highlight w:val="none"/>
        </w:rPr>
        <w:t>乙方积极</w:t>
      </w:r>
      <w:r>
        <w:rPr>
          <w:rFonts w:hint="eastAsia" w:ascii="仿宋_GB2312" w:eastAsia="仿宋_GB2312" w:cs="仿宋_GB2312"/>
          <w:color w:val="auto"/>
          <w:kern w:val="2"/>
          <w:sz w:val="24"/>
          <w:szCs w:val="24"/>
          <w:highlight w:val="none"/>
          <w:lang w:eastAsia="zh-CN"/>
        </w:rPr>
        <w:t>导入“</w:t>
      </w:r>
      <w:r>
        <w:rPr>
          <w:rFonts w:hint="default" w:ascii="仿宋_GB2312" w:eastAsia="仿宋_GB2312" w:cs="仿宋_GB2312"/>
          <w:color w:val="auto"/>
          <w:kern w:val="2"/>
          <w:sz w:val="24"/>
          <w:szCs w:val="24"/>
          <w:highlight w:val="none"/>
        </w:rPr>
        <w:t>4D</w:t>
      </w:r>
      <w:r>
        <w:rPr>
          <w:rFonts w:hint="eastAsia" w:ascii="仿宋_GB2312" w:eastAsia="仿宋_GB2312" w:cs="仿宋_GB2312"/>
          <w:color w:val="auto"/>
          <w:kern w:val="2"/>
          <w:sz w:val="24"/>
          <w:szCs w:val="24"/>
          <w:highlight w:val="none"/>
          <w:lang w:eastAsia="zh-CN"/>
        </w:rPr>
        <w:t>”“</w:t>
      </w:r>
      <w:r>
        <w:rPr>
          <w:rFonts w:hint="eastAsia" w:ascii="仿宋_GB2312" w:eastAsia="仿宋_GB2312" w:cs="仿宋_GB2312"/>
          <w:color w:val="auto"/>
          <w:kern w:val="2"/>
          <w:sz w:val="24"/>
          <w:szCs w:val="24"/>
          <w:highlight w:val="none"/>
          <w:lang w:val="en-US" w:eastAsia="zh-CN"/>
        </w:rPr>
        <w:t>五常法”“</w:t>
      </w:r>
      <w:r>
        <w:rPr>
          <w:rFonts w:hint="default" w:ascii="仿宋_GB2312" w:eastAsia="仿宋_GB2312" w:cs="仿宋_GB2312"/>
          <w:color w:val="auto"/>
          <w:kern w:val="2"/>
          <w:sz w:val="24"/>
          <w:szCs w:val="24"/>
          <w:highlight w:val="none"/>
        </w:rPr>
        <w:t>6T</w:t>
      </w:r>
      <w:r>
        <w:rPr>
          <w:rFonts w:hint="eastAsia" w:ascii="仿宋_GB2312" w:eastAsia="仿宋_GB2312" w:cs="仿宋_GB2312"/>
          <w:color w:val="auto"/>
          <w:kern w:val="2"/>
          <w:sz w:val="24"/>
          <w:szCs w:val="24"/>
          <w:highlight w:val="none"/>
          <w:lang w:eastAsia="zh-CN"/>
        </w:rPr>
        <w:t>”</w:t>
      </w:r>
      <w:r>
        <w:rPr>
          <w:rFonts w:hint="default" w:ascii="仿宋_GB2312" w:eastAsia="仿宋_GB2312" w:cs="仿宋_GB2312"/>
          <w:color w:val="auto"/>
          <w:kern w:val="2"/>
          <w:sz w:val="24"/>
          <w:szCs w:val="24"/>
          <w:highlight w:val="none"/>
        </w:rPr>
        <w:t>等</w:t>
      </w:r>
      <w:r>
        <w:rPr>
          <w:rFonts w:hint="eastAsia" w:ascii="仿宋_GB2312" w:eastAsia="仿宋_GB2312" w:cs="仿宋_GB2312"/>
          <w:color w:val="auto"/>
          <w:kern w:val="2"/>
          <w:sz w:val="24"/>
          <w:szCs w:val="24"/>
          <w:highlight w:val="none"/>
          <w:lang w:eastAsia="zh-CN"/>
        </w:rPr>
        <w:t>现场管理方法</w:t>
      </w:r>
      <w:r>
        <w:rPr>
          <w:rFonts w:hint="default" w:ascii="仿宋_GB2312" w:eastAsia="仿宋_GB2312" w:cs="仿宋_GB2312"/>
          <w:color w:val="auto"/>
          <w:kern w:val="2"/>
          <w:sz w:val="24"/>
          <w:szCs w:val="24"/>
          <w:highlight w:val="none"/>
        </w:rPr>
        <w:t>或建立HACCP</w:t>
      </w:r>
      <w:r>
        <w:rPr>
          <w:rFonts w:hint="eastAsia" w:ascii="仿宋_GB2312" w:eastAsia="仿宋_GB2312" w:cs="仿宋_GB2312"/>
          <w:color w:val="auto"/>
          <w:kern w:val="2"/>
          <w:sz w:val="24"/>
          <w:szCs w:val="24"/>
          <w:highlight w:val="none"/>
          <w:lang w:eastAsia="zh-CN"/>
        </w:rPr>
        <w:t>、</w:t>
      </w:r>
      <w:r>
        <w:rPr>
          <w:rFonts w:hint="default" w:ascii="仿宋_GB2312" w:eastAsia="仿宋_GB2312" w:cs="仿宋_GB2312"/>
          <w:color w:val="auto"/>
          <w:kern w:val="2"/>
          <w:sz w:val="24"/>
          <w:szCs w:val="24"/>
          <w:highlight w:val="none"/>
        </w:rPr>
        <w:t>ISO22000等危害分析与关键控制点体系，实施专业化、规范化、系统化管理。</w:t>
      </w:r>
    </w:p>
    <w:p w14:paraId="19BBCB0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default" w:ascii="仿宋_GB2312" w:hAnsi="Times New Roman" w:eastAsia="仿宋_GB2312" w:cs="仿宋_GB2312"/>
          <w:color w:val="auto"/>
          <w:kern w:val="2"/>
          <w:sz w:val="24"/>
          <w:szCs w:val="24"/>
          <w:highlight w:val="none"/>
          <w:lang w:val="en-US" w:eastAsia="zh-CN"/>
        </w:rPr>
      </w:pPr>
      <w:r>
        <w:rPr>
          <w:rFonts w:hint="eastAsia" w:ascii="仿宋_GB2312" w:hAnsi="Times New Roman" w:eastAsia="仿宋_GB2312" w:cs="仿宋_GB2312"/>
          <w:b/>
          <w:color w:val="auto"/>
          <w:kern w:val="2"/>
          <w:sz w:val="24"/>
          <w:szCs w:val="24"/>
          <w:highlight w:val="none"/>
          <w:lang w:val="en-US" w:eastAsia="zh-CN"/>
        </w:rPr>
        <w:t>10</w:t>
      </w:r>
      <w:r>
        <w:rPr>
          <w:rFonts w:hint="default" w:ascii="仿宋_GB2312" w:hAnsi="Times New Roman" w:eastAsia="仿宋_GB2312" w:cs="仿宋_GB2312"/>
          <w:b/>
          <w:color w:val="auto"/>
          <w:kern w:val="2"/>
          <w:sz w:val="24"/>
          <w:szCs w:val="24"/>
          <w:highlight w:val="none"/>
          <w:lang w:val="en-US" w:eastAsia="zh-CN"/>
        </w:rPr>
        <w:t>.供餐管理。</w:t>
      </w:r>
      <w:r>
        <w:rPr>
          <w:rFonts w:hint="default" w:ascii="仿宋_GB2312" w:hAnsi="Times New Roman" w:eastAsia="仿宋_GB2312" w:cs="仿宋_GB2312"/>
          <w:color w:val="auto"/>
          <w:kern w:val="2"/>
          <w:sz w:val="24"/>
          <w:szCs w:val="24"/>
          <w:highlight w:val="none"/>
          <w:lang w:val="en-US" w:eastAsia="zh-CN"/>
        </w:rPr>
        <w:t>乙方应配合甲方降低成本控制，根据就餐情况合理制定菜单和采购数量，加工过程控制食材损耗和浪费、节约用水、用电、用气等。</w:t>
      </w:r>
    </w:p>
    <w:p w14:paraId="776C947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default" w:ascii="仿宋_GB2312" w:eastAsia="仿宋_GB2312" w:cs="仿宋_GB2312"/>
          <w:color w:val="auto"/>
          <w:kern w:val="2"/>
          <w:sz w:val="24"/>
          <w:szCs w:val="24"/>
          <w:highlight w:val="none"/>
        </w:rPr>
      </w:pPr>
      <w:r>
        <w:rPr>
          <w:rFonts w:hint="eastAsia" w:ascii="仿宋_GB2312" w:hAnsi="Times New Roman" w:eastAsia="仿宋_GB2312" w:cs="仿宋_GB2312"/>
          <w:b/>
          <w:color w:val="auto"/>
          <w:kern w:val="2"/>
          <w:sz w:val="24"/>
          <w:szCs w:val="24"/>
          <w:highlight w:val="none"/>
          <w:lang w:val="en-US" w:eastAsia="zh-CN"/>
        </w:rPr>
        <w:t>11</w:t>
      </w:r>
      <w:r>
        <w:rPr>
          <w:rFonts w:hint="default" w:ascii="仿宋_GB2312" w:hAnsi="Times New Roman" w:eastAsia="仿宋_GB2312" w:cs="仿宋_GB2312"/>
          <w:b/>
          <w:color w:val="auto"/>
          <w:kern w:val="2"/>
          <w:sz w:val="24"/>
          <w:szCs w:val="24"/>
          <w:highlight w:val="none"/>
          <w:lang w:val="en-US" w:eastAsia="zh-CN"/>
        </w:rPr>
        <w:t>.供餐约定。</w:t>
      </w:r>
      <w:r>
        <w:rPr>
          <w:rFonts w:hint="default" w:ascii="仿宋_GB2312" w:hAnsi="Times New Roman" w:eastAsia="仿宋_GB2312" w:cs="仿宋_GB2312"/>
          <w:color w:val="auto"/>
          <w:kern w:val="2"/>
          <w:sz w:val="24"/>
          <w:szCs w:val="24"/>
          <w:highlight w:val="none"/>
          <w:lang w:val="en-US" w:eastAsia="zh-CN"/>
        </w:rPr>
        <w:t>乙方应按照甲方要求的供餐时间与标准，合理制定每周</w:t>
      </w:r>
      <w:r>
        <w:rPr>
          <w:rFonts w:hint="eastAsia" w:ascii="仿宋_GB2312" w:hAnsi="Times New Roman" w:eastAsia="仿宋_GB2312" w:cs="仿宋_GB2312"/>
          <w:color w:val="auto"/>
          <w:kern w:val="2"/>
          <w:sz w:val="24"/>
          <w:szCs w:val="24"/>
          <w:highlight w:val="none"/>
          <w:lang w:val="en-US" w:eastAsia="zh-CN"/>
        </w:rPr>
        <w:t>带量</w:t>
      </w:r>
      <w:r>
        <w:rPr>
          <w:rFonts w:hint="default" w:ascii="仿宋_GB2312" w:hAnsi="Times New Roman" w:eastAsia="仿宋_GB2312" w:cs="仿宋_GB2312"/>
          <w:color w:val="auto"/>
          <w:kern w:val="2"/>
          <w:sz w:val="24"/>
          <w:szCs w:val="24"/>
          <w:highlight w:val="none"/>
          <w:lang w:val="en-US" w:eastAsia="zh-CN"/>
        </w:rPr>
        <w:t>营养食谱，并积极创新菜品，定期更新菜谱，增加花色品种，不断调整口味提高伙食质量，满足师生需求，提升满意度。</w:t>
      </w:r>
    </w:p>
    <w:p w14:paraId="26BF0B9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default" w:ascii="仿宋_GB2312" w:hAnsi="Times New Roman" w:eastAsia="仿宋_GB2312" w:cs="仿宋_GB2312"/>
          <w:color w:val="auto"/>
          <w:kern w:val="2"/>
          <w:sz w:val="24"/>
          <w:szCs w:val="24"/>
          <w:highlight w:val="none"/>
          <w:lang w:val="en-US" w:eastAsia="zh-CN"/>
        </w:rPr>
      </w:pPr>
      <w:r>
        <w:rPr>
          <w:rFonts w:hint="eastAsia" w:ascii="仿宋_GB2312" w:hAnsi="Times New Roman" w:eastAsia="仿宋_GB2312" w:cs="仿宋_GB2312"/>
          <w:b/>
          <w:color w:val="auto"/>
          <w:kern w:val="2"/>
          <w:sz w:val="24"/>
          <w:szCs w:val="24"/>
          <w:highlight w:val="none"/>
          <w:lang w:val="en-US" w:eastAsia="zh-CN"/>
        </w:rPr>
        <w:t>12</w:t>
      </w:r>
      <w:r>
        <w:rPr>
          <w:rFonts w:hint="default" w:ascii="仿宋_GB2312" w:hAnsi="Times New Roman" w:eastAsia="仿宋_GB2312" w:cs="仿宋_GB2312"/>
          <w:b/>
          <w:color w:val="auto"/>
          <w:kern w:val="2"/>
          <w:sz w:val="24"/>
          <w:szCs w:val="24"/>
          <w:highlight w:val="none"/>
          <w:lang w:val="en-US" w:eastAsia="zh-CN"/>
        </w:rPr>
        <w:t>.设备管理。</w:t>
      </w:r>
      <w:r>
        <w:rPr>
          <w:rFonts w:hint="default" w:ascii="仿宋_GB2312" w:hAnsi="Times New Roman" w:eastAsia="仿宋_GB2312" w:cs="仿宋_GB2312"/>
          <w:color w:val="auto"/>
          <w:kern w:val="2"/>
          <w:sz w:val="24"/>
          <w:szCs w:val="24"/>
          <w:highlight w:val="none"/>
          <w:lang w:val="en-US" w:eastAsia="zh-CN"/>
        </w:rPr>
        <w:t>乙方负责对甲方提供的房产及设施设备的管理，做到无事故隐患，设备完好，承担因管理不当而引起的损失，对于发现隐患或自然损耗需要进行维修的，乙方应及时跟甲方提出维修要求。</w:t>
      </w:r>
    </w:p>
    <w:p w14:paraId="56B0D09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default" w:ascii="仿宋_GB2312" w:eastAsia="仿宋_GB2312" w:cs="仿宋_GB2312"/>
          <w:color w:val="auto"/>
          <w:kern w:val="2"/>
          <w:sz w:val="24"/>
          <w:szCs w:val="24"/>
          <w:highlight w:val="none"/>
        </w:rPr>
      </w:pPr>
      <w:r>
        <w:rPr>
          <w:rFonts w:hint="default" w:ascii="仿宋_GB2312" w:hAnsi="Times New Roman" w:eastAsia="仿宋_GB2312" w:cs="仿宋_GB2312"/>
          <w:b/>
          <w:color w:val="auto"/>
          <w:kern w:val="2"/>
          <w:sz w:val="24"/>
          <w:szCs w:val="24"/>
          <w:highlight w:val="none"/>
          <w:lang w:val="en-US" w:eastAsia="zh-CN"/>
        </w:rPr>
        <w:t>1</w:t>
      </w:r>
      <w:r>
        <w:rPr>
          <w:rFonts w:hint="eastAsia" w:ascii="仿宋_GB2312" w:hAnsi="Times New Roman" w:eastAsia="仿宋_GB2312" w:cs="仿宋_GB2312"/>
          <w:b/>
          <w:color w:val="auto"/>
          <w:kern w:val="2"/>
          <w:sz w:val="24"/>
          <w:szCs w:val="24"/>
          <w:highlight w:val="none"/>
          <w:lang w:val="en-US" w:eastAsia="zh-CN"/>
        </w:rPr>
        <w:t>3</w:t>
      </w:r>
      <w:r>
        <w:rPr>
          <w:rFonts w:hint="default" w:ascii="仿宋_GB2312" w:hAnsi="Times New Roman" w:eastAsia="仿宋_GB2312" w:cs="仿宋_GB2312"/>
          <w:b/>
          <w:color w:val="auto"/>
          <w:kern w:val="2"/>
          <w:sz w:val="24"/>
          <w:szCs w:val="24"/>
          <w:highlight w:val="none"/>
          <w:lang w:val="en-US" w:eastAsia="zh-CN"/>
        </w:rPr>
        <w:t>.</w:t>
      </w:r>
      <w:r>
        <w:rPr>
          <w:rFonts w:hint="eastAsia" w:ascii="仿宋_GB2312" w:hAnsi="Times New Roman" w:eastAsia="仿宋_GB2312" w:cs="仿宋_GB2312"/>
          <w:b/>
          <w:color w:val="auto"/>
          <w:kern w:val="2"/>
          <w:sz w:val="24"/>
          <w:szCs w:val="24"/>
          <w:highlight w:val="none"/>
          <w:lang w:val="en-US" w:eastAsia="zh-CN"/>
        </w:rPr>
        <w:t>食安</w:t>
      </w:r>
      <w:r>
        <w:rPr>
          <w:rFonts w:hint="default" w:ascii="仿宋_GB2312" w:hAnsi="Times New Roman" w:eastAsia="仿宋_GB2312" w:cs="仿宋_GB2312"/>
          <w:b/>
          <w:color w:val="auto"/>
          <w:kern w:val="2"/>
          <w:sz w:val="24"/>
          <w:szCs w:val="24"/>
          <w:highlight w:val="none"/>
          <w:lang w:val="en-US" w:eastAsia="zh-CN"/>
        </w:rPr>
        <w:t>责任。</w:t>
      </w:r>
      <w:r>
        <w:rPr>
          <w:rFonts w:hint="default" w:ascii="仿宋_GB2312" w:hAnsi="Times New Roman" w:eastAsia="仿宋_GB2312" w:cs="仿宋_GB2312"/>
          <w:color w:val="auto"/>
          <w:kern w:val="2"/>
          <w:sz w:val="24"/>
          <w:szCs w:val="24"/>
          <w:highlight w:val="none"/>
          <w:lang w:val="en-US" w:eastAsia="zh-CN"/>
        </w:rPr>
        <w:t>乙方因经营管理失职造成食物中毒</w:t>
      </w:r>
      <w:r>
        <w:rPr>
          <w:rFonts w:hint="eastAsia" w:ascii="仿宋_GB2312" w:hAnsi="Times New Roman" w:eastAsia="仿宋_GB2312" w:cs="仿宋_GB2312"/>
          <w:color w:val="auto"/>
          <w:kern w:val="2"/>
          <w:sz w:val="24"/>
          <w:szCs w:val="24"/>
          <w:highlight w:val="none"/>
          <w:lang w:val="en-US" w:eastAsia="zh-CN"/>
        </w:rPr>
        <w:t>、</w:t>
      </w:r>
      <w:r>
        <w:rPr>
          <w:rFonts w:hint="default" w:ascii="仿宋_GB2312" w:hAnsi="Times New Roman" w:eastAsia="仿宋_GB2312" w:cs="仿宋_GB2312"/>
          <w:color w:val="auto"/>
          <w:kern w:val="2"/>
          <w:sz w:val="24"/>
          <w:szCs w:val="24"/>
          <w:highlight w:val="none"/>
          <w:lang w:val="en-US" w:eastAsia="zh-CN"/>
        </w:rPr>
        <w:t>人身损害及其他安全事故，乙方</w:t>
      </w:r>
      <w:r>
        <w:rPr>
          <w:rFonts w:hint="eastAsia" w:ascii="仿宋_GB2312" w:hAnsi="Times New Roman" w:eastAsia="仿宋_GB2312" w:cs="仿宋_GB2312"/>
          <w:color w:val="auto"/>
          <w:kern w:val="2"/>
          <w:sz w:val="24"/>
          <w:szCs w:val="24"/>
          <w:highlight w:val="none"/>
          <w:lang w:val="en-US" w:eastAsia="zh-CN"/>
        </w:rPr>
        <w:t>应承担相应的安全责任，并</w:t>
      </w:r>
      <w:r>
        <w:rPr>
          <w:rFonts w:hint="default" w:ascii="仿宋_GB2312" w:hAnsi="Times New Roman" w:eastAsia="仿宋_GB2312" w:cs="仿宋_GB2312"/>
          <w:color w:val="auto"/>
          <w:kern w:val="2"/>
          <w:sz w:val="24"/>
          <w:szCs w:val="24"/>
          <w:highlight w:val="none"/>
          <w:lang w:val="en-US" w:eastAsia="zh-CN"/>
        </w:rPr>
        <w:t>赔偿由此</w:t>
      </w:r>
      <w:r>
        <w:rPr>
          <w:rFonts w:hint="eastAsia" w:ascii="仿宋_GB2312" w:hAnsi="Times New Roman" w:eastAsia="仿宋_GB2312" w:cs="仿宋_GB2312"/>
          <w:color w:val="auto"/>
          <w:kern w:val="2"/>
          <w:sz w:val="24"/>
          <w:szCs w:val="24"/>
          <w:highlight w:val="none"/>
          <w:lang w:val="en-US" w:eastAsia="zh-CN"/>
        </w:rPr>
        <w:t>产生</w:t>
      </w:r>
      <w:r>
        <w:rPr>
          <w:rFonts w:hint="default" w:ascii="仿宋_GB2312" w:hAnsi="Times New Roman" w:eastAsia="仿宋_GB2312" w:cs="仿宋_GB2312"/>
          <w:color w:val="auto"/>
          <w:kern w:val="2"/>
          <w:sz w:val="24"/>
          <w:szCs w:val="24"/>
          <w:highlight w:val="none"/>
          <w:lang w:val="en-US" w:eastAsia="zh-CN"/>
        </w:rPr>
        <w:t>的</w:t>
      </w:r>
      <w:r>
        <w:rPr>
          <w:rFonts w:hint="eastAsia" w:ascii="仿宋_GB2312" w:hAnsi="Times New Roman" w:eastAsia="仿宋_GB2312" w:cs="仿宋_GB2312"/>
          <w:color w:val="auto"/>
          <w:kern w:val="2"/>
          <w:sz w:val="24"/>
          <w:szCs w:val="24"/>
          <w:highlight w:val="none"/>
          <w:lang w:val="en-US" w:eastAsia="zh-CN"/>
        </w:rPr>
        <w:t>相应</w:t>
      </w:r>
      <w:r>
        <w:rPr>
          <w:rFonts w:hint="default" w:ascii="仿宋_GB2312" w:hAnsi="Times New Roman" w:eastAsia="仿宋_GB2312" w:cs="仿宋_GB2312"/>
          <w:color w:val="auto"/>
          <w:kern w:val="2"/>
          <w:sz w:val="24"/>
          <w:szCs w:val="24"/>
          <w:highlight w:val="none"/>
          <w:lang w:val="en-US" w:eastAsia="zh-CN"/>
        </w:rPr>
        <w:t>损失。</w:t>
      </w:r>
    </w:p>
    <w:p w14:paraId="66B4BE1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default" w:ascii="仿宋_GB2312" w:eastAsia="仿宋_GB2312" w:cs="仿宋_GB2312"/>
          <w:color w:val="auto"/>
          <w:kern w:val="2"/>
          <w:sz w:val="24"/>
          <w:szCs w:val="24"/>
          <w:highlight w:val="none"/>
        </w:rPr>
      </w:pPr>
      <w:r>
        <w:rPr>
          <w:rFonts w:hint="default" w:ascii="仿宋_GB2312" w:hAnsi="Times New Roman" w:eastAsia="仿宋_GB2312" w:cs="仿宋_GB2312"/>
          <w:b/>
          <w:color w:val="auto"/>
          <w:kern w:val="2"/>
          <w:sz w:val="24"/>
          <w:szCs w:val="24"/>
          <w:highlight w:val="none"/>
          <w:lang w:val="en-US" w:eastAsia="zh-CN"/>
        </w:rPr>
        <w:t>1</w:t>
      </w:r>
      <w:r>
        <w:rPr>
          <w:rFonts w:hint="eastAsia" w:ascii="仿宋_GB2312" w:hAnsi="Times New Roman" w:eastAsia="仿宋_GB2312" w:cs="仿宋_GB2312"/>
          <w:b/>
          <w:color w:val="auto"/>
          <w:kern w:val="2"/>
          <w:sz w:val="24"/>
          <w:szCs w:val="24"/>
          <w:highlight w:val="none"/>
          <w:lang w:val="en-US" w:eastAsia="zh-CN"/>
        </w:rPr>
        <w:t>4</w:t>
      </w:r>
      <w:r>
        <w:rPr>
          <w:rFonts w:hint="default" w:ascii="仿宋_GB2312" w:hAnsi="Times New Roman" w:eastAsia="仿宋_GB2312" w:cs="仿宋_GB2312"/>
          <w:b/>
          <w:color w:val="auto"/>
          <w:kern w:val="2"/>
          <w:sz w:val="24"/>
          <w:szCs w:val="24"/>
          <w:highlight w:val="none"/>
          <w:lang w:val="en-US" w:eastAsia="zh-CN"/>
        </w:rPr>
        <w:t>.值班巡查。</w:t>
      </w:r>
      <w:r>
        <w:rPr>
          <w:rFonts w:hint="default" w:ascii="仿宋_GB2312" w:hAnsi="Times New Roman" w:eastAsia="仿宋_GB2312" w:cs="仿宋_GB2312"/>
          <w:color w:val="auto"/>
          <w:kern w:val="2"/>
          <w:sz w:val="24"/>
          <w:szCs w:val="24"/>
          <w:highlight w:val="none"/>
          <w:lang w:val="en-US" w:eastAsia="zh-CN"/>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24A8C56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default" w:ascii="仿宋_GB2312" w:eastAsia="仿宋_GB2312" w:cs="仿宋_GB2312"/>
          <w:color w:val="auto"/>
          <w:kern w:val="2"/>
          <w:sz w:val="24"/>
          <w:szCs w:val="24"/>
          <w:highlight w:val="none"/>
        </w:rPr>
      </w:pPr>
      <w:r>
        <w:rPr>
          <w:rFonts w:hint="default" w:ascii="仿宋_GB2312" w:hAnsi="Times New Roman" w:eastAsia="仿宋_GB2312" w:cs="仿宋_GB2312"/>
          <w:b/>
          <w:color w:val="auto"/>
          <w:kern w:val="2"/>
          <w:sz w:val="24"/>
          <w:szCs w:val="24"/>
          <w:highlight w:val="none"/>
          <w:lang w:val="en-US" w:eastAsia="zh-CN"/>
        </w:rPr>
        <w:t>1</w:t>
      </w:r>
      <w:r>
        <w:rPr>
          <w:rFonts w:hint="eastAsia" w:ascii="仿宋_GB2312" w:hAnsi="Times New Roman" w:eastAsia="仿宋_GB2312" w:cs="仿宋_GB2312"/>
          <w:b/>
          <w:color w:val="auto"/>
          <w:kern w:val="2"/>
          <w:sz w:val="24"/>
          <w:szCs w:val="24"/>
          <w:highlight w:val="none"/>
          <w:lang w:val="en-US" w:eastAsia="zh-CN"/>
        </w:rPr>
        <w:t>5</w:t>
      </w:r>
      <w:r>
        <w:rPr>
          <w:rFonts w:hint="default" w:ascii="仿宋_GB2312" w:hAnsi="Times New Roman" w:eastAsia="仿宋_GB2312" w:cs="仿宋_GB2312"/>
          <w:b/>
          <w:color w:val="auto"/>
          <w:kern w:val="2"/>
          <w:sz w:val="24"/>
          <w:szCs w:val="24"/>
          <w:highlight w:val="none"/>
          <w:lang w:val="en-US" w:eastAsia="zh-CN"/>
        </w:rPr>
        <w:t>.消防安全。</w:t>
      </w:r>
      <w:r>
        <w:rPr>
          <w:rFonts w:hint="default" w:ascii="仿宋_GB2312" w:hAnsi="Times New Roman" w:eastAsia="仿宋_GB2312" w:cs="仿宋_GB2312"/>
          <w:color w:val="auto"/>
          <w:kern w:val="2"/>
          <w:sz w:val="24"/>
          <w:szCs w:val="24"/>
          <w:highlight w:val="none"/>
          <w:lang w:val="en-US" w:eastAsia="zh-CN"/>
        </w:rPr>
        <w:t>乙方应定期检查和维护消防器材和设施、如有破损应及时向甲方提出报修，定期开展消防演练，培训员工疏散逃生、有效使用消防器材，掌握报警求救等应急处理技能。</w:t>
      </w:r>
    </w:p>
    <w:p w14:paraId="633A85A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default" w:ascii="仿宋_GB2312" w:eastAsia="仿宋_GB2312" w:cs="仿宋_GB2312"/>
          <w:color w:val="auto"/>
          <w:kern w:val="2"/>
          <w:sz w:val="24"/>
          <w:szCs w:val="24"/>
          <w:highlight w:val="none"/>
        </w:rPr>
      </w:pPr>
      <w:r>
        <w:rPr>
          <w:rFonts w:hint="default" w:ascii="仿宋_GB2312" w:hAnsi="Times New Roman" w:eastAsia="仿宋_GB2312" w:cs="仿宋_GB2312"/>
          <w:b/>
          <w:color w:val="auto"/>
          <w:kern w:val="2"/>
          <w:sz w:val="24"/>
          <w:szCs w:val="24"/>
          <w:highlight w:val="none"/>
          <w:lang w:val="en-US" w:eastAsia="zh-CN"/>
        </w:rPr>
        <w:t>1</w:t>
      </w:r>
      <w:r>
        <w:rPr>
          <w:rFonts w:hint="eastAsia" w:ascii="仿宋_GB2312" w:hAnsi="Times New Roman" w:eastAsia="仿宋_GB2312" w:cs="仿宋_GB2312"/>
          <w:b/>
          <w:color w:val="auto"/>
          <w:kern w:val="2"/>
          <w:sz w:val="24"/>
          <w:szCs w:val="24"/>
          <w:highlight w:val="none"/>
          <w:lang w:val="en-US" w:eastAsia="zh-CN"/>
        </w:rPr>
        <w:t>6</w:t>
      </w:r>
      <w:r>
        <w:rPr>
          <w:rFonts w:hint="default" w:ascii="仿宋_GB2312" w:hAnsi="Times New Roman" w:eastAsia="仿宋_GB2312" w:cs="仿宋_GB2312"/>
          <w:b/>
          <w:color w:val="auto"/>
          <w:kern w:val="2"/>
          <w:sz w:val="24"/>
          <w:szCs w:val="24"/>
          <w:highlight w:val="none"/>
          <w:lang w:val="en-US" w:eastAsia="zh-CN"/>
        </w:rPr>
        <w:t>.</w:t>
      </w:r>
      <w:r>
        <w:rPr>
          <w:rFonts w:hint="eastAsia" w:ascii="仿宋_GB2312" w:hAnsi="Times New Roman" w:eastAsia="仿宋_GB2312" w:cs="仿宋_GB2312"/>
          <w:b/>
          <w:color w:val="auto"/>
          <w:kern w:val="2"/>
          <w:sz w:val="24"/>
          <w:szCs w:val="24"/>
          <w:highlight w:val="none"/>
          <w:lang w:val="en-US" w:eastAsia="zh-CN"/>
        </w:rPr>
        <w:t>服务</w:t>
      </w:r>
      <w:r>
        <w:rPr>
          <w:rFonts w:hint="default" w:ascii="仿宋_GB2312" w:hAnsi="Times New Roman" w:eastAsia="仿宋_GB2312" w:cs="仿宋_GB2312"/>
          <w:b/>
          <w:color w:val="auto"/>
          <w:kern w:val="2"/>
          <w:sz w:val="24"/>
          <w:szCs w:val="24"/>
          <w:highlight w:val="none"/>
          <w:lang w:val="en-US" w:eastAsia="zh-CN"/>
        </w:rPr>
        <w:t>约定。</w:t>
      </w:r>
      <w:r>
        <w:rPr>
          <w:rFonts w:hint="default" w:ascii="仿宋_GB2312" w:hAnsi="Times New Roman" w:eastAsia="仿宋_GB2312" w:cs="仿宋_GB2312"/>
          <w:color w:val="auto"/>
          <w:kern w:val="2"/>
          <w:sz w:val="24"/>
          <w:szCs w:val="24"/>
          <w:highlight w:val="none"/>
          <w:lang w:val="en-US" w:eastAsia="zh-CN"/>
        </w:rPr>
        <w:t>不以任何形式转租、转让、抵押服务区域，在服务区域</w:t>
      </w:r>
      <w:r>
        <w:rPr>
          <w:rFonts w:hint="eastAsia" w:ascii="仿宋_GB2312" w:hAnsi="Times New Roman" w:eastAsia="仿宋_GB2312" w:cs="仿宋_GB2312"/>
          <w:color w:val="auto"/>
          <w:kern w:val="2"/>
          <w:sz w:val="24"/>
          <w:szCs w:val="24"/>
          <w:highlight w:val="none"/>
          <w:lang w:val="en-US" w:eastAsia="zh-CN"/>
        </w:rPr>
        <w:t>内</w:t>
      </w:r>
      <w:r>
        <w:rPr>
          <w:rFonts w:hint="default" w:ascii="仿宋_GB2312" w:hAnsi="Times New Roman" w:eastAsia="仿宋_GB2312" w:cs="仿宋_GB2312"/>
          <w:color w:val="auto"/>
          <w:kern w:val="2"/>
          <w:sz w:val="24"/>
          <w:szCs w:val="24"/>
          <w:highlight w:val="none"/>
          <w:lang w:val="en-US" w:eastAsia="zh-CN"/>
        </w:rPr>
        <w:t>只从事甲方认可的服务工作。</w:t>
      </w:r>
    </w:p>
    <w:p w14:paraId="0351F6C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default" w:ascii="仿宋_GB2312" w:hAnsi="Times New Roman" w:eastAsia="仿宋_GB2312" w:cs="仿宋_GB2312"/>
          <w:color w:val="auto"/>
          <w:kern w:val="2"/>
          <w:sz w:val="24"/>
          <w:szCs w:val="24"/>
          <w:highlight w:val="none"/>
          <w:lang w:val="en-US" w:eastAsia="zh-CN"/>
        </w:rPr>
      </w:pPr>
      <w:r>
        <w:rPr>
          <w:rFonts w:hint="default" w:ascii="仿宋_GB2312" w:hAnsi="Times New Roman" w:eastAsia="仿宋_GB2312" w:cs="仿宋_GB2312"/>
          <w:b/>
          <w:color w:val="auto"/>
          <w:kern w:val="2"/>
          <w:sz w:val="24"/>
          <w:szCs w:val="24"/>
          <w:highlight w:val="none"/>
          <w:lang w:val="en-US" w:eastAsia="zh-CN"/>
        </w:rPr>
        <w:t>1</w:t>
      </w:r>
      <w:r>
        <w:rPr>
          <w:rFonts w:hint="eastAsia" w:ascii="仿宋_GB2312" w:hAnsi="Times New Roman" w:eastAsia="仿宋_GB2312" w:cs="仿宋_GB2312"/>
          <w:b/>
          <w:color w:val="auto"/>
          <w:kern w:val="2"/>
          <w:sz w:val="24"/>
          <w:szCs w:val="24"/>
          <w:highlight w:val="none"/>
          <w:lang w:val="en-US" w:eastAsia="zh-CN"/>
        </w:rPr>
        <w:t>7</w:t>
      </w:r>
      <w:r>
        <w:rPr>
          <w:rFonts w:hint="default" w:ascii="仿宋_GB2312" w:hAnsi="Times New Roman" w:eastAsia="仿宋_GB2312" w:cs="仿宋_GB2312"/>
          <w:b/>
          <w:color w:val="auto"/>
          <w:kern w:val="2"/>
          <w:sz w:val="24"/>
          <w:szCs w:val="24"/>
          <w:highlight w:val="none"/>
          <w:lang w:val="en-US" w:eastAsia="zh-CN"/>
        </w:rPr>
        <w:t>.廉洁要求。</w:t>
      </w:r>
      <w:r>
        <w:rPr>
          <w:rFonts w:hint="default" w:ascii="仿宋_GB2312" w:hAnsi="Times New Roman" w:eastAsia="仿宋_GB2312" w:cs="仿宋_GB2312"/>
          <w:color w:val="auto"/>
          <w:kern w:val="2"/>
          <w:sz w:val="24"/>
          <w:szCs w:val="24"/>
          <w:highlight w:val="none"/>
          <w:lang w:val="en-US" w:eastAsia="zh-CN"/>
        </w:rPr>
        <w:t>乙方不得以任何理由向甲方工作人员行贿，甲方人员也不得以任何形式向相关人员索贿。</w:t>
      </w:r>
    </w:p>
    <w:p w14:paraId="09340DA4">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textAlignment w:val="auto"/>
        <w:rPr>
          <w:rFonts w:hint="default" w:ascii="仿宋_GB2312" w:eastAsia="仿宋_GB2312" w:cs="仿宋_GB2312"/>
          <w:b/>
          <w:color w:val="auto"/>
          <w:kern w:val="2"/>
          <w:sz w:val="24"/>
          <w:szCs w:val="24"/>
          <w:highlight w:val="none"/>
        </w:rPr>
      </w:pPr>
      <w:r>
        <w:rPr>
          <w:rFonts w:hint="default" w:ascii="仿宋_GB2312" w:hAnsi="Times New Roman" w:eastAsia="仿宋_GB2312" w:cs="仿宋_GB2312"/>
          <w:b/>
          <w:color w:val="auto"/>
          <w:kern w:val="2"/>
          <w:sz w:val="24"/>
          <w:szCs w:val="24"/>
          <w:highlight w:val="none"/>
          <w:lang w:val="en-US" w:eastAsia="zh-CN"/>
        </w:rPr>
        <w:t>1</w:t>
      </w:r>
      <w:r>
        <w:rPr>
          <w:rFonts w:hint="default" w:ascii="仿宋_GB2312" w:eastAsia="仿宋_GB2312" w:cs="仿宋_GB2312"/>
          <w:b/>
          <w:color w:val="auto"/>
          <w:kern w:val="2"/>
          <w:sz w:val="24"/>
          <w:szCs w:val="24"/>
          <w:highlight w:val="none"/>
          <w:lang w:val="en-US" w:eastAsia="zh-CN"/>
        </w:rPr>
        <w:t>8</w:t>
      </w:r>
      <w:r>
        <w:rPr>
          <w:rFonts w:hint="default" w:ascii="仿宋_GB2312" w:hAnsi="Times New Roman" w:eastAsia="仿宋_GB2312" w:cs="仿宋_GB2312"/>
          <w:b/>
          <w:color w:val="auto"/>
          <w:kern w:val="2"/>
          <w:sz w:val="24"/>
          <w:szCs w:val="24"/>
          <w:highlight w:val="none"/>
          <w:lang w:val="en-US" w:eastAsia="zh-CN"/>
        </w:rPr>
        <w:t>.</w:t>
      </w:r>
      <w:r>
        <w:rPr>
          <w:rFonts w:hint="default" w:ascii="仿宋_GB2312" w:hAnsi="Times New Roman" w:eastAsia="仿宋_GB2312" w:cs="仿宋_GB2312"/>
          <w:b w:val="0"/>
          <w:color w:val="auto"/>
          <w:kern w:val="2"/>
          <w:sz w:val="24"/>
          <w:szCs w:val="24"/>
          <w:highlight w:val="none"/>
        </w:rPr>
        <w:t>乙方</w:t>
      </w:r>
      <w:r>
        <w:rPr>
          <w:rFonts w:hint="default" w:ascii="仿宋_GB2312" w:hAnsi="Times New Roman" w:eastAsia="仿宋_GB2312" w:cs="仿宋_GB2312"/>
          <w:b w:val="0"/>
          <w:color w:val="auto"/>
          <w:kern w:val="2"/>
          <w:sz w:val="24"/>
          <w:szCs w:val="24"/>
          <w:highlight w:val="none"/>
          <w:lang w:eastAsia="zh-CN"/>
        </w:rPr>
        <w:t>应</w:t>
      </w:r>
      <w:r>
        <w:rPr>
          <w:rFonts w:hint="default" w:ascii="仿宋_GB2312" w:hAnsi="Times New Roman" w:eastAsia="仿宋_GB2312" w:cs="仿宋_GB2312"/>
          <w:b w:val="0"/>
          <w:color w:val="auto"/>
          <w:kern w:val="2"/>
          <w:sz w:val="24"/>
          <w:szCs w:val="24"/>
          <w:highlight w:val="none"/>
        </w:rPr>
        <w:t>配有相关资质证书的营养师，每周定期向甲方申报由营养师制定的食堂菜单，报甲方同意后实施。乙方有责任向甲方提供学生病号餐。</w:t>
      </w:r>
    </w:p>
    <w:p w14:paraId="2DC66FAE">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640" w:firstLineChars="0"/>
        <w:jc w:val="left"/>
        <w:textAlignment w:val="auto"/>
        <w:rPr>
          <w:rFonts w:hint="eastAsia" w:ascii="黑体" w:hAnsi="黑体" w:eastAsia="黑体" w:cs="黑体"/>
          <w:b w:val="0"/>
          <w:color w:val="auto"/>
          <w:kern w:val="2"/>
          <w:sz w:val="24"/>
          <w:szCs w:val="24"/>
          <w:highlight w:val="none"/>
        </w:rPr>
      </w:pPr>
      <w:r>
        <w:rPr>
          <w:rFonts w:hint="eastAsia" w:ascii="黑体" w:hAnsi="黑体" w:eastAsia="黑体" w:cs="黑体"/>
          <w:b w:val="0"/>
          <w:color w:val="auto"/>
          <w:kern w:val="2"/>
          <w:sz w:val="24"/>
          <w:szCs w:val="24"/>
          <w:highlight w:val="none"/>
          <w:lang w:eastAsia="zh-CN"/>
        </w:rPr>
        <w:t>八</w:t>
      </w:r>
      <w:r>
        <w:rPr>
          <w:rFonts w:hint="eastAsia" w:ascii="黑体" w:hAnsi="黑体" w:eastAsia="黑体" w:cs="黑体"/>
          <w:b w:val="0"/>
          <w:color w:val="auto"/>
          <w:kern w:val="2"/>
          <w:sz w:val="24"/>
          <w:szCs w:val="24"/>
          <w:highlight w:val="none"/>
        </w:rPr>
        <w:t>、合同解除</w:t>
      </w:r>
    </w:p>
    <w:p w14:paraId="438C782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default" w:ascii="仿宋_GB2312" w:eastAsia="仿宋_GB2312" w:cs="仿宋_GB2312"/>
          <w:color w:val="auto"/>
          <w:kern w:val="2"/>
          <w:sz w:val="24"/>
          <w:szCs w:val="24"/>
          <w:highlight w:val="none"/>
        </w:rPr>
      </w:pPr>
      <w:r>
        <w:rPr>
          <w:rFonts w:hint="default" w:ascii="仿宋_GB2312" w:hAnsi="Times New Roman" w:eastAsia="仿宋_GB2312" w:cs="仿宋_GB2312"/>
          <w:color w:val="auto"/>
          <w:kern w:val="2"/>
          <w:sz w:val="24"/>
          <w:szCs w:val="24"/>
          <w:highlight w:val="none"/>
          <w:lang w:val="en-US" w:eastAsia="zh-CN"/>
        </w:rPr>
        <w:t>1.双方协商一致可以解除合同，并妥善处理好合同解除后的相关事宜，如空档期的食堂餐饮供应等。</w:t>
      </w:r>
    </w:p>
    <w:p w14:paraId="671E6B8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default" w:ascii="仿宋_GB2312" w:eastAsia="仿宋_GB2312" w:cs="仿宋_GB2312"/>
          <w:color w:val="auto"/>
          <w:kern w:val="2"/>
          <w:sz w:val="24"/>
          <w:szCs w:val="24"/>
          <w:highlight w:val="none"/>
        </w:rPr>
      </w:pPr>
      <w:r>
        <w:rPr>
          <w:rFonts w:hint="default" w:ascii="仿宋_GB2312" w:hAnsi="Times New Roman" w:eastAsia="仿宋_GB2312" w:cs="仿宋_GB2312"/>
          <w:color w:val="auto"/>
          <w:kern w:val="2"/>
          <w:sz w:val="24"/>
          <w:szCs w:val="24"/>
          <w:highlight w:val="none"/>
          <w:lang w:val="en-US" w:eastAsia="zh-CN"/>
        </w:rPr>
        <w:t>2.甲方有以下行为之一的，乙方可以解除合同：</w:t>
      </w:r>
    </w:p>
    <w:p w14:paraId="26F6342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default" w:ascii="仿宋_GB2312" w:eastAsia="仿宋_GB2312" w:cs="仿宋_GB2312"/>
          <w:color w:val="auto"/>
          <w:kern w:val="2"/>
          <w:sz w:val="24"/>
          <w:szCs w:val="24"/>
          <w:highlight w:val="none"/>
        </w:rPr>
      </w:pPr>
      <w:r>
        <w:rPr>
          <w:rFonts w:hint="default" w:ascii="仿宋_GB2312" w:hAnsi="Times New Roman" w:eastAsia="仿宋_GB2312" w:cs="仿宋_GB2312"/>
          <w:color w:val="auto"/>
          <w:kern w:val="2"/>
          <w:sz w:val="24"/>
          <w:szCs w:val="24"/>
          <w:highlight w:val="none"/>
          <w:lang w:val="en-US" w:eastAsia="zh-CN"/>
        </w:rPr>
        <w:t>2.1 甲方不按照约定支付费用，经乙方催告后</w:t>
      </w:r>
      <w:r>
        <w:rPr>
          <w:rFonts w:hint="eastAsia" w:ascii="仿宋_GB2312" w:hAnsi="Times New Roman" w:eastAsia="仿宋_GB2312" w:cs="仿宋_GB2312"/>
          <w:color w:val="auto"/>
          <w:kern w:val="2"/>
          <w:sz w:val="24"/>
          <w:szCs w:val="24"/>
          <w:highlight w:val="none"/>
          <w:u w:val="single"/>
          <w:lang w:val="en-US" w:eastAsia="zh-CN"/>
        </w:rPr>
        <w:t>30</w:t>
      </w:r>
      <w:r>
        <w:rPr>
          <w:rFonts w:hint="default" w:ascii="仿宋_GB2312" w:hAnsi="Times New Roman" w:eastAsia="仿宋_GB2312" w:cs="仿宋_GB2312"/>
          <w:color w:val="auto"/>
          <w:kern w:val="2"/>
          <w:sz w:val="24"/>
          <w:szCs w:val="24"/>
          <w:highlight w:val="none"/>
          <w:lang w:val="en-US" w:eastAsia="zh-CN"/>
        </w:rPr>
        <w:t>日内仍不支付的；</w:t>
      </w:r>
    </w:p>
    <w:p w14:paraId="3CD1A1F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default" w:ascii="仿宋_GB2312" w:hAnsi="Times New Roman" w:eastAsia="仿宋_GB2312" w:cs="仿宋_GB2312"/>
          <w:color w:val="auto"/>
          <w:kern w:val="2"/>
          <w:sz w:val="24"/>
          <w:szCs w:val="24"/>
          <w:highlight w:val="none"/>
          <w:lang w:val="en-US" w:eastAsia="zh-CN"/>
        </w:rPr>
      </w:pPr>
      <w:r>
        <w:rPr>
          <w:rFonts w:hint="default" w:ascii="仿宋_GB2312" w:hAnsi="Times New Roman" w:eastAsia="仿宋_GB2312" w:cs="仿宋_GB2312"/>
          <w:color w:val="auto"/>
          <w:kern w:val="2"/>
          <w:sz w:val="24"/>
          <w:szCs w:val="24"/>
          <w:highlight w:val="none"/>
          <w:lang w:val="en-US" w:eastAsia="zh-CN"/>
        </w:rPr>
        <w:t>2.2 甲方未按要求取得学校食堂《食品经营许可证》；</w:t>
      </w:r>
    </w:p>
    <w:p w14:paraId="0167FC8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default" w:ascii="仿宋_GB2312" w:eastAsia="仿宋_GB2312" w:cs="仿宋_GB2312"/>
          <w:color w:val="auto"/>
          <w:kern w:val="2"/>
          <w:sz w:val="24"/>
          <w:szCs w:val="24"/>
          <w:highlight w:val="none"/>
        </w:rPr>
      </w:pPr>
      <w:r>
        <w:rPr>
          <w:rFonts w:hint="eastAsia" w:ascii="仿宋_GB2312" w:hAnsi="Times New Roman" w:eastAsia="仿宋_GB2312" w:cs="仿宋_GB2312"/>
          <w:color w:val="auto"/>
          <w:kern w:val="2"/>
          <w:sz w:val="24"/>
          <w:szCs w:val="24"/>
          <w:highlight w:val="none"/>
          <w:lang w:val="en-US" w:eastAsia="zh-CN"/>
        </w:rPr>
        <w:t>2.3</w:t>
      </w:r>
      <w:r>
        <w:rPr>
          <w:rFonts w:hint="default" w:ascii="仿宋_GB2312" w:hAnsi="Times New Roman" w:eastAsia="仿宋_GB2312" w:cs="仿宋_GB2312"/>
          <w:color w:val="auto"/>
          <w:kern w:val="2"/>
          <w:sz w:val="24"/>
          <w:szCs w:val="24"/>
          <w:highlight w:val="none"/>
          <w:lang w:val="en-US" w:eastAsia="zh-CN"/>
        </w:rPr>
        <w:t>甲方拒绝履行提供水、电、气、暖等必要经营条件，乙方无法继续经营的；</w:t>
      </w:r>
    </w:p>
    <w:p w14:paraId="5E584EA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default" w:ascii="仿宋_GB2312" w:eastAsia="仿宋_GB2312" w:cs="仿宋_GB2312"/>
          <w:b/>
          <w:bCs/>
          <w:color w:val="0070C0"/>
          <w:kern w:val="2"/>
          <w:sz w:val="24"/>
          <w:szCs w:val="24"/>
          <w:highlight w:val="none"/>
        </w:rPr>
      </w:pPr>
      <w:r>
        <w:rPr>
          <w:rFonts w:hint="default" w:ascii="仿宋_GB2312" w:hAnsi="Times New Roman" w:eastAsia="仿宋_GB2312" w:cs="仿宋_GB2312"/>
          <w:color w:val="auto"/>
          <w:kern w:val="2"/>
          <w:sz w:val="24"/>
          <w:szCs w:val="24"/>
          <w:highlight w:val="none"/>
          <w:lang w:val="en-US" w:eastAsia="zh-CN"/>
        </w:rPr>
        <w:t>3.乙方发生以下情形之一的，甲方可以解除合同，并承担相关后果：</w:t>
      </w:r>
    </w:p>
    <w:p w14:paraId="06E1B71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default" w:ascii="仿宋_GB2312" w:eastAsia="仿宋_GB2312" w:cs="仿宋_GB2312"/>
          <w:color w:val="auto"/>
          <w:kern w:val="2"/>
          <w:sz w:val="24"/>
          <w:szCs w:val="24"/>
          <w:highlight w:val="none"/>
        </w:rPr>
      </w:pPr>
      <w:r>
        <w:rPr>
          <w:rFonts w:hint="default" w:ascii="仿宋_GB2312" w:hAnsi="Times New Roman" w:eastAsia="仿宋_GB2312" w:cs="仿宋_GB2312"/>
          <w:color w:val="auto"/>
          <w:kern w:val="2"/>
          <w:sz w:val="24"/>
          <w:szCs w:val="24"/>
          <w:highlight w:val="none"/>
          <w:lang w:val="en-US" w:eastAsia="zh-CN"/>
        </w:rPr>
        <w:t>3.1 违反相关法律法规，被市场监督管理部门吊销或注销营业执照</w:t>
      </w:r>
      <w:r>
        <w:rPr>
          <w:rFonts w:hint="eastAsia" w:ascii="仿宋_GB2312" w:hAnsi="Times New Roman" w:eastAsia="仿宋_GB2312" w:cs="仿宋_GB2312"/>
          <w:color w:val="auto"/>
          <w:kern w:val="2"/>
          <w:sz w:val="24"/>
          <w:szCs w:val="24"/>
          <w:highlight w:val="none"/>
          <w:lang w:val="en-US" w:eastAsia="zh-CN"/>
        </w:rPr>
        <w:t>、</w:t>
      </w:r>
      <w:r>
        <w:rPr>
          <w:rFonts w:hint="default" w:ascii="仿宋_GB2312" w:hAnsi="Times New Roman" w:eastAsia="仿宋_GB2312" w:cs="仿宋_GB2312"/>
          <w:color w:val="auto"/>
          <w:kern w:val="2"/>
          <w:sz w:val="24"/>
          <w:szCs w:val="24"/>
          <w:highlight w:val="none"/>
          <w:lang w:val="en-US" w:eastAsia="zh-CN"/>
        </w:rPr>
        <w:t>食品经营许可证</w:t>
      </w:r>
      <w:r>
        <w:rPr>
          <w:rFonts w:hint="eastAsia" w:ascii="仿宋_GB2312" w:hAnsi="Times New Roman" w:eastAsia="仿宋_GB2312" w:cs="仿宋_GB2312"/>
          <w:color w:val="auto"/>
          <w:kern w:val="2"/>
          <w:sz w:val="24"/>
          <w:szCs w:val="24"/>
          <w:highlight w:val="none"/>
          <w:lang w:val="en-US" w:eastAsia="zh-CN"/>
        </w:rPr>
        <w:t>的</w:t>
      </w:r>
      <w:r>
        <w:rPr>
          <w:rFonts w:hint="default" w:ascii="仿宋_GB2312" w:hAnsi="Times New Roman" w:eastAsia="仿宋_GB2312" w:cs="仿宋_GB2312"/>
          <w:color w:val="auto"/>
          <w:kern w:val="2"/>
          <w:sz w:val="24"/>
          <w:szCs w:val="24"/>
          <w:highlight w:val="none"/>
          <w:lang w:val="en-US" w:eastAsia="zh-CN"/>
        </w:rPr>
        <w:t>；</w:t>
      </w:r>
    </w:p>
    <w:p w14:paraId="0F80040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default" w:ascii="仿宋_GB2312" w:eastAsia="仿宋_GB2312" w:cs="仿宋_GB2312"/>
          <w:color w:val="auto"/>
          <w:kern w:val="2"/>
          <w:sz w:val="24"/>
          <w:szCs w:val="24"/>
          <w:highlight w:val="none"/>
        </w:rPr>
      </w:pPr>
      <w:r>
        <w:rPr>
          <w:rFonts w:hint="default" w:ascii="仿宋_GB2312" w:hAnsi="Times New Roman" w:eastAsia="仿宋_GB2312" w:cs="仿宋_GB2312"/>
          <w:color w:val="auto"/>
          <w:kern w:val="2"/>
          <w:sz w:val="24"/>
          <w:szCs w:val="24"/>
          <w:highlight w:val="none"/>
          <w:lang w:val="en-US" w:eastAsia="zh-CN"/>
        </w:rPr>
        <w:t>3.2 乙方因食品安全、安全生产等问题，造成师生食物中毒（一般食品安全事故及以上等级的）</w:t>
      </w:r>
      <w:r>
        <w:rPr>
          <w:rFonts w:ascii="仿宋_GB2312" w:hAnsi="Times New Roman" w:eastAsia="仿宋_GB2312" w:cs="仿宋_GB2312"/>
          <w:sz w:val="24"/>
          <w:szCs w:val="24"/>
          <w:highlight w:val="none"/>
        </w:rPr>
        <w:t>或其他食源性疾病</w:t>
      </w:r>
      <w:r>
        <w:rPr>
          <w:rFonts w:hint="default" w:ascii="仿宋_GB2312" w:hAnsi="Times New Roman" w:eastAsia="仿宋_GB2312" w:cs="仿宋_GB2312"/>
          <w:color w:val="auto"/>
          <w:kern w:val="2"/>
          <w:sz w:val="24"/>
          <w:szCs w:val="24"/>
          <w:highlight w:val="none"/>
          <w:lang w:val="en-US" w:eastAsia="zh-CN"/>
        </w:rPr>
        <w:t>等重大安全事故的，甲方有权无条件终止合同</w:t>
      </w:r>
      <w:r>
        <w:rPr>
          <w:rFonts w:hint="eastAsia" w:ascii="仿宋_GB2312" w:hAnsi="Times New Roman" w:eastAsia="仿宋_GB2312" w:cs="仿宋_GB2312"/>
          <w:color w:val="auto"/>
          <w:kern w:val="2"/>
          <w:sz w:val="24"/>
          <w:szCs w:val="24"/>
          <w:highlight w:val="none"/>
          <w:lang w:val="en-US" w:eastAsia="zh-CN"/>
        </w:rPr>
        <w:t>；</w:t>
      </w:r>
    </w:p>
    <w:p w14:paraId="494C808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default" w:ascii="仿宋_GB2312" w:eastAsia="仿宋_GB2312" w:cs="仿宋_GB2312"/>
          <w:color w:val="auto"/>
          <w:kern w:val="2"/>
          <w:sz w:val="24"/>
          <w:szCs w:val="24"/>
          <w:highlight w:val="none"/>
        </w:rPr>
      </w:pPr>
      <w:r>
        <w:rPr>
          <w:rFonts w:hint="default" w:ascii="仿宋_GB2312" w:hAnsi="Times New Roman" w:eastAsia="仿宋_GB2312" w:cs="仿宋_GB2312"/>
          <w:color w:val="auto"/>
          <w:kern w:val="2"/>
          <w:sz w:val="24"/>
          <w:szCs w:val="24"/>
          <w:highlight w:val="none"/>
          <w:lang w:val="en-US" w:eastAsia="zh-CN"/>
        </w:rPr>
        <w:t>3.3 发生转包、分包供餐业务的，或擅自更换履约人等其他违反法律法规或供餐合同行为的；</w:t>
      </w:r>
    </w:p>
    <w:p w14:paraId="37F35E3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default" w:ascii="仿宋_GB2312" w:eastAsia="仿宋_GB2312" w:cs="仿宋_GB2312"/>
          <w:color w:val="auto"/>
          <w:kern w:val="2"/>
          <w:sz w:val="24"/>
          <w:szCs w:val="24"/>
          <w:highlight w:val="none"/>
        </w:rPr>
      </w:pPr>
      <w:r>
        <w:rPr>
          <w:rFonts w:hint="default" w:ascii="仿宋_GB2312" w:hAnsi="Times New Roman" w:eastAsia="仿宋_GB2312" w:cs="仿宋_GB2312"/>
          <w:color w:val="auto"/>
          <w:kern w:val="2"/>
          <w:sz w:val="24"/>
          <w:szCs w:val="24"/>
          <w:highlight w:val="none"/>
          <w:lang w:val="en-US" w:eastAsia="zh-CN"/>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仿宋_GB2312" w:hAnsi="Times New Roman" w:eastAsia="仿宋_GB2312" w:cs="仿宋_GB2312"/>
          <w:color w:val="auto"/>
          <w:kern w:val="2"/>
          <w:sz w:val="24"/>
          <w:szCs w:val="24"/>
          <w:highlight w:val="none"/>
          <w:u w:val="single"/>
          <w:lang w:val="en-US" w:eastAsia="zh-CN"/>
        </w:rPr>
        <w:t xml:space="preserve">  3  次</w:t>
      </w:r>
      <w:r>
        <w:rPr>
          <w:rFonts w:hint="default" w:ascii="仿宋_GB2312" w:hAnsi="Times New Roman" w:eastAsia="仿宋_GB2312" w:cs="仿宋_GB2312"/>
          <w:color w:val="auto"/>
          <w:kern w:val="2"/>
          <w:sz w:val="24"/>
          <w:szCs w:val="24"/>
          <w:highlight w:val="none"/>
          <w:lang w:val="en-US" w:eastAsia="zh-CN"/>
        </w:rPr>
        <w:t>以上的；</w:t>
      </w:r>
    </w:p>
    <w:p w14:paraId="2D0A97B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default" w:ascii="仿宋_GB2312" w:eastAsia="仿宋_GB2312" w:cs="仿宋_GB2312"/>
          <w:color w:val="auto"/>
          <w:kern w:val="2"/>
          <w:sz w:val="24"/>
          <w:szCs w:val="24"/>
          <w:highlight w:val="none"/>
        </w:rPr>
      </w:pPr>
      <w:r>
        <w:rPr>
          <w:rFonts w:hint="default" w:ascii="仿宋_GB2312" w:hAnsi="Times New Roman" w:eastAsia="仿宋_GB2312" w:cs="仿宋_GB2312"/>
          <w:color w:val="auto"/>
          <w:kern w:val="2"/>
          <w:sz w:val="24"/>
          <w:szCs w:val="24"/>
          <w:highlight w:val="none"/>
          <w:lang w:val="en-US" w:eastAsia="zh-CN"/>
        </w:rPr>
        <w:t>3.5 与学校或学校工作人员间存在商业贿赂等不正当经营行为的；</w:t>
      </w:r>
    </w:p>
    <w:p w14:paraId="66E1E83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default" w:ascii="仿宋_GB2312" w:hAnsi="Times New Roman" w:eastAsia="仿宋_GB2312" w:cs="仿宋_GB2312"/>
          <w:color w:val="auto"/>
          <w:kern w:val="2"/>
          <w:sz w:val="24"/>
          <w:szCs w:val="24"/>
          <w:highlight w:val="none"/>
          <w:lang w:val="en-US" w:eastAsia="zh-CN"/>
        </w:rPr>
      </w:pPr>
      <w:r>
        <w:rPr>
          <w:rFonts w:hint="default" w:ascii="仿宋_GB2312" w:hAnsi="Times New Roman" w:eastAsia="仿宋_GB2312" w:cs="仿宋_GB2312"/>
          <w:color w:val="auto"/>
          <w:kern w:val="2"/>
          <w:sz w:val="24"/>
          <w:szCs w:val="24"/>
          <w:highlight w:val="none"/>
          <w:lang w:val="en-US" w:eastAsia="zh-CN"/>
        </w:rPr>
        <w:t>3.6 乙方拒绝接受甲方监督管理，经甲方通知</w:t>
      </w:r>
      <w:r>
        <w:rPr>
          <w:rFonts w:hint="eastAsia" w:ascii="仿宋_GB2312" w:hAnsi="Times New Roman" w:eastAsia="仿宋_GB2312" w:cs="仿宋_GB2312"/>
          <w:color w:val="auto"/>
          <w:kern w:val="2"/>
          <w:sz w:val="24"/>
          <w:szCs w:val="24"/>
          <w:highlight w:val="none"/>
          <w:lang w:val="en-US" w:eastAsia="zh-CN"/>
        </w:rPr>
        <w:t>整改</w:t>
      </w:r>
      <w:r>
        <w:rPr>
          <w:rFonts w:hint="default" w:ascii="仿宋_GB2312" w:hAnsi="Times New Roman" w:eastAsia="仿宋_GB2312" w:cs="仿宋_GB2312"/>
          <w:color w:val="auto"/>
          <w:kern w:val="2"/>
          <w:sz w:val="24"/>
          <w:szCs w:val="24"/>
          <w:highlight w:val="none"/>
          <w:lang w:val="en-US" w:eastAsia="zh-CN"/>
        </w:rPr>
        <w:t>后不予</w:t>
      </w:r>
      <w:r>
        <w:rPr>
          <w:rFonts w:hint="eastAsia" w:ascii="仿宋_GB2312" w:hAnsi="Times New Roman" w:eastAsia="仿宋_GB2312" w:cs="仿宋_GB2312"/>
          <w:color w:val="auto"/>
          <w:kern w:val="2"/>
          <w:sz w:val="24"/>
          <w:szCs w:val="24"/>
          <w:highlight w:val="none"/>
          <w:lang w:val="en-US" w:eastAsia="zh-CN"/>
        </w:rPr>
        <w:t>整改，且影响食堂正常经营的</w:t>
      </w:r>
      <w:r>
        <w:rPr>
          <w:rFonts w:hint="default" w:ascii="仿宋_GB2312" w:hAnsi="Times New Roman" w:eastAsia="仿宋_GB2312" w:cs="仿宋_GB2312"/>
          <w:color w:val="auto"/>
          <w:kern w:val="2"/>
          <w:sz w:val="24"/>
          <w:szCs w:val="24"/>
          <w:highlight w:val="none"/>
          <w:lang w:val="en-US" w:eastAsia="zh-CN"/>
        </w:rPr>
        <w:t>；</w:t>
      </w:r>
    </w:p>
    <w:p w14:paraId="6873F12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default" w:ascii="仿宋_GB2312" w:eastAsia="仿宋_GB2312" w:cs="仿宋_GB2312"/>
          <w:color w:val="auto"/>
          <w:kern w:val="2"/>
          <w:sz w:val="24"/>
          <w:szCs w:val="24"/>
          <w:highlight w:val="none"/>
        </w:rPr>
      </w:pPr>
      <w:r>
        <w:rPr>
          <w:rFonts w:hint="default" w:ascii="仿宋_GB2312" w:hAnsi="Times New Roman" w:eastAsia="仿宋_GB2312" w:cs="仿宋_GB2312"/>
          <w:color w:val="auto"/>
          <w:kern w:val="2"/>
          <w:sz w:val="24"/>
          <w:szCs w:val="24"/>
          <w:highlight w:val="none"/>
          <w:lang w:val="en-US" w:eastAsia="zh-CN"/>
        </w:rPr>
        <w:t>3.7 乙方经营过程中，与用餐者发生谩骂、斗殴或造成严重后果或违反法律法规、规章规定，发生学生、教职工、学生家长群体性事件的；</w:t>
      </w:r>
    </w:p>
    <w:p w14:paraId="02CEE58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default" w:ascii="仿宋_GB2312" w:hAnsi="Times New Roman" w:eastAsia="仿宋_GB2312" w:cs="仿宋_GB2312"/>
          <w:color w:val="auto"/>
          <w:kern w:val="2"/>
          <w:sz w:val="24"/>
          <w:szCs w:val="24"/>
          <w:highlight w:val="none"/>
          <w:lang w:val="en-US" w:eastAsia="zh-CN"/>
        </w:rPr>
      </w:pPr>
      <w:r>
        <w:rPr>
          <w:rFonts w:hint="default" w:ascii="仿宋_GB2312" w:hAnsi="Times New Roman" w:eastAsia="仿宋_GB2312" w:cs="仿宋_GB2312"/>
          <w:color w:val="auto"/>
          <w:kern w:val="2"/>
          <w:sz w:val="24"/>
          <w:szCs w:val="24"/>
          <w:highlight w:val="none"/>
          <w:lang w:val="en-US" w:eastAsia="zh-CN"/>
        </w:rPr>
        <w:t>3.8 乙方人员在校园存放危险品或实施违法犯罪或损坏公共利益等行为。</w:t>
      </w:r>
    </w:p>
    <w:p w14:paraId="15FD1E82">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640" w:firstLineChars="0"/>
        <w:jc w:val="left"/>
        <w:textAlignment w:val="auto"/>
        <w:rPr>
          <w:rFonts w:hint="eastAsia" w:ascii="黑体" w:hAnsi="黑体" w:eastAsia="黑体" w:cs="黑体"/>
          <w:b w:val="0"/>
          <w:color w:val="auto"/>
          <w:kern w:val="2"/>
          <w:sz w:val="24"/>
          <w:szCs w:val="24"/>
          <w:highlight w:val="none"/>
        </w:rPr>
      </w:pPr>
      <w:r>
        <w:rPr>
          <w:rFonts w:hint="eastAsia" w:ascii="黑体" w:hAnsi="黑体" w:eastAsia="黑体" w:cs="黑体"/>
          <w:b w:val="0"/>
          <w:color w:val="auto"/>
          <w:kern w:val="2"/>
          <w:sz w:val="24"/>
          <w:szCs w:val="24"/>
          <w:highlight w:val="none"/>
          <w:lang w:eastAsia="zh-CN"/>
        </w:rPr>
        <w:t>九</w:t>
      </w:r>
      <w:r>
        <w:rPr>
          <w:rFonts w:hint="eastAsia" w:ascii="黑体" w:hAnsi="黑体" w:eastAsia="黑体" w:cs="黑体"/>
          <w:b w:val="0"/>
          <w:color w:val="auto"/>
          <w:kern w:val="2"/>
          <w:sz w:val="24"/>
          <w:szCs w:val="24"/>
          <w:highlight w:val="none"/>
        </w:rPr>
        <w:t>、不可抗力事件处理</w:t>
      </w:r>
    </w:p>
    <w:p w14:paraId="16BBEAF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default" w:ascii="仿宋_GB2312" w:eastAsia="仿宋_GB2312" w:cs="仿宋_GB2312"/>
          <w:b/>
          <w:color w:val="auto"/>
          <w:kern w:val="2"/>
          <w:sz w:val="24"/>
          <w:szCs w:val="24"/>
          <w:highlight w:val="none"/>
        </w:rPr>
      </w:pPr>
      <w:r>
        <w:rPr>
          <w:rFonts w:hint="eastAsia" w:ascii="仿宋_GB2312" w:hAnsi="Times New Roman" w:eastAsia="仿宋_GB2312" w:cs="仿宋_GB2312"/>
          <w:color w:val="auto"/>
          <w:kern w:val="2"/>
          <w:sz w:val="24"/>
          <w:szCs w:val="24"/>
          <w:highlight w:val="none"/>
          <w:lang w:val="en-US" w:eastAsia="zh-CN"/>
        </w:rPr>
        <w:t>服务</w:t>
      </w:r>
      <w:r>
        <w:rPr>
          <w:rFonts w:hint="default" w:ascii="仿宋_GB2312" w:hAnsi="Times New Roman" w:eastAsia="仿宋_GB2312" w:cs="仿宋_GB2312"/>
          <w:color w:val="auto"/>
          <w:kern w:val="2"/>
          <w:sz w:val="24"/>
          <w:szCs w:val="24"/>
          <w:highlight w:val="none"/>
          <w:lang w:val="en-US" w:eastAsia="zh-CN"/>
        </w:rPr>
        <w:t>期内，如不可抗力致使合同无法履行时，甲乙双方协商可变更或解除合同。</w:t>
      </w:r>
    </w:p>
    <w:p w14:paraId="66057134">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640" w:firstLineChars="0"/>
        <w:jc w:val="left"/>
        <w:textAlignment w:val="auto"/>
        <w:rPr>
          <w:rFonts w:hint="eastAsia" w:ascii="黑体" w:hAnsi="黑体" w:eastAsia="黑体" w:cs="黑体"/>
          <w:b w:val="0"/>
          <w:color w:val="auto"/>
          <w:kern w:val="2"/>
          <w:sz w:val="24"/>
          <w:szCs w:val="24"/>
          <w:highlight w:val="none"/>
          <w:lang w:val="en-US" w:eastAsia="zh-CN"/>
        </w:rPr>
      </w:pPr>
      <w:r>
        <w:rPr>
          <w:rFonts w:hint="eastAsia" w:ascii="黑体" w:hAnsi="黑体" w:eastAsia="黑体" w:cs="黑体"/>
          <w:b w:val="0"/>
          <w:color w:val="auto"/>
          <w:kern w:val="2"/>
          <w:sz w:val="24"/>
          <w:szCs w:val="24"/>
          <w:highlight w:val="none"/>
          <w:lang w:val="en-US" w:eastAsia="zh-CN"/>
        </w:rPr>
        <w:t>十、违约责任</w:t>
      </w:r>
    </w:p>
    <w:p w14:paraId="19B903BA">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default" w:ascii="仿宋_GB2312" w:eastAsia="仿宋_GB2312" w:cs="仿宋_GB2312"/>
          <w:color w:val="auto"/>
          <w:kern w:val="2"/>
          <w:sz w:val="24"/>
          <w:szCs w:val="24"/>
          <w:highlight w:val="none"/>
        </w:rPr>
      </w:pPr>
      <w:r>
        <w:rPr>
          <w:rFonts w:hint="default" w:ascii="仿宋_GB2312" w:hAnsi="Times New Roman" w:eastAsia="仿宋_GB2312" w:cs="仿宋_GB2312"/>
          <w:color w:val="auto"/>
          <w:kern w:val="2"/>
          <w:sz w:val="24"/>
          <w:szCs w:val="24"/>
          <w:highlight w:val="none"/>
          <w:lang w:val="en-US" w:eastAsia="zh-CN"/>
        </w:rPr>
        <w:t>双方任意一方违反本合同约定，未造成解除合同的，违约方应承担向守约方支付违约金</w:t>
      </w:r>
      <w:r>
        <w:rPr>
          <w:rFonts w:hint="eastAsia" w:ascii="仿宋_GB2312" w:hAnsi="Times New Roman" w:eastAsia="仿宋_GB2312" w:cs="仿宋_GB2312"/>
          <w:color w:val="auto"/>
          <w:kern w:val="2"/>
          <w:sz w:val="24"/>
          <w:szCs w:val="24"/>
          <w:highlight w:val="none"/>
          <w:lang w:val="en-US" w:eastAsia="zh-CN"/>
        </w:rPr>
        <w:t>，</w:t>
      </w:r>
      <w:r>
        <w:rPr>
          <w:rFonts w:hint="eastAsia" w:ascii="仿宋_GB2312" w:hAnsi="Times New Roman" w:eastAsia="仿宋_GB2312" w:cs="仿宋_GB2312"/>
          <w:color w:val="auto"/>
          <w:kern w:val="2"/>
          <w:sz w:val="24"/>
          <w:szCs w:val="24"/>
          <w:highlight w:val="none"/>
          <w:u w:val="single"/>
          <w:lang w:val="en-US" w:eastAsia="zh-CN"/>
        </w:rPr>
        <w:t>违约金按合同金额的5%计</w:t>
      </w:r>
      <w:r>
        <w:rPr>
          <w:rFonts w:hint="default" w:ascii="仿宋_GB2312" w:hAnsi="Times New Roman" w:eastAsia="仿宋_GB2312" w:cs="仿宋_GB2312"/>
          <w:color w:val="auto"/>
          <w:kern w:val="2"/>
          <w:sz w:val="24"/>
          <w:szCs w:val="24"/>
          <w:highlight w:val="none"/>
          <w:lang w:val="en-US" w:eastAsia="zh-CN"/>
        </w:rPr>
        <w:t>。</w:t>
      </w:r>
    </w:p>
    <w:p w14:paraId="4993A04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仿宋_GB2312" w:hAnsi="Times New Roman" w:eastAsia="仿宋_GB2312" w:cs="仿宋_GB2312"/>
          <w:color w:val="auto"/>
          <w:kern w:val="2"/>
          <w:sz w:val="24"/>
          <w:szCs w:val="24"/>
          <w:highlight w:val="none"/>
          <w:lang w:val="en-US" w:eastAsia="zh-CN"/>
        </w:rPr>
      </w:pPr>
      <w:r>
        <w:rPr>
          <w:rFonts w:hint="default" w:ascii="仿宋_GB2312" w:hAnsi="Times New Roman" w:eastAsia="仿宋_GB2312" w:cs="仿宋_GB2312"/>
          <w:color w:val="auto"/>
          <w:kern w:val="2"/>
          <w:sz w:val="24"/>
          <w:szCs w:val="24"/>
          <w:highlight w:val="none"/>
          <w:lang w:val="en-US" w:eastAsia="zh-CN"/>
        </w:rPr>
        <w:t>1.甲方</w:t>
      </w:r>
      <w:r>
        <w:rPr>
          <w:rFonts w:hint="eastAsia" w:ascii="仿宋_GB2312" w:hAnsi="Times New Roman" w:eastAsia="仿宋_GB2312" w:cs="仿宋_GB2312"/>
          <w:color w:val="auto"/>
          <w:kern w:val="2"/>
          <w:sz w:val="24"/>
          <w:szCs w:val="24"/>
          <w:highlight w:val="none"/>
          <w:lang w:val="en-US" w:eastAsia="zh-CN"/>
        </w:rPr>
        <w:t>违约责任</w:t>
      </w:r>
    </w:p>
    <w:p w14:paraId="6C41FA4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default" w:ascii="仿宋_GB2312" w:eastAsia="仿宋_GB2312" w:cs="仿宋_GB2312"/>
          <w:color w:val="auto"/>
          <w:kern w:val="2"/>
          <w:sz w:val="24"/>
          <w:szCs w:val="24"/>
          <w:highlight w:val="none"/>
        </w:rPr>
      </w:pPr>
      <w:r>
        <w:rPr>
          <w:rFonts w:hint="default" w:ascii="仿宋_GB2312" w:hAnsi="Times New Roman" w:eastAsia="仿宋_GB2312" w:cs="仿宋_GB2312"/>
          <w:color w:val="auto"/>
          <w:kern w:val="2"/>
          <w:sz w:val="24"/>
          <w:szCs w:val="24"/>
          <w:highlight w:val="none"/>
          <w:lang w:val="en-US" w:eastAsia="zh-CN"/>
        </w:rPr>
        <w:t>1.</w:t>
      </w:r>
      <w:r>
        <w:rPr>
          <w:rFonts w:hint="eastAsia" w:ascii="仿宋_GB2312" w:hAnsi="Times New Roman" w:eastAsia="仿宋_GB2312" w:cs="仿宋_GB2312"/>
          <w:color w:val="auto"/>
          <w:kern w:val="2"/>
          <w:sz w:val="24"/>
          <w:szCs w:val="24"/>
          <w:highlight w:val="none"/>
          <w:lang w:val="en-US" w:eastAsia="zh-CN"/>
        </w:rPr>
        <w:t>1</w:t>
      </w:r>
      <w:r>
        <w:rPr>
          <w:rFonts w:hint="default" w:ascii="仿宋_GB2312" w:hAnsi="Times New Roman" w:eastAsia="仿宋_GB2312" w:cs="仿宋_GB2312"/>
          <w:color w:val="auto"/>
          <w:kern w:val="2"/>
          <w:sz w:val="24"/>
          <w:szCs w:val="24"/>
          <w:highlight w:val="none"/>
          <w:lang w:val="en-US" w:eastAsia="zh-CN"/>
        </w:rPr>
        <w:t>甲方不按照约定支付费用，每逾期一日，按应支付金额</w:t>
      </w:r>
      <w:r>
        <w:rPr>
          <w:rFonts w:hint="default" w:ascii="仿宋_GB2312" w:hAnsi="Times New Roman" w:eastAsia="仿宋_GB2312" w:cs="仿宋_GB2312"/>
          <w:color w:val="auto"/>
          <w:kern w:val="2"/>
          <w:sz w:val="24"/>
          <w:szCs w:val="24"/>
          <w:highlight w:val="none"/>
          <w:u w:val="single"/>
          <w:lang w:val="en-US" w:eastAsia="zh-CN"/>
        </w:rPr>
        <w:t xml:space="preserve">   万分之五 </w:t>
      </w:r>
      <w:r>
        <w:rPr>
          <w:rFonts w:hint="default" w:ascii="仿宋_GB2312" w:hAnsi="Times New Roman" w:eastAsia="仿宋_GB2312" w:cs="仿宋_GB2312"/>
          <w:color w:val="auto"/>
          <w:kern w:val="2"/>
          <w:sz w:val="24"/>
          <w:szCs w:val="24"/>
          <w:highlight w:val="none"/>
          <w:lang w:val="en-US" w:eastAsia="zh-CN"/>
        </w:rPr>
        <w:t>的标准向乙方支付违约金。</w:t>
      </w:r>
    </w:p>
    <w:p w14:paraId="667CF84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default" w:ascii="仿宋_GB2312" w:hAnsi="Times New Roman" w:eastAsia="仿宋_GB2312" w:cs="仿宋_GB2312"/>
          <w:color w:val="auto"/>
          <w:kern w:val="2"/>
          <w:sz w:val="24"/>
          <w:szCs w:val="24"/>
          <w:highlight w:val="none"/>
          <w:lang w:val="en-US" w:eastAsia="zh-CN"/>
        </w:rPr>
      </w:pPr>
      <w:r>
        <w:rPr>
          <w:rFonts w:hint="eastAsia" w:ascii="仿宋_GB2312" w:hAnsi="Times New Roman" w:eastAsia="仿宋_GB2312" w:cs="仿宋_GB2312"/>
          <w:color w:val="auto"/>
          <w:kern w:val="2"/>
          <w:sz w:val="24"/>
          <w:szCs w:val="24"/>
          <w:highlight w:val="none"/>
          <w:lang w:val="en-US" w:eastAsia="zh-CN"/>
        </w:rPr>
        <w:t>1.2</w:t>
      </w:r>
      <w:r>
        <w:rPr>
          <w:rFonts w:hint="default" w:ascii="仿宋_GB2312" w:hAnsi="Times New Roman" w:eastAsia="仿宋_GB2312" w:cs="仿宋_GB2312"/>
          <w:color w:val="auto"/>
          <w:kern w:val="2"/>
          <w:sz w:val="24"/>
          <w:szCs w:val="24"/>
          <w:highlight w:val="none"/>
          <w:lang w:val="en-US" w:eastAsia="zh-CN"/>
        </w:rPr>
        <w:t>因甲方违约导致合同解除的，甲方应向乙方支付违约金，违约金</w:t>
      </w:r>
      <w:r>
        <w:rPr>
          <w:rFonts w:hint="eastAsia" w:ascii="仿宋_GB2312" w:hAnsi="Times New Roman" w:eastAsia="仿宋_GB2312" w:cs="仿宋_GB2312"/>
          <w:color w:val="auto"/>
          <w:kern w:val="2"/>
          <w:sz w:val="24"/>
          <w:szCs w:val="24"/>
          <w:highlight w:val="none"/>
          <w:u w:val="single"/>
          <w:lang w:val="en-US" w:eastAsia="zh-CN"/>
        </w:rPr>
        <w:t>按</w:t>
      </w:r>
      <w:r>
        <w:rPr>
          <w:rFonts w:hint="default" w:ascii="仿宋_GB2312" w:hAnsi="Times New Roman" w:eastAsia="仿宋_GB2312" w:cs="仿宋_GB2312"/>
          <w:color w:val="auto"/>
          <w:kern w:val="2"/>
          <w:sz w:val="24"/>
          <w:szCs w:val="24"/>
          <w:highlight w:val="none"/>
          <w:u w:val="single"/>
          <w:lang w:val="en-US" w:eastAsia="zh-CN"/>
        </w:rPr>
        <w:t>合同</w:t>
      </w:r>
      <w:r>
        <w:rPr>
          <w:rFonts w:hint="eastAsia" w:ascii="仿宋_GB2312" w:hAnsi="Times New Roman" w:eastAsia="仿宋_GB2312" w:cs="仿宋_GB2312"/>
          <w:color w:val="auto"/>
          <w:kern w:val="2"/>
          <w:sz w:val="24"/>
          <w:szCs w:val="24"/>
          <w:highlight w:val="none"/>
          <w:u w:val="single"/>
          <w:lang w:val="en-US" w:eastAsia="zh-CN"/>
        </w:rPr>
        <w:t>金额的</w:t>
      </w:r>
      <w:r>
        <w:rPr>
          <w:rFonts w:hint="default" w:ascii="仿宋_GB2312" w:hAnsi="Times New Roman" w:eastAsia="仿宋_GB2312" w:cs="仿宋_GB2312"/>
          <w:color w:val="auto"/>
          <w:kern w:val="2"/>
          <w:sz w:val="24"/>
          <w:szCs w:val="24"/>
          <w:highlight w:val="none"/>
          <w:u w:val="single"/>
          <w:lang w:val="en-US" w:eastAsia="zh-CN"/>
        </w:rPr>
        <w:t>5%</w:t>
      </w:r>
      <w:r>
        <w:rPr>
          <w:rFonts w:hint="eastAsia" w:ascii="仿宋_GB2312" w:hAnsi="Times New Roman" w:eastAsia="仿宋_GB2312" w:cs="仿宋_GB2312"/>
          <w:color w:val="auto"/>
          <w:kern w:val="2"/>
          <w:sz w:val="24"/>
          <w:szCs w:val="24"/>
          <w:highlight w:val="none"/>
          <w:u w:val="single"/>
          <w:lang w:val="en-US" w:eastAsia="zh-CN"/>
        </w:rPr>
        <w:t>计</w:t>
      </w:r>
      <w:r>
        <w:rPr>
          <w:rFonts w:hint="default" w:ascii="仿宋_GB2312" w:hAnsi="Times New Roman" w:eastAsia="仿宋_GB2312" w:cs="仿宋_GB2312"/>
          <w:color w:val="auto"/>
          <w:kern w:val="2"/>
          <w:sz w:val="24"/>
          <w:szCs w:val="24"/>
          <w:highlight w:val="none"/>
          <w:lang w:val="en-US" w:eastAsia="zh-CN"/>
        </w:rPr>
        <w:t>，同时还应承担乙方的</w:t>
      </w:r>
      <w:r>
        <w:rPr>
          <w:rFonts w:hint="eastAsia" w:ascii="仿宋_GB2312" w:hAnsi="Times New Roman" w:eastAsia="仿宋_GB2312" w:cs="仿宋_GB2312"/>
          <w:color w:val="auto"/>
          <w:kern w:val="2"/>
          <w:sz w:val="24"/>
          <w:szCs w:val="24"/>
          <w:highlight w:val="none"/>
          <w:lang w:val="en-US" w:eastAsia="zh-CN"/>
        </w:rPr>
        <w:t>实际</w:t>
      </w:r>
      <w:r>
        <w:rPr>
          <w:rFonts w:hint="default" w:ascii="仿宋_GB2312" w:hAnsi="Times New Roman" w:eastAsia="仿宋_GB2312" w:cs="仿宋_GB2312"/>
          <w:color w:val="auto"/>
          <w:kern w:val="2"/>
          <w:sz w:val="24"/>
          <w:szCs w:val="24"/>
          <w:highlight w:val="none"/>
          <w:lang w:val="en-US" w:eastAsia="zh-CN"/>
        </w:rPr>
        <w:t>经济损失</w:t>
      </w:r>
      <w:r>
        <w:rPr>
          <w:rFonts w:hint="eastAsia" w:ascii="仿宋_GB2312" w:hAnsi="Times New Roman" w:eastAsia="仿宋_GB2312" w:cs="仿宋_GB2312"/>
          <w:color w:val="auto"/>
          <w:kern w:val="2"/>
          <w:sz w:val="24"/>
          <w:szCs w:val="24"/>
          <w:highlight w:val="none"/>
          <w:lang w:val="en-US" w:eastAsia="zh-CN"/>
        </w:rPr>
        <w:t>。</w:t>
      </w:r>
    </w:p>
    <w:p w14:paraId="3C108B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仿宋_GB2312" w:hAnsi="Times New Roman" w:eastAsia="仿宋_GB2312" w:cs="仿宋_GB2312"/>
          <w:color w:val="auto"/>
          <w:kern w:val="2"/>
          <w:sz w:val="24"/>
          <w:szCs w:val="24"/>
          <w:highlight w:val="none"/>
          <w:lang w:val="en-US" w:eastAsia="zh-CN"/>
        </w:rPr>
      </w:pPr>
      <w:r>
        <w:rPr>
          <w:rFonts w:hint="eastAsia" w:ascii="仿宋_GB2312" w:hAnsi="Times New Roman" w:eastAsia="仿宋_GB2312" w:cs="仿宋_GB2312"/>
          <w:color w:val="auto"/>
          <w:kern w:val="2"/>
          <w:sz w:val="24"/>
          <w:szCs w:val="24"/>
          <w:highlight w:val="none"/>
          <w:lang w:val="en-US" w:eastAsia="zh-CN"/>
        </w:rPr>
        <w:t>2.乙</w:t>
      </w:r>
      <w:r>
        <w:rPr>
          <w:rFonts w:hint="default" w:ascii="仿宋_GB2312" w:hAnsi="Times New Roman" w:eastAsia="仿宋_GB2312" w:cs="仿宋_GB2312"/>
          <w:color w:val="auto"/>
          <w:kern w:val="2"/>
          <w:sz w:val="24"/>
          <w:szCs w:val="24"/>
          <w:highlight w:val="none"/>
          <w:lang w:val="en-US" w:eastAsia="zh-CN"/>
        </w:rPr>
        <w:t>方</w:t>
      </w:r>
      <w:r>
        <w:rPr>
          <w:rFonts w:hint="eastAsia" w:ascii="仿宋_GB2312" w:hAnsi="Times New Roman" w:eastAsia="仿宋_GB2312" w:cs="仿宋_GB2312"/>
          <w:color w:val="auto"/>
          <w:kern w:val="2"/>
          <w:sz w:val="24"/>
          <w:szCs w:val="24"/>
          <w:highlight w:val="none"/>
          <w:lang w:val="en-US" w:eastAsia="zh-CN"/>
        </w:rPr>
        <w:t>违约责任</w:t>
      </w:r>
    </w:p>
    <w:p w14:paraId="61A01A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default" w:ascii="仿宋_GB2312" w:eastAsia="仿宋_GB2312" w:cs="仿宋_GB2312"/>
          <w:color w:val="auto"/>
          <w:kern w:val="2"/>
          <w:sz w:val="24"/>
          <w:szCs w:val="24"/>
          <w:highlight w:val="none"/>
        </w:rPr>
      </w:pPr>
      <w:r>
        <w:rPr>
          <w:rFonts w:hint="default" w:ascii="仿宋_GB2312" w:hAnsi="Times New Roman" w:eastAsia="仿宋_GB2312" w:cs="仿宋_GB2312"/>
          <w:color w:val="auto"/>
          <w:kern w:val="2"/>
          <w:sz w:val="24"/>
          <w:szCs w:val="24"/>
          <w:highlight w:val="none"/>
          <w:lang w:val="en-US" w:eastAsia="zh-CN"/>
        </w:rPr>
        <w:t>2.</w:t>
      </w:r>
      <w:r>
        <w:rPr>
          <w:rFonts w:hint="eastAsia" w:ascii="仿宋_GB2312" w:hAnsi="Times New Roman" w:eastAsia="仿宋_GB2312" w:cs="仿宋_GB2312"/>
          <w:color w:val="auto"/>
          <w:kern w:val="2"/>
          <w:sz w:val="24"/>
          <w:szCs w:val="24"/>
          <w:highlight w:val="none"/>
          <w:lang w:val="en-US" w:eastAsia="zh-CN"/>
        </w:rPr>
        <w:t>1</w:t>
      </w:r>
      <w:r>
        <w:rPr>
          <w:rFonts w:hint="default" w:ascii="仿宋_GB2312" w:hAnsi="Times New Roman" w:eastAsia="仿宋_GB2312" w:cs="仿宋_GB2312"/>
          <w:color w:val="auto"/>
          <w:kern w:val="2"/>
          <w:sz w:val="24"/>
          <w:szCs w:val="24"/>
          <w:highlight w:val="none"/>
          <w:lang w:val="en-US" w:eastAsia="zh-CN"/>
        </w:rPr>
        <w:t>乙方在有关部门执法检查中，因存在食品安全、安全生产问题被通报或者被新闻媒体曝光，损害学校声誉的，乙方需要承担相应的法律责任和</w:t>
      </w:r>
      <w:r>
        <w:rPr>
          <w:rFonts w:hint="eastAsia" w:ascii="仿宋_GB2312" w:hAnsi="Times New Roman" w:eastAsia="仿宋_GB2312" w:cs="仿宋_GB2312"/>
          <w:color w:val="auto"/>
          <w:kern w:val="2"/>
          <w:sz w:val="24"/>
          <w:szCs w:val="24"/>
          <w:highlight w:val="none"/>
          <w:lang w:val="en-US" w:eastAsia="zh-CN"/>
        </w:rPr>
        <w:t>相应</w:t>
      </w:r>
      <w:r>
        <w:rPr>
          <w:rFonts w:hint="default" w:ascii="仿宋_GB2312" w:hAnsi="Times New Roman" w:eastAsia="仿宋_GB2312" w:cs="仿宋_GB2312"/>
          <w:color w:val="auto"/>
          <w:kern w:val="2"/>
          <w:sz w:val="24"/>
          <w:szCs w:val="24"/>
          <w:highlight w:val="none"/>
          <w:lang w:val="en-US" w:eastAsia="zh-CN"/>
        </w:rPr>
        <w:t>的经济责任，甲方根据侵害情况有权决定是否解除合同。</w:t>
      </w:r>
    </w:p>
    <w:p w14:paraId="4F17D5D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default" w:ascii="仿宋_GB2312" w:eastAsia="仿宋_GB2312" w:cs="仿宋_GB2312"/>
          <w:color w:val="auto"/>
          <w:kern w:val="2"/>
          <w:sz w:val="24"/>
          <w:szCs w:val="24"/>
          <w:highlight w:val="none"/>
        </w:rPr>
      </w:pPr>
      <w:r>
        <w:rPr>
          <w:rFonts w:hint="eastAsia" w:ascii="仿宋_GB2312" w:hAnsi="Times New Roman" w:eastAsia="仿宋_GB2312" w:cs="仿宋_GB2312"/>
          <w:color w:val="auto"/>
          <w:kern w:val="2"/>
          <w:sz w:val="24"/>
          <w:szCs w:val="24"/>
          <w:highlight w:val="none"/>
          <w:lang w:val="en-US" w:eastAsia="zh-CN"/>
        </w:rPr>
        <w:t xml:space="preserve">2.2 </w:t>
      </w:r>
      <w:r>
        <w:rPr>
          <w:rFonts w:hint="default" w:ascii="仿宋_GB2312" w:hAnsi="Times New Roman" w:eastAsia="仿宋_GB2312" w:cs="仿宋_GB2312"/>
          <w:color w:val="auto"/>
          <w:kern w:val="2"/>
          <w:sz w:val="24"/>
          <w:szCs w:val="24"/>
          <w:highlight w:val="none"/>
          <w:lang w:val="en-US" w:eastAsia="zh-CN"/>
        </w:rPr>
        <w:t>因乙方违约导致合同解除的，乙方应向甲方支付违约金</w:t>
      </w:r>
      <w:r>
        <w:rPr>
          <w:rFonts w:hint="eastAsia" w:ascii="仿宋_GB2312" w:hAnsi="Times New Roman" w:eastAsia="仿宋_GB2312" w:cs="仿宋_GB2312"/>
          <w:color w:val="auto"/>
          <w:kern w:val="2"/>
          <w:sz w:val="24"/>
          <w:szCs w:val="24"/>
          <w:highlight w:val="none"/>
          <w:u w:val="single"/>
          <w:lang w:val="en-US" w:eastAsia="zh-CN"/>
        </w:rPr>
        <w:t>，</w:t>
      </w:r>
      <w:r>
        <w:rPr>
          <w:rFonts w:hint="default" w:ascii="仿宋_GB2312" w:hAnsi="Times New Roman" w:eastAsia="仿宋_GB2312" w:cs="仿宋_GB2312"/>
          <w:color w:val="auto"/>
          <w:kern w:val="2"/>
          <w:sz w:val="24"/>
          <w:szCs w:val="24"/>
          <w:highlight w:val="none"/>
          <w:u w:val="single"/>
          <w:lang w:val="en-US" w:eastAsia="zh-CN"/>
        </w:rPr>
        <w:t>违约金按合同金额的5%计</w:t>
      </w:r>
      <w:r>
        <w:rPr>
          <w:rFonts w:hint="default" w:ascii="仿宋_GB2312" w:hAnsi="Times New Roman" w:eastAsia="仿宋_GB2312" w:cs="仿宋_GB2312"/>
          <w:color w:val="auto"/>
          <w:kern w:val="2"/>
          <w:sz w:val="24"/>
          <w:szCs w:val="24"/>
          <w:highlight w:val="none"/>
          <w:lang w:val="en-US" w:eastAsia="zh-CN"/>
        </w:rPr>
        <w:t>，违约金不足以补偿甲方损失的，按实际损失赔偿。</w:t>
      </w:r>
    </w:p>
    <w:p w14:paraId="38B50513">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Autospacing="0" w:after="0" w:afterAutospacing="0" w:line="580" w:lineRule="exact"/>
        <w:ind w:left="0" w:right="0" w:firstLine="480" w:firstLineChars="200"/>
        <w:jc w:val="left"/>
        <w:textAlignment w:val="auto"/>
        <w:rPr>
          <w:rFonts w:hint="eastAsia" w:ascii="黑体" w:hAnsi="黑体" w:eastAsia="黑体" w:cs="黑体"/>
          <w:b w:val="0"/>
          <w:color w:val="auto"/>
          <w:kern w:val="2"/>
          <w:sz w:val="24"/>
          <w:szCs w:val="24"/>
          <w:highlight w:val="none"/>
        </w:rPr>
      </w:pPr>
      <w:r>
        <w:rPr>
          <w:rFonts w:hint="eastAsia" w:ascii="黑体" w:hAnsi="黑体" w:eastAsia="黑体" w:cs="黑体"/>
          <w:b w:val="0"/>
          <w:color w:val="auto"/>
          <w:kern w:val="2"/>
          <w:sz w:val="24"/>
          <w:szCs w:val="24"/>
          <w:highlight w:val="none"/>
        </w:rPr>
        <w:t>十</w:t>
      </w:r>
      <w:r>
        <w:rPr>
          <w:rFonts w:hint="eastAsia" w:ascii="黑体" w:hAnsi="黑体" w:eastAsia="黑体" w:cs="黑体"/>
          <w:b w:val="0"/>
          <w:color w:val="auto"/>
          <w:kern w:val="2"/>
          <w:sz w:val="24"/>
          <w:szCs w:val="24"/>
          <w:highlight w:val="none"/>
          <w:lang w:eastAsia="zh-CN"/>
        </w:rPr>
        <w:t>一</w:t>
      </w:r>
      <w:r>
        <w:rPr>
          <w:rFonts w:hint="eastAsia" w:ascii="黑体" w:hAnsi="黑体" w:eastAsia="黑体" w:cs="黑体"/>
          <w:b w:val="0"/>
          <w:color w:val="auto"/>
          <w:kern w:val="2"/>
          <w:sz w:val="24"/>
          <w:szCs w:val="24"/>
          <w:highlight w:val="none"/>
        </w:rPr>
        <w:t>、保密条款</w:t>
      </w:r>
    </w:p>
    <w:p w14:paraId="79FDD72C">
      <w:pPr>
        <w:pStyle w:val="13"/>
        <w:keepNext w:val="0"/>
        <w:keepLines w:val="0"/>
        <w:pageBreakBefore w:val="0"/>
        <w:widowControl w:val="0"/>
        <w:suppressLineNumbers w:val="0"/>
        <w:kinsoku/>
        <w:overflowPunct/>
        <w:topLinePunct w:val="0"/>
        <w:autoSpaceDE w:val="0"/>
        <w:autoSpaceDN/>
        <w:bidi w:val="0"/>
        <w:adjustRightInd/>
        <w:snapToGrid w:val="0"/>
        <w:spacing w:before="0" w:beforeAutospacing="0" w:after="0" w:afterAutospacing="0" w:line="580" w:lineRule="exact"/>
        <w:ind w:left="0" w:right="0" w:firstLine="480" w:firstLineChars="200"/>
        <w:textAlignment w:val="auto"/>
        <w:rPr>
          <w:rFonts w:hint="default" w:ascii="仿宋_GB2312" w:eastAsia="仿宋_GB2312" w:cs="仿宋_GB2312"/>
          <w:b w:val="0"/>
          <w:color w:val="auto"/>
          <w:kern w:val="2"/>
          <w:sz w:val="24"/>
          <w:szCs w:val="24"/>
          <w:highlight w:val="none"/>
        </w:rPr>
      </w:pPr>
      <w:r>
        <w:rPr>
          <w:rFonts w:hint="default" w:ascii="仿宋_GB2312" w:eastAsia="仿宋_GB2312" w:cs="仿宋_GB2312"/>
          <w:b w:val="0"/>
          <w:color w:val="auto"/>
          <w:kern w:val="2"/>
          <w:sz w:val="24"/>
          <w:szCs w:val="24"/>
          <w:highlight w:val="none"/>
        </w:rPr>
        <w:t>甲乙双方应保守在缔结和履行合同过程中获知对方的</w:t>
      </w:r>
      <w:r>
        <w:rPr>
          <w:rFonts w:hint="eastAsia" w:ascii="仿宋_GB2312" w:eastAsia="仿宋_GB2312" w:cs="仿宋_GB2312"/>
          <w:b w:val="0"/>
          <w:color w:val="auto"/>
          <w:kern w:val="2"/>
          <w:sz w:val="24"/>
          <w:szCs w:val="24"/>
          <w:highlight w:val="none"/>
          <w:lang w:eastAsia="zh-CN"/>
        </w:rPr>
        <w:t>个人、师生信息以及</w:t>
      </w:r>
      <w:r>
        <w:rPr>
          <w:rFonts w:hint="default" w:ascii="仿宋_GB2312" w:eastAsia="仿宋_GB2312" w:cs="仿宋_GB2312"/>
          <w:b w:val="0"/>
          <w:color w:val="auto"/>
          <w:kern w:val="2"/>
          <w:sz w:val="24"/>
          <w:szCs w:val="24"/>
          <w:highlight w:val="none"/>
        </w:rPr>
        <w:t>内部保密信息，除甲乙双方履行合同义务的必要或有法律、法规规定应披露的之外，不得以任何方式向第三人披露和不正当使用，否则，应当赔偿因泄露保密信息给对方造成的损失。</w:t>
      </w:r>
    </w:p>
    <w:p w14:paraId="245C9D8E">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Autospacing="0" w:after="0" w:afterAutospacing="0" w:line="580" w:lineRule="exact"/>
        <w:ind w:left="0" w:right="0" w:firstLine="480" w:firstLineChars="200"/>
        <w:jc w:val="left"/>
        <w:textAlignment w:val="auto"/>
        <w:rPr>
          <w:rFonts w:hint="eastAsia" w:ascii="黑体" w:hAnsi="黑体" w:eastAsia="黑体" w:cs="黑体"/>
          <w:b w:val="0"/>
          <w:color w:val="auto"/>
          <w:kern w:val="2"/>
          <w:sz w:val="24"/>
          <w:szCs w:val="24"/>
          <w:highlight w:val="none"/>
        </w:rPr>
      </w:pPr>
      <w:r>
        <w:rPr>
          <w:rFonts w:hint="eastAsia" w:ascii="黑体" w:hAnsi="黑体" w:eastAsia="黑体" w:cs="黑体"/>
          <w:b w:val="0"/>
          <w:color w:val="auto"/>
          <w:kern w:val="2"/>
          <w:sz w:val="24"/>
          <w:szCs w:val="24"/>
          <w:highlight w:val="none"/>
        </w:rPr>
        <w:t>十</w:t>
      </w:r>
      <w:r>
        <w:rPr>
          <w:rFonts w:hint="eastAsia" w:ascii="黑体" w:hAnsi="黑体" w:eastAsia="黑体" w:cs="黑体"/>
          <w:b w:val="0"/>
          <w:color w:val="auto"/>
          <w:kern w:val="2"/>
          <w:sz w:val="24"/>
          <w:szCs w:val="24"/>
          <w:highlight w:val="none"/>
          <w:lang w:eastAsia="zh-CN"/>
        </w:rPr>
        <w:t>二</w:t>
      </w:r>
      <w:r>
        <w:rPr>
          <w:rFonts w:hint="eastAsia" w:ascii="黑体" w:hAnsi="黑体" w:eastAsia="黑体" w:cs="黑体"/>
          <w:b w:val="0"/>
          <w:color w:val="auto"/>
          <w:kern w:val="2"/>
          <w:sz w:val="24"/>
          <w:szCs w:val="24"/>
          <w:highlight w:val="none"/>
        </w:rPr>
        <w:t>、考核</w:t>
      </w:r>
    </w:p>
    <w:p w14:paraId="6E6201DC">
      <w:pPr>
        <w:pStyle w:val="13"/>
        <w:keepNext w:val="0"/>
        <w:keepLines w:val="0"/>
        <w:pageBreakBefore w:val="0"/>
        <w:widowControl w:val="0"/>
        <w:suppressLineNumbers w:val="0"/>
        <w:kinsoku/>
        <w:overflowPunct/>
        <w:topLinePunct w:val="0"/>
        <w:autoSpaceDE w:val="0"/>
        <w:autoSpaceDN/>
        <w:bidi w:val="0"/>
        <w:adjustRightInd/>
        <w:snapToGrid w:val="0"/>
        <w:spacing w:before="0" w:beforeAutospacing="0" w:after="0" w:afterAutospacing="0" w:line="580" w:lineRule="exact"/>
        <w:ind w:left="0" w:right="0" w:firstLine="480" w:firstLineChars="200"/>
        <w:textAlignment w:val="auto"/>
        <w:rPr>
          <w:rFonts w:hint="default" w:ascii="仿宋_GB2312" w:eastAsia="仿宋_GB2312" w:cs="仿宋_GB2312"/>
          <w:b/>
          <w:color w:val="auto"/>
          <w:kern w:val="0"/>
          <w:sz w:val="24"/>
          <w:szCs w:val="24"/>
          <w:highlight w:val="none"/>
        </w:rPr>
      </w:pPr>
      <w:r>
        <w:rPr>
          <w:rFonts w:hint="default" w:ascii="仿宋_GB2312" w:eastAsia="仿宋_GB2312" w:cs="仿宋_GB2312"/>
          <w:color w:val="auto"/>
          <w:kern w:val="2"/>
          <w:sz w:val="24"/>
          <w:szCs w:val="24"/>
          <w:highlight w:val="none"/>
        </w:rPr>
        <w:t>考核具体内容由甲</w:t>
      </w:r>
      <w:r>
        <w:rPr>
          <w:rFonts w:hint="eastAsia" w:ascii="仿宋_GB2312" w:eastAsia="仿宋_GB2312" w:cs="仿宋_GB2312"/>
          <w:color w:val="auto"/>
          <w:kern w:val="2"/>
          <w:sz w:val="24"/>
          <w:szCs w:val="24"/>
          <w:highlight w:val="none"/>
          <w:lang w:eastAsia="zh-CN"/>
        </w:rPr>
        <w:t>方和</w:t>
      </w:r>
      <w:r>
        <w:rPr>
          <w:rFonts w:hint="default" w:ascii="仿宋_GB2312" w:eastAsia="仿宋_GB2312" w:cs="仿宋_GB2312"/>
          <w:color w:val="auto"/>
          <w:kern w:val="2"/>
          <w:sz w:val="24"/>
          <w:szCs w:val="24"/>
          <w:highlight w:val="none"/>
        </w:rPr>
        <w:t>乙方共同协商制定（详见附件2）。</w:t>
      </w:r>
    </w:p>
    <w:p w14:paraId="4957423D">
      <w:pPr>
        <w:keepNext w:val="0"/>
        <w:keepLines w:val="0"/>
        <w:pageBreakBefore w:val="0"/>
        <w:widowControl w:val="0"/>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480" w:firstLineChars="200"/>
        <w:jc w:val="left"/>
        <w:textAlignment w:val="auto"/>
        <w:rPr>
          <w:rFonts w:hint="eastAsia" w:ascii="黑体" w:hAnsi="黑体" w:eastAsia="黑体" w:cs="黑体"/>
          <w:b w:val="0"/>
          <w:color w:val="auto"/>
          <w:kern w:val="2"/>
          <w:sz w:val="24"/>
          <w:szCs w:val="24"/>
          <w:highlight w:val="none"/>
        </w:rPr>
      </w:pPr>
      <w:r>
        <w:rPr>
          <w:rFonts w:hint="eastAsia" w:ascii="黑体" w:hAnsi="黑体" w:eastAsia="黑体" w:cs="黑体"/>
          <w:b w:val="0"/>
          <w:color w:val="auto"/>
          <w:kern w:val="2"/>
          <w:sz w:val="24"/>
          <w:szCs w:val="24"/>
          <w:highlight w:val="none"/>
          <w:lang w:val="en-US" w:eastAsia="zh-CN"/>
        </w:rPr>
        <w:t>十三、争议解决</w:t>
      </w:r>
    </w:p>
    <w:p w14:paraId="048169B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default" w:ascii="仿宋_GB2312" w:eastAsia="仿宋_GB2312" w:cs="仿宋_GB2312"/>
          <w:color w:val="auto"/>
          <w:kern w:val="2"/>
          <w:sz w:val="24"/>
          <w:szCs w:val="24"/>
          <w:highlight w:val="none"/>
        </w:rPr>
      </w:pPr>
      <w:r>
        <w:rPr>
          <w:rFonts w:hint="default" w:ascii="仿宋_GB2312" w:hAnsi="Times New Roman" w:eastAsia="仿宋_GB2312" w:cs="仿宋_GB2312"/>
          <w:color w:val="auto"/>
          <w:kern w:val="2"/>
          <w:sz w:val="24"/>
          <w:szCs w:val="24"/>
          <w:highlight w:val="none"/>
          <w:lang w:val="en-US" w:eastAsia="zh-CN"/>
        </w:rPr>
        <w:t>因本合同相关事项发生的纠纷，应通过协商解决。如协商不成，可按以下第</w:t>
      </w:r>
      <w:r>
        <w:rPr>
          <w:rFonts w:hint="default" w:ascii="仿宋_GB2312" w:hAnsi="Times New Roman" w:eastAsia="仿宋_GB2312" w:cs="仿宋_GB2312"/>
          <w:color w:val="auto"/>
          <w:kern w:val="2"/>
          <w:sz w:val="24"/>
          <w:szCs w:val="24"/>
          <w:highlight w:val="none"/>
          <w:u w:val="single"/>
          <w:lang w:val="en-US" w:eastAsia="zh-CN"/>
        </w:rPr>
        <w:t xml:space="preserve">  </w:t>
      </w:r>
      <w:r>
        <w:rPr>
          <w:rFonts w:hint="eastAsia" w:ascii="仿宋_GB2312" w:hAnsi="Times New Roman" w:eastAsia="仿宋_GB2312" w:cs="仿宋_GB2312"/>
          <w:color w:val="auto"/>
          <w:kern w:val="2"/>
          <w:sz w:val="24"/>
          <w:szCs w:val="24"/>
          <w:highlight w:val="none"/>
          <w:u w:val="single"/>
          <w:lang w:val="en-US" w:eastAsia="zh-CN"/>
        </w:rPr>
        <w:t>2</w:t>
      </w:r>
      <w:r>
        <w:rPr>
          <w:rFonts w:hint="default" w:ascii="仿宋_GB2312" w:hAnsi="Times New Roman" w:eastAsia="仿宋_GB2312" w:cs="仿宋_GB2312"/>
          <w:color w:val="auto"/>
          <w:kern w:val="2"/>
          <w:sz w:val="24"/>
          <w:szCs w:val="24"/>
          <w:highlight w:val="none"/>
          <w:u w:val="single"/>
          <w:lang w:val="en-US" w:eastAsia="zh-CN"/>
        </w:rPr>
        <w:t xml:space="preserve">   </w:t>
      </w:r>
      <w:r>
        <w:rPr>
          <w:rFonts w:hint="default" w:ascii="仿宋_GB2312" w:hAnsi="Times New Roman" w:eastAsia="仿宋_GB2312" w:cs="仿宋_GB2312"/>
          <w:color w:val="auto"/>
          <w:kern w:val="2"/>
          <w:sz w:val="24"/>
          <w:szCs w:val="24"/>
          <w:highlight w:val="none"/>
          <w:lang w:val="en-US" w:eastAsia="zh-CN"/>
        </w:rPr>
        <w:t>种方式解决：</w:t>
      </w:r>
    </w:p>
    <w:p w14:paraId="36E96B7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default" w:ascii="仿宋_GB2312" w:eastAsia="仿宋_GB2312" w:cs="仿宋_GB2312"/>
          <w:color w:val="auto"/>
          <w:kern w:val="2"/>
          <w:sz w:val="24"/>
          <w:szCs w:val="24"/>
          <w:highlight w:val="none"/>
        </w:rPr>
      </w:pPr>
      <w:r>
        <w:rPr>
          <w:rFonts w:hint="default" w:ascii="仿宋_GB2312" w:hAnsi="Times New Roman" w:eastAsia="仿宋_GB2312" w:cs="仿宋_GB2312"/>
          <w:color w:val="auto"/>
          <w:kern w:val="2"/>
          <w:sz w:val="24"/>
          <w:szCs w:val="24"/>
          <w:highlight w:val="none"/>
          <w:lang w:val="en-US" w:eastAsia="zh-CN"/>
        </w:rPr>
        <w:t>1.向</w:t>
      </w:r>
      <w:r>
        <w:rPr>
          <w:rFonts w:hint="eastAsia" w:ascii="仿宋_GB2312" w:hAnsi="Times New Roman" w:eastAsia="仿宋_GB2312" w:cs="仿宋_GB2312"/>
          <w:color w:val="auto"/>
          <w:kern w:val="2"/>
          <w:sz w:val="24"/>
          <w:szCs w:val="24"/>
          <w:highlight w:val="none"/>
          <w:u w:val="single"/>
          <w:lang w:val="en-US" w:eastAsia="zh-CN"/>
        </w:rPr>
        <w:t>台州</w:t>
      </w:r>
      <w:r>
        <w:rPr>
          <w:rFonts w:hint="default" w:ascii="仿宋_GB2312" w:hAnsi="Times New Roman" w:eastAsia="仿宋_GB2312" w:cs="仿宋_GB2312"/>
          <w:color w:val="auto"/>
          <w:kern w:val="2"/>
          <w:sz w:val="24"/>
          <w:szCs w:val="24"/>
          <w:highlight w:val="none"/>
          <w:lang w:val="en-US" w:eastAsia="zh-CN"/>
        </w:rPr>
        <w:t>仲裁委员会申请仲裁。</w:t>
      </w:r>
    </w:p>
    <w:p w14:paraId="0DA79B2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default" w:ascii="仿宋_GB2312" w:eastAsia="仿宋_GB2312" w:cs="仿宋_GB2312"/>
          <w:b/>
          <w:color w:val="auto"/>
          <w:kern w:val="2"/>
          <w:sz w:val="24"/>
          <w:szCs w:val="24"/>
          <w:highlight w:val="none"/>
        </w:rPr>
      </w:pPr>
      <w:r>
        <w:rPr>
          <w:rFonts w:hint="default" w:ascii="仿宋_GB2312" w:hAnsi="Times New Roman" w:eastAsia="仿宋_GB2312" w:cs="仿宋_GB2312"/>
          <w:color w:val="auto"/>
          <w:kern w:val="2"/>
          <w:sz w:val="24"/>
          <w:szCs w:val="24"/>
          <w:highlight w:val="none"/>
          <w:lang w:val="en-US" w:eastAsia="zh-CN"/>
        </w:rPr>
        <w:t>2.依法向</w:t>
      </w:r>
      <w:r>
        <w:rPr>
          <w:rFonts w:hint="eastAsia" w:ascii="仿宋_GB2312" w:hAnsi="Times New Roman" w:eastAsia="仿宋_GB2312" w:cs="仿宋_GB2312"/>
          <w:color w:val="auto"/>
          <w:kern w:val="2"/>
          <w:sz w:val="24"/>
          <w:szCs w:val="24"/>
          <w:highlight w:val="none"/>
          <w:u w:val="single"/>
          <w:lang w:val="en-US" w:eastAsia="zh-CN"/>
        </w:rPr>
        <w:t>甲方所在地</w:t>
      </w:r>
      <w:r>
        <w:rPr>
          <w:rFonts w:hint="default" w:ascii="仿宋_GB2312" w:hAnsi="Times New Roman" w:eastAsia="仿宋_GB2312" w:cs="仿宋_GB2312"/>
          <w:color w:val="auto"/>
          <w:kern w:val="2"/>
          <w:sz w:val="24"/>
          <w:szCs w:val="24"/>
          <w:highlight w:val="none"/>
          <w:lang w:val="en-US" w:eastAsia="zh-CN"/>
        </w:rPr>
        <w:t>人民法院起诉。</w:t>
      </w:r>
    </w:p>
    <w:p w14:paraId="5685DA18">
      <w:pPr>
        <w:pStyle w:val="25"/>
        <w:keepNext w:val="0"/>
        <w:keepLines w:val="0"/>
        <w:pageBreakBefore w:val="0"/>
        <w:widowControl/>
        <w:kinsoku/>
        <w:overflowPunct/>
        <w:topLinePunct w:val="0"/>
        <w:autoSpaceDN/>
        <w:bidi w:val="0"/>
        <w:adjustRightInd/>
        <w:spacing w:before="0" w:beforeAutospacing="0" w:after="0" w:afterAutospacing="0" w:line="580" w:lineRule="exact"/>
        <w:ind w:left="0" w:right="0" w:firstLine="480" w:firstLineChars="200"/>
        <w:textAlignment w:val="auto"/>
        <w:rPr>
          <w:rFonts w:hint="default" w:ascii="仿宋_GB2312" w:eastAsia="仿宋_GB2312" w:cs="仿宋_GB2312"/>
          <w:b/>
          <w:color w:val="auto"/>
          <w:kern w:val="2"/>
          <w:sz w:val="24"/>
          <w:szCs w:val="24"/>
          <w:highlight w:val="none"/>
        </w:rPr>
      </w:pPr>
      <w:r>
        <w:rPr>
          <w:rFonts w:hint="default" w:ascii="仿宋_GB2312" w:eastAsia="仿宋_GB2312" w:cs="仿宋_GB2312"/>
          <w:b w:val="0"/>
          <w:color w:val="auto"/>
          <w:kern w:val="2"/>
          <w:sz w:val="24"/>
          <w:szCs w:val="24"/>
          <w:highlight w:val="none"/>
        </w:rPr>
        <w:t>在诉讼或仲裁期间，本合同不涉及争议的条款仍然有效，双方应继续履行。</w:t>
      </w:r>
    </w:p>
    <w:p w14:paraId="679C3D7F">
      <w:pPr>
        <w:pStyle w:val="25"/>
        <w:keepNext w:val="0"/>
        <w:keepLines w:val="0"/>
        <w:pageBreakBefore w:val="0"/>
        <w:widowControl/>
        <w:kinsoku/>
        <w:overflowPunct/>
        <w:topLinePunct w:val="0"/>
        <w:autoSpaceDN/>
        <w:bidi w:val="0"/>
        <w:adjustRightInd/>
        <w:spacing w:before="0" w:beforeAutospacing="0" w:after="0" w:afterAutospacing="0" w:line="580" w:lineRule="exact"/>
        <w:ind w:left="0" w:right="0" w:firstLine="482" w:firstLineChars="200"/>
        <w:textAlignment w:val="auto"/>
        <w:rPr>
          <w:rFonts w:hint="default" w:ascii="仿宋_GB2312" w:eastAsia="仿宋_GB2312" w:cs="仿宋_GB2312"/>
          <w:b/>
          <w:color w:val="auto"/>
          <w:kern w:val="2"/>
          <w:sz w:val="24"/>
          <w:szCs w:val="24"/>
          <w:highlight w:val="none"/>
        </w:rPr>
      </w:pPr>
      <w:r>
        <w:rPr>
          <w:rFonts w:hint="default" w:ascii="仿宋_GB2312" w:eastAsia="仿宋_GB2312" w:cs="仿宋_GB2312"/>
          <w:b/>
          <w:color w:val="auto"/>
          <w:kern w:val="2"/>
          <w:sz w:val="24"/>
          <w:szCs w:val="24"/>
          <w:highlight w:val="none"/>
        </w:rPr>
        <w:t>十五、其他</w:t>
      </w:r>
    </w:p>
    <w:p w14:paraId="414B57B9">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textAlignment w:val="auto"/>
        <w:rPr>
          <w:rFonts w:hint="default" w:ascii="仿宋_GB2312" w:eastAsia="仿宋_GB2312" w:cs="仿宋_GB2312"/>
          <w:b/>
          <w:color w:val="auto"/>
          <w:kern w:val="2"/>
          <w:sz w:val="24"/>
          <w:szCs w:val="24"/>
          <w:highlight w:val="none"/>
        </w:rPr>
      </w:pPr>
      <w:r>
        <w:rPr>
          <w:rFonts w:hint="default" w:ascii="仿宋_GB2312" w:eastAsia="仿宋_GB2312" w:cs="仿宋_GB2312"/>
          <w:color w:val="auto"/>
          <w:kern w:val="2"/>
          <w:sz w:val="24"/>
          <w:szCs w:val="24"/>
          <w:highlight w:val="none"/>
        </w:rPr>
        <w:t>1.本合同在</w:t>
      </w:r>
      <w:r>
        <w:rPr>
          <w:rFonts w:hint="eastAsia" w:ascii="仿宋_GB2312" w:eastAsia="仿宋_GB2312" w:cs="仿宋_GB2312"/>
          <w:color w:val="auto"/>
          <w:kern w:val="2"/>
          <w:sz w:val="24"/>
          <w:szCs w:val="24"/>
          <w:highlight w:val="none"/>
          <w:u w:val="single"/>
          <w:lang w:val="en-US" w:eastAsia="zh-CN"/>
        </w:rPr>
        <w:t>台州</w:t>
      </w:r>
      <w:r>
        <w:rPr>
          <w:rFonts w:hint="default" w:ascii="仿宋_GB2312" w:eastAsia="仿宋_GB2312" w:cs="仿宋_GB2312"/>
          <w:color w:val="auto"/>
          <w:kern w:val="2"/>
          <w:sz w:val="24"/>
          <w:szCs w:val="24"/>
          <w:highlight w:val="none"/>
        </w:rPr>
        <w:t>签订。</w:t>
      </w:r>
    </w:p>
    <w:p w14:paraId="07B63A1B">
      <w:pPr>
        <w:pStyle w:val="13"/>
        <w:keepNext w:val="0"/>
        <w:keepLines w:val="0"/>
        <w:pageBreakBefore w:val="0"/>
        <w:widowControl w:val="0"/>
        <w:suppressLineNumbers w:val="0"/>
        <w:kinsoku/>
        <w:overflowPunct/>
        <w:topLinePunct w:val="0"/>
        <w:autoSpaceDE w:val="0"/>
        <w:autoSpaceDN/>
        <w:bidi w:val="0"/>
        <w:adjustRightInd/>
        <w:snapToGrid w:val="0"/>
        <w:spacing w:before="0" w:beforeAutospacing="0" w:after="0" w:afterAutospacing="0" w:line="580" w:lineRule="exact"/>
        <w:ind w:left="0" w:right="0" w:firstLine="480" w:firstLineChars="200"/>
        <w:textAlignment w:val="auto"/>
        <w:rPr>
          <w:rFonts w:hint="default" w:ascii="仿宋_GB2312" w:eastAsia="仿宋_GB2312" w:cs="仿宋_GB2312"/>
          <w:color w:val="auto"/>
          <w:kern w:val="2"/>
          <w:sz w:val="24"/>
          <w:szCs w:val="24"/>
          <w:highlight w:val="none"/>
        </w:rPr>
      </w:pPr>
      <w:r>
        <w:rPr>
          <w:rFonts w:hint="eastAsia" w:ascii="仿宋_GB2312" w:eastAsia="仿宋_GB2312" w:cs="仿宋_GB2312"/>
          <w:color w:val="auto"/>
          <w:kern w:val="2"/>
          <w:sz w:val="24"/>
          <w:szCs w:val="24"/>
          <w:highlight w:val="none"/>
          <w:lang w:val="en-US" w:eastAsia="zh-CN"/>
        </w:rPr>
        <w:t>2</w:t>
      </w:r>
      <w:r>
        <w:rPr>
          <w:rFonts w:hint="default" w:ascii="仿宋_GB2312" w:eastAsia="仿宋_GB2312" w:cs="仿宋_GB2312"/>
          <w:color w:val="auto"/>
          <w:kern w:val="2"/>
          <w:sz w:val="24"/>
          <w:szCs w:val="24"/>
          <w:highlight w:val="none"/>
        </w:rPr>
        <w:t>.合同经双方法定代表人或授权代表签字并加盖单位公章后生效。</w:t>
      </w:r>
    </w:p>
    <w:p w14:paraId="0D58DB23">
      <w:pPr>
        <w:pStyle w:val="13"/>
        <w:keepNext w:val="0"/>
        <w:keepLines w:val="0"/>
        <w:pageBreakBefore w:val="0"/>
        <w:widowControl/>
        <w:kinsoku/>
        <w:overflowPunct/>
        <w:topLinePunct w:val="0"/>
        <w:autoSpaceDN/>
        <w:bidi w:val="0"/>
        <w:adjustRightInd/>
        <w:snapToGrid w:val="0"/>
        <w:spacing w:before="0" w:beforeAutospacing="0" w:after="0" w:afterAutospacing="0" w:line="580" w:lineRule="exact"/>
        <w:ind w:left="0" w:right="0" w:firstLine="480" w:firstLineChars="200"/>
        <w:textAlignment w:val="auto"/>
        <w:rPr>
          <w:rFonts w:hint="default" w:ascii="仿宋_GB2312" w:eastAsia="仿宋_GB2312" w:cs="仿宋_GB2312"/>
          <w:color w:val="auto"/>
          <w:kern w:val="2"/>
          <w:sz w:val="24"/>
          <w:szCs w:val="24"/>
          <w:highlight w:val="none"/>
        </w:rPr>
      </w:pPr>
      <w:r>
        <w:rPr>
          <w:rFonts w:hint="eastAsia" w:ascii="仿宋_GB2312" w:eastAsia="仿宋_GB2312" w:cs="仿宋_GB2312"/>
          <w:color w:val="auto"/>
          <w:kern w:val="2"/>
          <w:sz w:val="24"/>
          <w:szCs w:val="24"/>
          <w:highlight w:val="none"/>
          <w:lang w:val="en-US" w:eastAsia="zh-CN"/>
        </w:rPr>
        <w:t>3</w:t>
      </w:r>
      <w:r>
        <w:rPr>
          <w:rFonts w:hint="default" w:ascii="仿宋_GB2312" w:eastAsia="仿宋_GB2312" w:cs="仿宋_GB2312"/>
          <w:color w:val="auto"/>
          <w:kern w:val="2"/>
          <w:sz w:val="24"/>
          <w:szCs w:val="24"/>
          <w:highlight w:val="none"/>
        </w:rPr>
        <w:t>.本合同</w:t>
      </w:r>
      <w:r>
        <w:rPr>
          <w:rFonts w:hint="default" w:ascii="仿宋_GB2312" w:eastAsia="仿宋_GB2312" w:cs="仿宋_GB2312"/>
          <w:color w:val="auto"/>
          <w:kern w:val="2"/>
          <w:sz w:val="24"/>
          <w:szCs w:val="24"/>
          <w:highlight w:val="none"/>
          <w:u w:val="none"/>
        </w:rPr>
        <w:t>一式</w:t>
      </w:r>
      <w:r>
        <w:rPr>
          <w:rFonts w:hint="eastAsia" w:ascii="仿宋_GB2312" w:eastAsia="仿宋_GB2312" w:cs="仿宋_GB2312"/>
          <w:color w:val="auto"/>
          <w:kern w:val="2"/>
          <w:sz w:val="24"/>
          <w:szCs w:val="24"/>
          <w:highlight w:val="none"/>
          <w:u w:val="none"/>
          <w:lang w:val="en-US" w:eastAsia="zh-CN"/>
        </w:rPr>
        <w:t>六</w:t>
      </w:r>
      <w:r>
        <w:rPr>
          <w:rFonts w:hint="default" w:ascii="仿宋_GB2312" w:eastAsia="仿宋_GB2312" w:cs="仿宋_GB2312"/>
          <w:color w:val="auto"/>
          <w:kern w:val="2"/>
          <w:sz w:val="24"/>
          <w:szCs w:val="24"/>
          <w:highlight w:val="none"/>
          <w:u w:val="none"/>
        </w:rPr>
        <w:t>份，甲乙双方各执</w:t>
      </w:r>
      <w:r>
        <w:rPr>
          <w:rFonts w:hint="eastAsia" w:ascii="仿宋_GB2312" w:eastAsia="仿宋_GB2312" w:cs="仿宋_GB2312"/>
          <w:color w:val="auto"/>
          <w:kern w:val="2"/>
          <w:sz w:val="24"/>
          <w:szCs w:val="24"/>
          <w:highlight w:val="none"/>
          <w:u w:val="none"/>
          <w:lang w:val="en-US" w:eastAsia="zh-CN"/>
        </w:rPr>
        <w:t>两</w:t>
      </w:r>
      <w:r>
        <w:rPr>
          <w:rFonts w:hint="default" w:ascii="仿宋_GB2312" w:eastAsia="仿宋_GB2312" w:cs="仿宋_GB2312"/>
          <w:color w:val="auto"/>
          <w:kern w:val="2"/>
          <w:sz w:val="24"/>
          <w:szCs w:val="24"/>
          <w:highlight w:val="none"/>
        </w:rPr>
        <w:t>份，甲方主管部门教育局一份备案</w:t>
      </w:r>
      <w:r>
        <w:rPr>
          <w:rFonts w:hint="eastAsia" w:ascii="仿宋_GB2312" w:eastAsia="仿宋_GB2312" w:cs="仿宋_GB2312"/>
          <w:color w:val="auto"/>
          <w:kern w:val="2"/>
          <w:sz w:val="24"/>
          <w:szCs w:val="24"/>
          <w:highlight w:val="none"/>
          <w:lang w:eastAsia="zh-CN"/>
        </w:rPr>
        <w:t>，</w:t>
      </w:r>
      <w:r>
        <w:rPr>
          <w:rFonts w:hint="eastAsia" w:ascii="仿宋_GB2312" w:eastAsia="仿宋_GB2312" w:cs="仿宋_GB2312"/>
          <w:color w:val="auto"/>
          <w:kern w:val="2"/>
          <w:sz w:val="24"/>
          <w:szCs w:val="24"/>
          <w:highlight w:val="none"/>
          <w:lang w:val="en-US" w:eastAsia="zh-CN"/>
        </w:rPr>
        <w:t>采购代理机构一份</w:t>
      </w:r>
      <w:r>
        <w:rPr>
          <w:rFonts w:hint="default" w:ascii="仿宋_GB2312" w:eastAsia="仿宋_GB2312" w:cs="仿宋_GB2312"/>
          <w:color w:val="auto"/>
          <w:kern w:val="2"/>
          <w:sz w:val="24"/>
          <w:szCs w:val="24"/>
          <w:highlight w:val="none"/>
        </w:rPr>
        <w:t>。</w:t>
      </w:r>
    </w:p>
    <w:p w14:paraId="4D449882">
      <w:pPr>
        <w:pStyle w:val="13"/>
        <w:keepNext w:val="0"/>
        <w:keepLines w:val="0"/>
        <w:pageBreakBefore w:val="0"/>
        <w:widowControl/>
        <w:kinsoku/>
        <w:overflowPunct/>
        <w:topLinePunct w:val="0"/>
        <w:autoSpaceDN/>
        <w:bidi w:val="0"/>
        <w:adjustRightInd/>
        <w:snapToGrid w:val="0"/>
        <w:spacing w:before="0" w:beforeAutospacing="0" w:after="0" w:afterAutospacing="0" w:line="580" w:lineRule="exact"/>
        <w:ind w:left="0" w:right="0" w:firstLine="480" w:firstLineChars="200"/>
        <w:textAlignment w:val="auto"/>
        <w:rPr>
          <w:rFonts w:hint="default" w:ascii="仿宋_GB2312" w:eastAsia="仿宋_GB2312" w:cs="仿宋_GB2312"/>
          <w:color w:val="auto"/>
          <w:kern w:val="2"/>
          <w:sz w:val="24"/>
          <w:szCs w:val="24"/>
          <w:highlight w:val="none"/>
          <w:lang w:val="en-US" w:eastAsia="zh-CN"/>
        </w:rPr>
      </w:pPr>
      <w:r>
        <w:rPr>
          <w:rFonts w:hint="eastAsia" w:ascii="仿宋_GB2312" w:eastAsia="仿宋_GB2312" w:cs="仿宋_GB2312"/>
          <w:color w:val="auto"/>
          <w:kern w:val="2"/>
          <w:sz w:val="24"/>
          <w:szCs w:val="24"/>
          <w:highlight w:val="none"/>
          <w:lang w:val="en-US" w:eastAsia="zh-CN"/>
        </w:rPr>
        <w:t>4.本项目具体服务要求详见“第四章 公开招标需求”。</w:t>
      </w:r>
    </w:p>
    <w:p w14:paraId="58D87828">
      <w:pPr>
        <w:pStyle w:val="13"/>
        <w:keepNext w:val="0"/>
        <w:keepLines w:val="0"/>
        <w:pageBreakBefore w:val="0"/>
        <w:widowControl/>
        <w:kinsoku/>
        <w:overflowPunct/>
        <w:topLinePunct w:val="0"/>
        <w:autoSpaceDN/>
        <w:bidi w:val="0"/>
        <w:adjustRightInd/>
        <w:snapToGrid w:val="0"/>
        <w:spacing w:before="0" w:beforeAutospacing="0" w:after="0" w:afterAutospacing="0" w:line="580" w:lineRule="exact"/>
        <w:ind w:left="0" w:right="0" w:firstLine="480" w:firstLineChars="200"/>
        <w:textAlignment w:val="auto"/>
        <w:rPr>
          <w:rFonts w:hint="eastAsia" w:ascii="仿宋_GB2312" w:eastAsia="仿宋_GB2312" w:cs="仿宋_GB2312"/>
          <w:color w:val="auto"/>
          <w:kern w:val="2"/>
          <w:sz w:val="24"/>
          <w:szCs w:val="24"/>
          <w:highlight w:val="none"/>
          <w:lang w:val="en-US" w:eastAsia="zh-CN"/>
        </w:rPr>
      </w:pPr>
      <w:r>
        <w:rPr>
          <w:rFonts w:hint="eastAsia" w:ascii="仿宋_GB2312" w:eastAsia="仿宋_GB2312" w:cs="仿宋_GB2312"/>
          <w:color w:val="auto"/>
          <w:kern w:val="2"/>
          <w:sz w:val="24"/>
          <w:szCs w:val="24"/>
          <w:highlight w:val="none"/>
          <w:lang w:val="en-US" w:eastAsia="zh-CN"/>
        </w:rPr>
        <w:t>5.</w:t>
      </w:r>
      <w:r>
        <w:rPr>
          <w:rFonts w:hint="default" w:ascii="仿宋_GB2312" w:eastAsia="仿宋_GB2312" w:cs="仿宋_GB2312"/>
          <w:color w:val="auto"/>
          <w:kern w:val="2"/>
          <w:sz w:val="24"/>
          <w:szCs w:val="24"/>
          <w:highlight w:val="none"/>
        </w:rPr>
        <w:t>本合同未尽事宜以采购文件、响应文件等为准</w:t>
      </w:r>
      <w:r>
        <w:rPr>
          <w:rFonts w:hint="eastAsia" w:ascii="仿宋_GB2312" w:eastAsia="仿宋_GB2312" w:cs="仿宋_GB2312"/>
          <w:color w:val="auto"/>
          <w:kern w:val="2"/>
          <w:sz w:val="24"/>
          <w:szCs w:val="24"/>
          <w:highlight w:val="none"/>
          <w:lang w:eastAsia="zh-CN"/>
        </w:rPr>
        <w:t>。</w:t>
      </w:r>
    </w:p>
    <w:p w14:paraId="17B5586C">
      <w:pPr>
        <w:pStyle w:val="13"/>
        <w:keepNext w:val="0"/>
        <w:keepLines w:val="0"/>
        <w:pageBreakBefore w:val="0"/>
        <w:widowControl/>
        <w:suppressLineNumbers w:val="0"/>
        <w:kinsoku/>
        <w:overflowPunct/>
        <w:topLinePunct w:val="0"/>
        <w:autoSpaceDE/>
        <w:autoSpaceDN/>
        <w:bidi w:val="0"/>
        <w:adjustRightInd/>
        <w:snapToGrid w:val="0"/>
        <w:spacing w:before="0" w:beforeAutospacing="0" w:afterLines="50" w:afterAutospacing="0" w:line="580" w:lineRule="exact"/>
        <w:ind w:left="0" w:right="0" w:firstLine="480" w:firstLineChars="200"/>
        <w:textAlignment w:val="auto"/>
        <w:rPr>
          <w:rFonts w:hint="default" w:ascii="仿宋_GB2312" w:eastAsia="仿宋_GB2312" w:cs="仿宋_GB2312"/>
          <w:color w:val="auto"/>
          <w:kern w:val="2"/>
          <w:sz w:val="24"/>
          <w:szCs w:val="24"/>
          <w:highlight w:val="none"/>
        </w:rPr>
      </w:pPr>
      <w:r>
        <w:rPr>
          <w:rFonts w:hint="default" w:ascii="仿宋_GB2312" w:eastAsia="仿宋_GB2312" w:cs="仿宋_GB2312"/>
          <w:color w:val="auto"/>
          <w:kern w:val="2"/>
          <w:sz w:val="24"/>
          <w:szCs w:val="24"/>
          <w:highlight w:val="none"/>
        </w:rPr>
        <w:t xml:space="preserve"> </w:t>
      </w:r>
    </w:p>
    <w:p w14:paraId="5FE7CDB6">
      <w:pPr>
        <w:pStyle w:val="13"/>
        <w:keepNext w:val="0"/>
        <w:keepLines w:val="0"/>
        <w:pageBreakBefore w:val="0"/>
        <w:widowControl/>
        <w:suppressLineNumbers w:val="0"/>
        <w:kinsoku/>
        <w:overflowPunct/>
        <w:topLinePunct w:val="0"/>
        <w:autoSpaceDE/>
        <w:autoSpaceDN/>
        <w:bidi w:val="0"/>
        <w:adjustRightInd/>
        <w:snapToGrid w:val="0"/>
        <w:spacing w:before="0" w:beforeAutospacing="0" w:afterLines="50" w:afterAutospacing="0" w:line="580" w:lineRule="exact"/>
        <w:ind w:left="0" w:right="0" w:firstLine="480" w:firstLineChars="200"/>
        <w:textAlignment w:val="auto"/>
        <w:rPr>
          <w:rFonts w:hint="default" w:ascii="仿宋_GB2312" w:eastAsia="仿宋_GB2312" w:cs="仿宋_GB2312"/>
          <w:color w:val="auto"/>
          <w:kern w:val="2"/>
          <w:sz w:val="24"/>
          <w:szCs w:val="24"/>
          <w:highlight w:val="none"/>
        </w:rPr>
      </w:pPr>
      <w:r>
        <w:rPr>
          <w:rFonts w:hint="default" w:ascii="仿宋_GB2312" w:eastAsia="仿宋_GB2312" w:cs="仿宋_GB2312"/>
          <w:color w:val="auto"/>
          <w:kern w:val="2"/>
          <w:sz w:val="24"/>
          <w:szCs w:val="24"/>
          <w:highlight w:val="none"/>
        </w:rPr>
        <w:t xml:space="preserve">甲方：（公章）               乙方：（公章） </w:t>
      </w:r>
    </w:p>
    <w:p w14:paraId="314B11D5">
      <w:pPr>
        <w:pStyle w:val="13"/>
        <w:keepNext w:val="0"/>
        <w:keepLines w:val="0"/>
        <w:pageBreakBefore w:val="0"/>
        <w:widowControl/>
        <w:kinsoku/>
        <w:overflowPunct/>
        <w:topLinePunct w:val="0"/>
        <w:autoSpaceDN/>
        <w:bidi w:val="0"/>
        <w:adjustRightInd/>
        <w:snapToGrid w:val="0"/>
        <w:spacing w:before="0" w:beforeAutospacing="0" w:afterLines="50" w:afterAutospacing="0" w:line="580" w:lineRule="exact"/>
        <w:ind w:left="0" w:right="0" w:firstLine="480" w:firstLineChars="200"/>
        <w:textAlignment w:val="auto"/>
        <w:rPr>
          <w:rFonts w:hint="default" w:ascii="仿宋_GB2312" w:eastAsia="仿宋_GB2312" w:cs="仿宋_GB2312"/>
          <w:color w:val="auto"/>
          <w:kern w:val="2"/>
          <w:sz w:val="24"/>
          <w:szCs w:val="24"/>
          <w:highlight w:val="none"/>
        </w:rPr>
      </w:pPr>
      <w:r>
        <w:rPr>
          <w:rFonts w:hint="default" w:ascii="仿宋_GB2312" w:eastAsia="仿宋_GB2312" w:cs="仿宋_GB2312"/>
          <w:color w:val="auto"/>
          <w:kern w:val="2"/>
          <w:sz w:val="24"/>
          <w:szCs w:val="24"/>
          <w:highlight w:val="none"/>
        </w:rPr>
        <w:t>地址：</w:t>
      </w:r>
      <w:r>
        <w:rPr>
          <w:rFonts w:hint="default" w:ascii="仿宋_GB2312" w:eastAsia="仿宋_GB2312" w:cs="仿宋_GB2312"/>
          <w:color w:val="auto"/>
          <w:kern w:val="2"/>
          <w:sz w:val="24"/>
          <w:szCs w:val="24"/>
          <w:highlight w:val="none"/>
          <w:u w:val="single"/>
        </w:rPr>
        <w:t xml:space="preserve">                  </w:t>
      </w:r>
      <w:r>
        <w:rPr>
          <w:rFonts w:hint="default" w:ascii="仿宋_GB2312" w:eastAsia="仿宋_GB2312" w:cs="仿宋_GB2312"/>
          <w:color w:val="auto"/>
          <w:kern w:val="2"/>
          <w:sz w:val="24"/>
          <w:szCs w:val="24"/>
          <w:highlight w:val="none"/>
        </w:rPr>
        <w:t xml:space="preserve">     地址：</w:t>
      </w:r>
      <w:r>
        <w:rPr>
          <w:rFonts w:hint="default" w:ascii="仿宋_GB2312" w:eastAsia="仿宋_GB2312" w:cs="仿宋_GB2312"/>
          <w:color w:val="auto"/>
          <w:kern w:val="2"/>
          <w:sz w:val="24"/>
          <w:szCs w:val="24"/>
          <w:highlight w:val="none"/>
          <w:u w:val="single"/>
        </w:rPr>
        <w:t xml:space="preserve">                  </w:t>
      </w:r>
    </w:p>
    <w:p w14:paraId="1F4BDBE3">
      <w:pPr>
        <w:pStyle w:val="13"/>
        <w:keepNext w:val="0"/>
        <w:keepLines w:val="0"/>
        <w:pageBreakBefore w:val="0"/>
        <w:widowControl/>
        <w:kinsoku/>
        <w:overflowPunct/>
        <w:topLinePunct w:val="0"/>
        <w:autoSpaceDN/>
        <w:bidi w:val="0"/>
        <w:adjustRightInd/>
        <w:snapToGrid w:val="0"/>
        <w:spacing w:before="0" w:beforeAutospacing="0" w:afterLines="50" w:afterAutospacing="0" w:line="580" w:lineRule="exact"/>
        <w:ind w:left="0" w:right="0" w:firstLine="480" w:firstLineChars="200"/>
        <w:textAlignment w:val="auto"/>
        <w:rPr>
          <w:rFonts w:hint="default" w:ascii="仿宋_GB2312" w:eastAsia="仿宋_GB2312" w:cs="仿宋_GB2312"/>
          <w:color w:val="auto"/>
          <w:kern w:val="2"/>
          <w:sz w:val="24"/>
          <w:szCs w:val="24"/>
          <w:highlight w:val="none"/>
        </w:rPr>
      </w:pPr>
      <w:r>
        <w:rPr>
          <w:rFonts w:hint="default" w:ascii="仿宋_GB2312" w:eastAsia="仿宋_GB2312" w:cs="仿宋_GB2312"/>
          <w:color w:val="auto"/>
          <w:kern w:val="2"/>
          <w:sz w:val="24"/>
          <w:szCs w:val="24"/>
          <w:highlight w:val="none"/>
        </w:rPr>
        <w:t>法定代表人：</w:t>
      </w:r>
      <w:r>
        <w:rPr>
          <w:rFonts w:hint="default" w:ascii="仿宋_GB2312" w:eastAsia="仿宋_GB2312" w:cs="仿宋_GB2312"/>
          <w:color w:val="auto"/>
          <w:kern w:val="2"/>
          <w:sz w:val="24"/>
          <w:szCs w:val="24"/>
          <w:highlight w:val="none"/>
          <w:u w:val="single"/>
        </w:rPr>
        <w:t xml:space="preserve">            </w:t>
      </w:r>
      <w:r>
        <w:rPr>
          <w:rFonts w:hint="default" w:ascii="仿宋_GB2312" w:eastAsia="仿宋_GB2312" w:cs="仿宋_GB2312"/>
          <w:color w:val="auto"/>
          <w:kern w:val="2"/>
          <w:sz w:val="24"/>
          <w:szCs w:val="24"/>
          <w:highlight w:val="none"/>
        </w:rPr>
        <w:t xml:space="preserve">     法定代表人：</w:t>
      </w:r>
      <w:r>
        <w:rPr>
          <w:rFonts w:hint="default" w:ascii="仿宋_GB2312" w:eastAsia="仿宋_GB2312" w:cs="仿宋_GB2312"/>
          <w:color w:val="auto"/>
          <w:kern w:val="2"/>
          <w:sz w:val="24"/>
          <w:szCs w:val="24"/>
          <w:highlight w:val="none"/>
          <w:u w:val="single"/>
        </w:rPr>
        <w:t xml:space="preserve">                  </w:t>
      </w:r>
    </w:p>
    <w:p w14:paraId="2FBA1B0E">
      <w:pPr>
        <w:pStyle w:val="13"/>
        <w:keepNext w:val="0"/>
        <w:keepLines w:val="0"/>
        <w:pageBreakBefore w:val="0"/>
        <w:widowControl/>
        <w:kinsoku/>
        <w:overflowPunct/>
        <w:topLinePunct w:val="0"/>
        <w:autoSpaceDN/>
        <w:bidi w:val="0"/>
        <w:adjustRightInd/>
        <w:snapToGrid w:val="0"/>
        <w:spacing w:before="0" w:beforeAutospacing="0" w:afterLines="50" w:afterAutospacing="0" w:line="580" w:lineRule="exact"/>
        <w:ind w:left="0" w:right="0" w:firstLine="480" w:firstLineChars="200"/>
        <w:textAlignment w:val="auto"/>
        <w:rPr>
          <w:rFonts w:hint="default" w:ascii="仿宋_GB2312" w:eastAsia="仿宋_GB2312" w:cs="仿宋_GB2312"/>
          <w:color w:val="auto"/>
          <w:kern w:val="2"/>
          <w:sz w:val="24"/>
          <w:szCs w:val="24"/>
          <w:highlight w:val="none"/>
        </w:rPr>
      </w:pPr>
      <w:r>
        <w:rPr>
          <w:rFonts w:hint="default" w:ascii="仿宋_GB2312" w:eastAsia="仿宋_GB2312" w:cs="仿宋_GB2312"/>
          <w:color w:val="auto"/>
          <w:kern w:val="2"/>
          <w:sz w:val="24"/>
          <w:szCs w:val="24"/>
          <w:highlight w:val="none"/>
        </w:rPr>
        <w:t>委托代理人：</w:t>
      </w:r>
      <w:r>
        <w:rPr>
          <w:rFonts w:hint="default" w:ascii="仿宋_GB2312" w:eastAsia="仿宋_GB2312" w:cs="仿宋_GB2312"/>
          <w:color w:val="auto"/>
          <w:kern w:val="2"/>
          <w:sz w:val="24"/>
          <w:szCs w:val="24"/>
          <w:highlight w:val="none"/>
          <w:u w:val="single"/>
        </w:rPr>
        <w:t xml:space="preserve">            </w:t>
      </w:r>
      <w:r>
        <w:rPr>
          <w:rFonts w:hint="default" w:ascii="仿宋_GB2312" w:eastAsia="仿宋_GB2312" w:cs="仿宋_GB2312"/>
          <w:color w:val="auto"/>
          <w:kern w:val="2"/>
          <w:sz w:val="24"/>
          <w:szCs w:val="24"/>
          <w:highlight w:val="none"/>
        </w:rPr>
        <w:t xml:space="preserve">     </w:t>
      </w:r>
      <w:r>
        <w:rPr>
          <w:rFonts w:hint="default" w:ascii="仿宋_GB2312" w:eastAsia="仿宋_GB2312" w:cs="仿宋_GB2312"/>
          <w:color w:val="auto"/>
          <w:kern w:val="0"/>
          <w:sz w:val="24"/>
          <w:szCs w:val="24"/>
          <w:highlight w:val="none"/>
        </w:rPr>
        <w:t>委托代理人</w:t>
      </w:r>
      <w:r>
        <w:rPr>
          <w:rFonts w:hint="default" w:ascii="仿宋_GB2312" w:eastAsia="仿宋_GB2312" w:cs="仿宋_GB2312"/>
          <w:color w:val="auto"/>
          <w:kern w:val="2"/>
          <w:sz w:val="24"/>
          <w:szCs w:val="24"/>
          <w:highlight w:val="none"/>
        </w:rPr>
        <w:t>：</w:t>
      </w:r>
      <w:r>
        <w:rPr>
          <w:rFonts w:hint="default" w:ascii="仿宋_GB2312" w:eastAsia="仿宋_GB2312" w:cs="仿宋_GB2312"/>
          <w:color w:val="auto"/>
          <w:kern w:val="2"/>
          <w:sz w:val="24"/>
          <w:szCs w:val="24"/>
          <w:highlight w:val="none"/>
          <w:u w:val="single"/>
        </w:rPr>
        <w:t xml:space="preserve">            </w:t>
      </w:r>
    </w:p>
    <w:p w14:paraId="1D5D8841">
      <w:pPr>
        <w:pStyle w:val="13"/>
        <w:keepNext w:val="0"/>
        <w:keepLines w:val="0"/>
        <w:pageBreakBefore w:val="0"/>
        <w:widowControl/>
        <w:kinsoku/>
        <w:overflowPunct/>
        <w:topLinePunct w:val="0"/>
        <w:autoSpaceDN/>
        <w:bidi w:val="0"/>
        <w:adjustRightInd/>
        <w:snapToGrid w:val="0"/>
        <w:spacing w:before="0" w:beforeAutospacing="0" w:afterLines="50" w:afterAutospacing="0" w:line="580" w:lineRule="exact"/>
        <w:ind w:left="0" w:right="0" w:firstLine="480" w:firstLineChars="200"/>
        <w:textAlignment w:val="auto"/>
        <w:rPr>
          <w:rFonts w:hint="default" w:ascii="仿宋_GB2312" w:eastAsia="仿宋_GB2312" w:cs="仿宋_GB2312"/>
          <w:color w:val="auto"/>
          <w:kern w:val="2"/>
          <w:sz w:val="24"/>
          <w:szCs w:val="24"/>
          <w:highlight w:val="none"/>
        </w:rPr>
      </w:pPr>
      <w:r>
        <w:rPr>
          <w:rFonts w:hint="default" w:ascii="仿宋_GB2312" w:eastAsia="仿宋_GB2312" w:cs="仿宋_GB2312"/>
          <w:color w:val="auto"/>
          <w:kern w:val="2"/>
          <w:sz w:val="24"/>
          <w:szCs w:val="24"/>
          <w:highlight w:val="none"/>
        </w:rPr>
        <w:t>联系方式：</w:t>
      </w:r>
      <w:r>
        <w:rPr>
          <w:rFonts w:hint="default" w:ascii="仿宋_GB2312" w:eastAsia="仿宋_GB2312" w:cs="仿宋_GB2312"/>
          <w:color w:val="auto"/>
          <w:kern w:val="2"/>
          <w:sz w:val="24"/>
          <w:szCs w:val="24"/>
          <w:highlight w:val="none"/>
          <w:u w:val="single"/>
        </w:rPr>
        <w:t xml:space="preserve">              </w:t>
      </w:r>
      <w:r>
        <w:rPr>
          <w:rFonts w:hint="default" w:ascii="仿宋_GB2312" w:eastAsia="仿宋_GB2312" w:cs="仿宋_GB2312"/>
          <w:color w:val="auto"/>
          <w:kern w:val="2"/>
          <w:sz w:val="24"/>
          <w:szCs w:val="24"/>
          <w:highlight w:val="none"/>
        </w:rPr>
        <w:t xml:space="preserve">     联系方式：</w:t>
      </w:r>
      <w:r>
        <w:rPr>
          <w:rFonts w:hint="default" w:ascii="仿宋_GB2312" w:eastAsia="仿宋_GB2312" w:cs="仿宋_GB2312"/>
          <w:color w:val="auto"/>
          <w:kern w:val="2"/>
          <w:sz w:val="24"/>
          <w:szCs w:val="24"/>
          <w:highlight w:val="none"/>
          <w:u w:val="single"/>
        </w:rPr>
        <w:t xml:space="preserve">                   </w:t>
      </w:r>
      <w:r>
        <w:rPr>
          <w:rFonts w:hint="default" w:ascii="仿宋_GB2312" w:eastAsia="仿宋_GB2312" w:cs="仿宋_GB2312"/>
          <w:color w:val="auto"/>
          <w:kern w:val="2"/>
          <w:sz w:val="24"/>
          <w:szCs w:val="24"/>
          <w:highlight w:val="none"/>
        </w:rPr>
        <w:t xml:space="preserve"> </w:t>
      </w:r>
    </w:p>
    <w:p w14:paraId="4316D02C">
      <w:pPr>
        <w:pStyle w:val="13"/>
        <w:keepNext w:val="0"/>
        <w:keepLines w:val="0"/>
        <w:pageBreakBefore w:val="0"/>
        <w:widowControl/>
        <w:kinsoku/>
        <w:overflowPunct/>
        <w:topLinePunct w:val="0"/>
        <w:autoSpaceDN/>
        <w:bidi w:val="0"/>
        <w:adjustRightInd/>
        <w:snapToGrid w:val="0"/>
        <w:spacing w:before="0" w:beforeAutospacing="0" w:afterLines="50" w:afterAutospacing="0" w:line="580" w:lineRule="exact"/>
        <w:ind w:left="0" w:right="0" w:firstLine="480" w:firstLineChars="200"/>
        <w:textAlignment w:val="auto"/>
        <w:rPr>
          <w:rFonts w:hint="default" w:ascii="仿宋_GB2312" w:eastAsia="仿宋_GB2312" w:cs="仿宋_GB2312"/>
          <w:color w:val="auto"/>
          <w:kern w:val="2"/>
          <w:sz w:val="24"/>
          <w:szCs w:val="24"/>
          <w:highlight w:val="none"/>
        </w:rPr>
      </w:pPr>
      <w:r>
        <w:rPr>
          <w:rFonts w:hint="default" w:ascii="仿宋_GB2312" w:eastAsia="仿宋_GB2312" w:cs="仿宋_GB2312"/>
          <w:color w:val="auto"/>
          <w:kern w:val="2"/>
          <w:sz w:val="24"/>
          <w:szCs w:val="24"/>
          <w:highlight w:val="none"/>
        </w:rPr>
        <w:t>账户：</w:t>
      </w:r>
      <w:r>
        <w:rPr>
          <w:rFonts w:hint="default" w:ascii="仿宋_GB2312" w:eastAsia="仿宋_GB2312" w:cs="仿宋_GB2312"/>
          <w:color w:val="auto"/>
          <w:kern w:val="2"/>
          <w:sz w:val="24"/>
          <w:szCs w:val="24"/>
          <w:highlight w:val="none"/>
          <w:u w:val="single"/>
        </w:rPr>
        <w:t xml:space="preserve">                  </w:t>
      </w:r>
      <w:r>
        <w:rPr>
          <w:rFonts w:hint="default" w:ascii="仿宋_GB2312" w:eastAsia="仿宋_GB2312" w:cs="仿宋_GB2312"/>
          <w:color w:val="auto"/>
          <w:kern w:val="2"/>
          <w:sz w:val="24"/>
          <w:szCs w:val="24"/>
          <w:highlight w:val="none"/>
        </w:rPr>
        <w:t xml:space="preserve">     账户：</w:t>
      </w:r>
      <w:r>
        <w:rPr>
          <w:rFonts w:hint="default" w:ascii="仿宋_GB2312" w:eastAsia="仿宋_GB2312" w:cs="仿宋_GB2312"/>
          <w:color w:val="auto"/>
          <w:kern w:val="2"/>
          <w:sz w:val="24"/>
          <w:szCs w:val="24"/>
          <w:highlight w:val="none"/>
          <w:u w:val="single"/>
        </w:rPr>
        <w:t xml:space="preserve">                  </w:t>
      </w:r>
    </w:p>
    <w:p w14:paraId="15079F39">
      <w:pPr>
        <w:pStyle w:val="13"/>
        <w:keepNext w:val="0"/>
        <w:keepLines w:val="0"/>
        <w:pageBreakBefore w:val="0"/>
        <w:widowControl/>
        <w:kinsoku/>
        <w:overflowPunct/>
        <w:topLinePunct w:val="0"/>
        <w:autoSpaceDN/>
        <w:bidi w:val="0"/>
        <w:adjustRightInd/>
        <w:snapToGrid w:val="0"/>
        <w:spacing w:before="0" w:beforeAutospacing="0" w:afterLines="50" w:afterAutospacing="0" w:line="580" w:lineRule="exact"/>
        <w:ind w:left="0" w:right="0" w:firstLine="480" w:firstLineChars="200"/>
        <w:textAlignment w:val="auto"/>
        <w:rPr>
          <w:rFonts w:hint="default" w:ascii="仿宋_GB2312" w:eastAsia="仿宋_GB2312" w:cs="仿宋_GB2312"/>
          <w:color w:val="auto"/>
          <w:kern w:val="0"/>
          <w:sz w:val="18"/>
          <w:szCs w:val="18"/>
          <w:highlight w:val="none"/>
        </w:rPr>
      </w:pPr>
      <w:r>
        <w:rPr>
          <w:rFonts w:hint="default" w:ascii="仿宋_GB2312" w:eastAsia="仿宋_GB2312" w:cs="仿宋_GB2312"/>
          <w:color w:val="auto"/>
          <w:kern w:val="2"/>
          <w:sz w:val="24"/>
          <w:szCs w:val="24"/>
          <w:highlight w:val="none"/>
        </w:rPr>
        <w:t>开户行：</w:t>
      </w:r>
      <w:r>
        <w:rPr>
          <w:rFonts w:hint="default" w:ascii="仿宋_GB2312" w:eastAsia="仿宋_GB2312" w:cs="仿宋_GB2312"/>
          <w:color w:val="auto"/>
          <w:kern w:val="2"/>
          <w:sz w:val="24"/>
          <w:szCs w:val="24"/>
          <w:highlight w:val="none"/>
          <w:u w:val="single"/>
        </w:rPr>
        <w:t xml:space="preserve">                </w:t>
      </w:r>
      <w:r>
        <w:rPr>
          <w:rFonts w:hint="default" w:ascii="仿宋_GB2312" w:eastAsia="仿宋_GB2312" w:cs="仿宋_GB2312"/>
          <w:color w:val="auto"/>
          <w:kern w:val="2"/>
          <w:sz w:val="24"/>
          <w:szCs w:val="24"/>
          <w:highlight w:val="none"/>
        </w:rPr>
        <w:t xml:space="preserve">     开户行：</w:t>
      </w:r>
      <w:r>
        <w:rPr>
          <w:rFonts w:hint="default" w:ascii="仿宋_GB2312" w:eastAsia="仿宋_GB2312" w:cs="仿宋_GB2312"/>
          <w:color w:val="auto"/>
          <w:kern w:val="2"/>
          <w:sz w:val="24"/>
          <w:szCs w:val="24"/>
          <w:highlight w:val="none"/>
          <w:u w:val="single"/>
        </w:rPr>
        <w:t xml:space="preserve">                 </w:t>
      </w:r>
    </w:p>
    <w:p w14:paraId="0B993478">
      <w:pPr>
        <w:pStyle w:val="13"/>
        <w:keepNext w:val="0"/>
        <w:keepLines w:val="0"/>
        <w:pageBreakBefore w:val="0"/>
        <w:widowControl/>
        <w:suppressLineNumbers w:val="0"/>
        <w:kinsoku/>
        <w:overflowPunct/>
        <w:topLinePunct w:val="0"/>
        <w:autoSpaceDE/>
        <w:autoSpaceDN/>
        <w:bidi w:val="0"/>
        <w:adjustRightInd/>
        <w:snapToGrid w:val="0"/>
        <w:spacing w:before="0" w:beforeAutospacing="0" w:after="0" w:afterLines="50" w:afterAutospacing="0" w:line="580" w:lineRule="exact"/>
        <w:ind w:left="0" w:leftChars="0" w:right="0" w:firstLine="0" w:firstLineChars="0"/>
        <w:textAlignment w:val="auto"/>
        <w:rPr>
          <w:rFonts w:hint="default" w:ascii="仿宋_GB2312" w:eastAsia="仿宋_GB2312" w:cs="仿宋_GB2312"/>
          <w:b/>
          <w:color w:val="auto"/>
          <w:kern w:val="2"/>
          <w:sz w:val="24"/>
          <w:szCs w:val="24"/>
          <w:highlight w:val="none"/>
        </w:rPr>
      </w:pPr>
      <w:r>
        <w:rPr>
          <w:rFonts w:hint="default" w:ascii="仿宋_GB2312" w:eastAsia="仿宋_GB2312" w:cs="仿宋_GB2312"/>
          <w:color w:val="auto"/>
          <w:kern w:val="0"/>
          <w:sz w:val="18"/>
          <w:szCs w:val="18"/>
          <w:highlight w:val="none"/>
        </w:rPr>
        <w:t xml:space="preserve"> </w:t>
      </w:r>
      <w:r>
        <w:rPr>
          <w:rFonts w:hint="default" w:ascii="仿宋_GB2312" w:hAnsi="Times New Roman" w:eastAsia="仿宋_GB2312" w:cs="仿宋_GB2312"/>
          <w:b/>
          <w:color w:val="auto"/>
          <w:kern w:val="2"/>
          <w:sz w:val="24"/>
          <w:szCs w:val="24"/>
          <w:highlight w:val="none"/>
          <w:lang w:val="en-US" w:eastAsia="zh-CN"/>
        </w:rPr>
        <w:t>附件</w:t>
      </w:r>
    </w:p>
    <w:p w14:paraId="51825B97">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720" w:firstLineChars="300"/>
        <w:jc w:val="left"/>
        <w:textAlignment w:val="auto"/>
        <w:rPr>
          <w:rFonts w:hint="default" w:ascii="仿宋_GB2312" w:eastAsia="仿宋_GB2312" w:cs="仿宋_GB2312"/>
          <w:color w:val="auto"/>
          <w:kern w:val="2"/>
          <w:sz w:val="24"/>
          <w:szCs w:val="24"/>
          <w:highlight w:val="none"/>
        </w:rPr>
      </w:pPr>
      <w:r>
        <w:rPr>
          <w:rFonts w:hint="default" w:ascii="仿宋_GB2312" w:hAnsi="Times New Roman" w:eastAsia="仿宋_GB2312" w:cs="仿宋_GB2312"/>
          <w:color w:val="auto"/>
          <w:kern w:val="2"/>
          <w:sz w:val="24"/>
          <w:szCs w:val="24"/>
          <w:highlight w:val="none"/>
          <w:lang w:val="en-US" w:eastAsia="zh-CN"/>
        </w:rPr>
        <w:t>附件1：固定资产移交表</w:t>
      </w:r>
    </w:p>
    <w:p w14:paraId="0C1E050A">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720" w:firstLineChars="300"/>
        <w:jc w:val="left"/>
        <w:textAlignment w:val="auto"/>
        <w:rPr>
          <w:rFonts w:hint="default" w:ascii="仿宋_GB2312" w:eastAsia="仿宋_GB2312" w:cs="仿宋_GB2312"/>
          <w:color w:val="auto"/>
          <w:kern w:val="2"/>
          <w:sz w:val="24"/>
          <w:szCs w:val="24"/>
          <w:highlight w:val="none"/>
        </w:rPr>
      </w:pPr>
      <w:r>
        <w:rPr>
          <w:rFonts w:hint="default" w:ascii="仿宋_GB2312" w:hAnsi="Times New Roman" w:eastAsia="仿宋_GB2312" w:cs="仿宋_GB2312"/>
          <w:color w:val="auto"/>
          <w:kern w:val="2"/>
          <w:sz w:val="24"/>
          <w:szCs w:val="24"/>
          <w:highlight w:val="none"/>
          <w:lang w:val="en-US" w:eastAsia="zh-CN"/>
        </w:rPr>
        <w:t>附件2：食堂考核办法</w:t>
      </w:r>
    </w:p>
    <w:p w14:paraId="0EECA1A5">
      <w:pPr>
        <w:keepNext w:val="0"/>
        <w:keepLines w:val="0"/>
        <w:pageBreakBefore w:val="0"/>
        <w:kinsoku/>
        <w:overflowPunct/>
        <w:topLinePunct w:val="0"/>
        <w:autoSpaceDN/>
        <w:bidi w:val="0"/>
        <w:adjustRightInd/>
        <w:spacing w:line="580" w:lineRule="exact"/>
        <w:textAlignment w:val="auto"/>
        <w:rPr>
          <w:rFonts w:hint="default" w:ascii="仿宋_GB2312" w:eastAsia="仿宋_GB2312" w:cs="仿宋_GB2312"/>
          <w:color w:val="auto"/>
          <w:kern w:val="2"/>
          <w:sz w:val="30"/>
          <w:szCs w:val="30"/>
          <w:highlight w:val="none"/>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F792531">
      <w:pPr>
        <w:pStyle w:val="13"/>
        <w:keepNext w:val="0"/>
        <w:keepLines w:val="0"/>
        <w:pageBreakBefore w:val="0"/>
        <w:widowControl/>
        <w:kinsoku/>
        <w:overflowPunct/>
        <w:topLinePunct w:val="0"/>
        <w:autoSpaceDN/>
        <w:bidi w:val="0"/>
        <w:adjustRightInd/>
        <w:snapToGrid w:val="0"/>
        <w:spacing w:before="0" w:beforeAutospacing="0" w:afterLines="50" w:afterAutospacing="0" w:line="580" w:lineRule="exact"/>
        <w:ind w:left="0" w:right="0"/>
        <w:textAlignment w:val="auto"/>
        <w:rPr>
          <w:rFonts w:hint="default" w:ascii="仿宋_GB2312" w:eastAsia="仿宋_GB2312" w:cs="仿宋_GB2312"/>
          <w:color w:val="auto"/>
          <w:kern w:val="0"/>
          <w:sz w:val="21"/>
          <w:szCs w:val="21"/>
          <w:highlight w:val="none"/>
        </w:rPr>
      </w:pPr>
      <w:r>
        <w:rPr>
          <w:rFonts w:hint="eastAsia" w:ascii="黑体" w:hAnsi="黑体" w:eastAsia="黑体" w:cs="黑体"/>
          <w:color w:val="auto"/>
          <w:kern w:val="2"/>
          <w:sz w:val="32"/>
          <w:szCs w:val="32"/>
          <w:highlight w:val="none"/>
          <w:lang w:bidi="ar-SA"/>
        </w:rPr>
        <w:t>附件1</w:t>
      </w:r>
    </w:p>
    <w:p w14:paraId="75E2F902">
      <w:pPr>
        <w:pStyle w:val="13"/>
        <w:keepNext w:val="0"/>
        <w:keepLines w:val="0"/>
        <w:pageBreakBefore w:val="0"/>
        <w:widowControl/>
        <w:kinsoku/>
        <w:overflowPunct/>
        <w:topLinePunct w:val="0"/>
        <w:autoSpaceDN/>
        <w:bidi w:val="0"/>
        <w:adjustRightInd/>
        <w:snapToGrid w:val="0"/>
        <w:spacing w:before="0" w:beforeAutospacing="0" w:afterLines="50" w:afterAutospacing="0" w:line="580" w:lineRule="exact"/>
        <w:ind w:left="0" w:right="0"/>
        <w:jc w:val="center"/>
        <w:textAlignment w:val="auto"/>
        <w:rPr>
          <w:rFonts w:hint="eastAsia" w:ascii="方正小标宋简体" w:hAnsi="方正小标宋简体" w:eastAsia="方正小标宋简体" w:cs="方正小标宋简体"/>
          <w:color w:val="auto"/>
          <w:kern w:val="2"/>
          <w:sz w:val="44"/>
          <w:szCs w:val="44"/>
          <w:highlight w:val="none"/>
          <w:lang w:bidi="ar-SA"/>
        </w:rPr>
      </w:pPr>
      <w:r>
        <w:rPr>
          <w:rFonts w:hint="eastAsia" w:ascii="方正小标宋简体" w:hAnsi="方正小标宋简体" w:eastAsia="方正小标宋简体" w:cs="方正小标宋简体"/>
          <w:color w:val="auto"/>
          <w:kern w:val="2"/>
          <w:sz w:val="44"/>
          <w:szCs w:val="44"/>
          <w:highlight w:val="none"/>
          <w:lang w:bidi="ar-SA"/>
        </w:rPr>
        <w:t>固定资产移交表</w:t>
      </w:r>
    </w:p>
    <w:tbl>
      <w:tblPr>
        <w:tblStyle w:val="2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6"/>
        <w:gridCol w:w="2092"/>
        <w:gridCol w:w="2207"/>
        <w:gridCol w:w="969"/>
        <w:gridCol w:w="2450"/>
      </w:tblGrid>
      <w:tr w14:paraId="2CD0B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474" w:type="dxa"/>
            <w:gridSpan w:val="5"/>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76BD052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r>
              <w:rPr>
                <w:rFonts w:hint="default" w:ascii="仿宋_GB2312" w:hAnsi="Times New Roman" w:eastAsia="仿宋_GB2312" w:cs="仿宋_GB2312"/>
                <w:color w:val="auto"/>
                <w:kern w:val="2"/>
                <w:sz w:val="28"/>
                <w:szCs w:val="28"/>
                <w:highlight w:val="none"/>
                <w:lang w:val="en-US" w:eastAsia="zh-CN"/>
              </w:rPr>
              <w:t>甲方相关食堂设施、设备等</w:t>
            </w:r>
          </w:p>
        </w:tc>
      </w:tr>
      <w:tr w14:paraId="3A6DE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5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9B10EC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r>
              <w:rPr>
                <w:rFonts w:hint="default" w:ascii="仿宋_GB2312" w:hAnsi="Times New Roman" w:eastAsia="仿宋_GB2312" w:cs="仿宋_GB2312"/>
                <w:color w:val="auto"/>
                <w:kern w:val="2"/>
                <w:sz w:val="28"/>
                <w:szCs w:val="28"/>
                <w:highlight w:val="none"/>
                <w:lang w:val="en-US" w:eastAsia="zh-CN"/>
              </w:rPr>
              <w:t>序号</w:t>
            </w:r>
          </w:p>
        </w:tc>
        <w:tc>
          <w:tcPr>
            <w:tcW w:w="2092" w:type="dxa"/>
            <w:tcBorders>
              <w:top w:val="nil"/>
              <w:left w:val="nil"/>
              <w:bottom w:val="single" w:color="auto" w:sz="4" w:space="0"/>
              <w:right w:val="single" w:color="auto" w:sz="4" w:space="0"/>
            </w:tcBorders>
            <w:shd w:val="clear" w:color="auto" w:fill="FFFFFF"/>
            <w:tcMar>
              <w:left w:w="84" w:type="dxa"/>
              <w:right w:w="84" w:type="dxa"/>
            </w:tcMar>
            <w:vAlign w:val="center"/>
          </w:tcPr>
          <w:p w14:paraId="7DF96C9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r>
              <w:rPr>
                <w:rFonts w:hint="default" w:ascii="仿宋_GB2312" w:hAnsi="Times New Roman" w:eastAsia="仿宋_GB2312" w:cs="仿宋_GB2312"/>
                <w:color w:val="auto"/>
                <w:kern w:val="2"/>
                <w:sz w:val="28"/>
                <w:szCs w:val="28"/>
                <w:highlight w:val="none"/>
                <w:lang w:val="en-US" w:eastAsia="zh-CN"/>
              </w:rPr>
              <w:t>名称</w:t>
            </w:r>
          </w:p>
        </w:tc>
        <w:tc>
          <w:tcPr>
            <w:tcW w:w="2207" w:type="dxa"/>
            <w:tcBorders>
              <w:top w:val="nil"/>
              <w:left w:val="nil"/>
              <w:bottom w:val="single" w:color="auto" w:sz="4" w:space="0"/>
              <w:right w:val="single" w:color="auto" w:sz="4" w:space="0"/>
            </w:tcBorders>
            <w:shd w:val="clear" w:color="auto" w:fill="FFFFFF"/>
            <w:tcMar>
              <w:left w:w="84" w:type="dxa"/>
              <w:right w:w="84" w:type="dxa"/>
            </w:tcMar>
            <w:vAlign w:val="center"/>
          </w:tcPr>
          <w:p w14:paraId="07958F1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r>
              <w:rPr>
                <w:rFonts w:hint="default" w:ascii="仿宋_GB2312" w:hAnsi="Times New Roman" w:eastAsia="仿宋_GB2312" w:cs="仿宋_GB2312"/>
                <w:color w:val="auto"/>
                <w:kern w:val="2"/>
                <w:sz w:val="28"/>
                <w:szCs w:val="28"/>
                <w:highlight w:val="none"/>
                <w:lang w:val="en-US" w:eastAsia="zh-CN"/>
              </w:rPr>
              <w:t>型号</w:t>
            </w:r>
          </w:p>
        </w:tc>
        <w:tc>
          <w:tcPr>
            <w:tcW w:w="969" w:type="dxa"/>
            <w:tcBorders>
              <w:top w:val="nil"/>
              <w:left w:val="nil"/>
              <w:bottom w:val="single" w:color="auto" w:sz="4" w:space="0"/>
              <w:right w:val="single" w:color="auto" w:sz="4" w:space="0"/>
            </w:tcBorders>
            <w:shd w:val="clear" w:color="auto" w:fill="FFFFFF"/>
            <w:tcMar>
              <w:left w:w="84" w:type="dxa"/>
              <w:right w:w="84" w:type="dxa"/>
            </w:tcMar>
            <w:vAlign w:val="center"/>
          </w:tcPr>
          <w:p w14:paraId="2ED677B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r>
              <w:rPr>
                <w:rFonts w:hint="default" w:ascii="仿宋_GB2312" w:hAnsi="Times New Roman" w:eastAsia="仿宋_GB2312" w:cs="仿宋_GB2312"/>
                <w:color w:val="auto"/>
                <w:kern w:val="2"/>
                <w:sz w:val="28"/>
                <w:szCs w:val="28"/>
                <w:highlight w:val="none"/>
                <w:lang w:val="en-US" w:eastAsia="zh-CN"/>
              </w:rPr>
              <w:t>数量</w:t>
            </w:r>
          </w:p>
        </w:tc>
        <w:tc>
          <w:tcPr>
            <w:tcW w:w="2450" w:type="dxa"/>
            <w:tcBorders>
              <w:top w:val="nil"/>
              <w:left w:val="nil"/>
              <w:bottom w:val="single" w:color="auto" w:sz="4" w:space="0"/>
              <w:right w:val="single" w:color="auto" w:sz="4" w:space="0"/>
            </w:tcBorders>
            <w:shd w:val="clear" w:color="auto" w:fill="FFFFFF"/>
            <w:tcMar>
              <w:left w:w="84" w:type="dxa"/>
              <w:right w:w="84" w:type="dxa"/>
            </w:tcMar>
            <w:vAlign w:val="center"/>
          </w:tcPr>
          <w:p w14:paraId="6764CD7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r>
              <w:rPr>
                <w:rFonts w:hint="default" w:ascii="仿宋_GB2312" w:hAnsi="Times New Roman" w:eastAsia="仿宋_GB2312" w:cs="仿宋_GB2312"/>
                <w:color w:val="auto"/>
                <w:kern w:val="2"/>
                <w:sz w:val="28"/>
                <w:szCs w:val="28"/>
                <w:highlight w:val="none"/>
                <w:lang w:val="en-US" w:eastAsia="zh-CN"/>
              </w:rPr>
              <w:t>备注</w:t>
            </w:r>
          </w:p>
        </w:tc>
      </w:tr>
      <w:tr w14:paraId="4314F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4B3B103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c>
          <w:tcPr>
            <w:tcW w:w="209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6AC5508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c>
          <w:tcPr>
            <w:tcW w:w="2207"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77A3B62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c>
          <w:tcPr>
            <w:tcW w:w="969"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31B97E9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c>
          <w:tcPr>
            <w:tcW w:w="245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1CBEC62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r>
      <w:tr w14:paraId="5EB34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5422517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c>
          <w:tcPr>
            <w:tcW w:w="209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1F6CFFC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c>
          <w:tcPr>
            <w:tcW w:w="2207"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78B2A54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c>
          <w:tcPr>
            <w:tcW w:w="969"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50C1287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c>
          <w:tcPr>
            <w:tcW w:w="245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16F01EB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r>
      <w:tr w14:paraId="4A62C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6852B86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c>
          <w:tcPr>
            <w:tcW w:w="209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26FA913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c>
          <w:tcPr>
            <w:tcW w:w="2207"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664D2C5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c>
          <w:tcPr>
            <w:tcW w:w="969"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557692A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c>
          <w:tcPr>
            <w:tcW w:w="245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57F55F1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r>
      <w:tr w14:paraId="28341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35CE88F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c>
          <w:tcPr>
            <w:tcW w:w="209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3F46A68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c>
          <w:tcPr>
            <w:tcW w:w="2207"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53D8209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c>
          <w:tcPr>
            <w:tcW w:w="969"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3012CA1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c>
          <w:tcPr>
            <w:tcW w:w="245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48FB250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r>
      <w:tr w14:paraId="440D7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6D43EC2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c>
          <w:tcPr>
            <w:tcW w:w="209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430B45C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c>
          <w:tcPr>
            <w:tcW w:w="2207"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7CF3C2D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c>
          <w:tcPr>
            <w:tcW w:w="969"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16577DB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c>
          <w:tcPr>
            <w:tcW w:w="245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7111BBD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r>
      <w:tr w14:paraId="26D6A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2BB0063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c>
          <w:tcPr>
            <w:tcW w:w="209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6F92906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c>
          <w:tcPr>
            <w:tcW w:w="2207"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42C9BBE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c>
          <w:tcPr>
            <w:tcW w:w="969"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3BE3B3B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c>
          <w:tcPr>
            <w:tcW w:w="245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089FBE8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r>
      <w:tr w14:paraId="54A8D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4B5570A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c>
          <w:tcPr>
            <w:tcW w:w="209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06205A7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c>
          <w:tcPr>
            <w:tcW w:w="2207"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22A4EE9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c>
          <w:tcPr>
            <w:tcW w:w="969"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0C9520B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c>
          <w:tcPr>
            <w:tcW w:w="245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79B51D7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highlight w:val="none"/>
              </w:rPr>
            </w:pPr>
          </w:p>
        </w:tc>
      </w:tr>
    </w:tbl>
    <w:p w14:paraId="3EC6AA0C">
      <w:pPr>
        <w:keepNext w:val="0"/>
        <w:keepLines w:val="0"/>
        <w:pageBreakBefore w:val="0"/>
        <w:kinsoku/>
        <w:overflowPunct/>
        <w:topLinePunct w:val="0"/>
        <w:autoSpaceDN/>
        <w:bidi w:val="0"/>
        <w:adjustRightInd/>
        <w:spacing w:line="580" w:lineRule="exact"/>
        <w:textAlignment w:val="auto"/>
        <w:rPr>
          <w:rFonts w:hint="default" w:ascii="仿宋_GB2312" w:eastAsia="仿宋_GB2312" w:cs="仿宋_GB2312"/>
          <w:color w:val="auto"/>
          <w:kern w:val="2"/>
          <w:sz w:val="30"/>
          <w:szCs w:val="30"/>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4F6CFD2">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jc w:val="left"/>
        <w:textAlignment w:val="auto"/>
        <w:rPr>
          <w:rFonts w:hint="default" w:ascii="仿宋_GB2312" w:eastAsia="仿宋_GB2312" w:cs="仿宋_GB2312"/>
          <w:color w:val="auto"/>
          <w:kern w:val="2"/>
          <w:sz w:val="28"/>
          <w:szCs w:val="28"/>
          <w:highlight w:val="none"/>
        </w:rPr>
      </w:pPr>
      <w:r>
        <w:rPr>
          <w:rFonts w:hint="eastAsia" w:ascii="黑体" w:hAnsi="黑体" w:eastAsia="黑体" w:cs="黑体"/>
          <w:color w:val="auto"/>
          <w:kern w:val="2"/>
          <w:sz w:val="28"/>
          <w:szCs w:val="28"/>
          <w:highlight w:val="none"/>
          <w:lang w:val="en-US" w:eastAsia="zh-CN"/>
        </w:rPr>
        <w:t>附件2</w:t>
      </w:r>
    </w:p>
    <w:p w14:paraId="05EB6262">
      <w:pPr>
        <w:pStyle w:val="13"/>
        <w:keepNext w:val="0"/>
        <w:keepLines w:val="0"/>
        <w:pageBreakBefore w:val="0"/>
        <w:widowControl/>
        <w:suppressLineNumbers w:val="0"/>
        <w:kinsoku/>
        <w:overflowPunct/>
        <w:topLinePunct w:val="0"/>
        <w:autoSpaceDN/>
        <w:bidi w:val="0"/>
        <w:adjustRightInd/>
        <w:snapToGrid w:val="0"/>
        <w:spacing w:before="0" w:beforeAutospacing="0" w:after="0" w:afterLines="50" w:afterAutospacing="0" w:line="580" w:lineRule="exact"/>
        <w:ind w:left="0" w:right="0" w:firstLine="1200" w:firstLineChars="300"/>
        <w:jc w:val="center"/>
        <w:textAlignment w:val="auto"/>
        <w:rPr>
          <w:rFonts w:hint="eastAsia" w:ascii="方正小标宋简体" w:hAnsi="方正小标宋简体" w:eastAsia="方正小标宋简体" w:cs="方正小标宋简体"/>
          <w:color w:val="auto"/>
          <w:kern w:val="2"/>
          <w:sz w:val="40"/>
          <w:szCs w:val="40"/>
          <w:highlight w:val="none"/>
          <w:lang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食堂考核办法</w:t>
      </w:r>
    </w:p>
    <w:p w14:paraId="26600835">
      <w:pPr>
        <w:keepNext w:val="0"/>
        <w:keepLines w:val="0"/>
        <w:pageBreakBefore w:val="0"/>
        <w:widowControl w:val="0"/>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440" w:firstLineChars="200"/>
        <w:jc w:val="left"/>
        <w:textAlignment w:val="auto"/>
        <w:rPr>
          <w:rFonts w:hint="eastAsia" w:ascii="黑体" w:hAnsi="黑体" w:eastAsia="黑体" w:cs="黑体"/>
          <w:color w:val="auto"/>
          <w:kern w:val="2"/>
          <w:sz w:val="22"/>
          <w:szCs w:val="22"/>
          <w:highlight w:val="none"/>
        </w:rPr>
      </w:pPr>
      <w:r>
        <w:rPr>
          <w:rFonts w:hint="eastAsia" w:ascii="黑体" w:hAnsi="黑体" w:eastAsia="黑体" w:cs="黑体"/>
          <w:b w:val="0"/>
          <w:bCs w:val="0"/>
          <w:color w:val="auto"/>
          <w:kern w:val="2"/>
          <w:sz w:val="22"/>
          <w:szCs w:val="22"/>
          <w:highlight w:val="none"/>
          <w:lang w:val="en-US" w:eastAsia="zh-CN"/>
        </w:rPr>
        <w:t>一、考核内容</w:t>
      </w:r>
    </w:p>
    <w:p w14:paraId="164DE4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0"/>
          <w:sz w:val="22"/>
          <w:szCs w:val="22"/>
          <w:highlight w:val="none"/>
          <w:lang w:val="en-US" w:eastAsia="zh-CN"/>
        </w:rPr>
      </w:pPr>
      <w:r>
        <w:rPr>
          <w:rFonts w:hint="default" w:ascii="仿宋_GB2312" w:hAnsi="Times New Roman" w:eastAsia="仿宋_GB2312" w:cs="仿宋_GB2312"/>
          <w:color w:val="auto"/>
          <w:kern w:val="0"/>
          <w:sz w:val="22"/>
          <w:szCs w:val="22"/>
          <w:highlight w:val="none"/>
          <w:lang w:val="en-US" w:eastAsia="zh-CN"/>
        </w:rPr>
        <w:t>1.每月提取当月服务费用的</w:t>
      </w:r>
      <w:r>
        <w:rPr>
          <w:rFonts w:hint="eastAsia" w:ascii="仿宋_GB2312" w:eastAsia="仿宋_GB2312" w:cs="仿宋_GB2312"/>
          <w:color w:val="auto"/>
          <w:kern w:val="0"/>
          <w:sz w:val="22"/>
          <w:szCs w:val="22"/>
          <w:highlight w:val="none"/>
          <w:lang w:val="en-US" w:eastAsia="zh-CN"/>
        </w:rPr>
        <w:t>10</w:t>
      </w:r>
      <w:r>
        <w:rPr>
          <w:rFonts w:hint="default" w:ascii="仿宋_GB2312" w:hAnsi="Times New Roman" w:eastAsia="仿宋_GB2312" w:cs="仿宋_GB2312"/>
          <w:color w:val="auto"/>
          <w:kern w:val="0"/>
          <w:sz w:val="22"/>
          <w:szCs w:val="22"/>
          <w:highlight w:val="none"/>
          <w:lang w:val="en-US" w:eastAsia="zh-CN"/>
        </w:rPr>
        <w:t>%作为考核经费，根据每学期测评结果返还：</w:t>
      </w:r>
    </w:p>
    <w:p w14:paraId="6FDC09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0"/>
          <w:sz w:val="22"/>
          <w:szCs w:val="22"/>
          <w:highlight w:val="none"/>
          <w:lang w:val="en-US" w:eastAsia="zh-CN"/>
        </w:rPr>
      </w:pPr>
      <w:r>
        <w:rPr>
          <w:rFonts w:hint="eastAsia" w:ascii="仿宋_GB2312" w:hAnsi="Times New Roman" w:eastAsia="仿宋_GB2312" w:cs="仿宋_GB2312"/>
          <w:color w:val="auto"/>
          <w:kern w:val="0"/>
          <w:sz w:val="22"/>
          <w:szCs w:val="22"/>
          <w:highlight w:val="none"/>
          <w:lang w:val="en-US" w:eastAsia="zh-CN"/>
        </w:rPr>
        <w:t>1.1</w:t>
      </w:r>
      <w:r>
        <w:rPr>
          <w:rFonts w:hint="default" w:ascii="仿宋_GB2312" w:hAnsi="Times New Roman" w:eastAsia="仿宋_GB2312" w:cs="仿宋_GB2312"/>
          <w:color w:val="auto"/>
          <w:kern w:val="0"/>
          <w:sz w:val="22"/>
          <w:szCs w:val="22"/>
          <w:highlight w:val="none"/>
          <w:lang w:val="en-US" w:eastAsia="zh-CN"/>
        </w:rPr>
        <w:t>师生的满意度达到</w:t>
      </w:r>
      <w:r>
        <w:rPr>
          <w:rFonts w:hint="eastAsia" w:ascii="仿宋_GB2312" w:eastAsia="仿宋_GB2312" w:cs="仿宋_GB2312"/>
          <w:color w:val="auto"/>
          <w:kern w:val="0"/>
          <w:sz w:val="22"/>
          <w:szCs w:val="22"/>
          <w:highlight w:val="none"/>
          <w:u w:val="single"/>
          <w:lang w:val="en-US" w:eastAsia="zh-CN"/>
        </w:rPr>
        <w:t>80</w:t>
      </w:r>
      <w:r>
        <w:rPr>
          <w:rFonts w:hint="default" w:ascii="仿宋_GB2312" w:hAnsi="Times New Roman" w:eastAsia="仿宋_GB2312" w:cs="仿宋_GB2312"/>
          <w:color w:val="auto"/>
          <w:kern w:val="0"/>
          <w:sz w:val="22"/>
          <w:szCs w:val="22"/>
          <w:highlight w:val="none"/>
          <w:u w:val="single"/>
          <w:lang w:val="en-US" w:eastAsia="zh-CN"/>
        </w:rPr>
        <w:t>%</w:t>
      </w:r>
      <w:r>
        <w:rPr>
          <w:rFonts w:hint="default" w:ascii="仿宋_GB2312" w:hAnsi="Times New Roman" w:eastAsia="仿宋_GB2312" w:cs="仿宋_GB2312"/>
          <w:color w:val="auto"/>
          <w:kern w:val="0"/>
          <w:sz w:val="22"/>
          <w:szCs w:val="22"/>
          <w:highlight w:val="none"/>
          <w:lang w:val="en-US" w:eastAsia="zh-CN"/>
        </w:rPr>
        <w:t>及以上的，付清学期服务费用</w:t>
      </w:r>
      <w:r>
        <w:rPr>
          <w:rFonts w:hint="eastAsia" w:ascii="仿宋_GB2312" w:eastAsia="仿宋_GB2312" w:cs="仿宋_GB2312"/>
          <w:color w:val="auto"/>
          <w:kern w:val="0"/>
          <w:sz w:val="22"/>
          <w:szCs w:val="22"/>
          <w:highlight w:val="none"/>
          <w:lang w:val="en-US" w:eastAsia="zh-CN"/>
        </w:rPr>
        <w:t>；</w:t>
      </w:r>
    </w:p>
    <w:p w14:paraId="6AE840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0"/>
          <w:sz w:val="22"/>
          <w:szCs w:val="22"/>
          <w:highlight w:val="none"/>
          <w:lang w:val="en-US" w:eastAsia="zh-CN"/>
        </w:rPr>
      </w:pPr>
      <w:r>
        <w:rPr>
          <w:rFonts w:hint="eastAsia" w:ascii="仿宋_GB2312" w:eastAsia="仿宋_GB2312" w:cs="仿宋_GB2312"/>
          <w:color w:val="auto"/>
          <w:kern w:val="0"/>
          <w:sz w:val="22"/>
          <w:szCs w:val="22"/>
          <w:highlight w:val="none"/>
          <w:lang w:val="en-US" w:eastAsia="zh-CN"/>
        </w:rPr>
        <w:t>1.2</w:t>
      </w:r>
      <w:r>
        <w:rPr>
          <w:rFonts w:hint="default" w:ascii="仿宋_GB2312" w:hAnsi="Times New Roman" w:eastAsia="仿宋_GB2312" w:cs="仿宋_GB2312"/>
          <w:color w:val="auto"/>
          <w:kern w:val="0"/>
          <w:sz w:val="22"/>
          <w:szCs w:val="22"/>
          <w:highlight w:val="none"/>
          <w:lang w:val="en-US" w:eastAsia="zh-CN"/>
        </w:rPr>
        <w:t>师生的满意度达到</w:t>
      </w:r>
      <w:r>
        <w:rPr>
          <w:rFonts w:hint="eastAsia" w:ascii="仿宋_GB2312" w:hAnsi="Times New Roman" w:eastAsia="仿宋_GB2312" w:cs="仿宋_GB2312"/>
          <w:color w:val="auto"/>
          <w:kern w:val="0"/>
          <w:sz w:val="22"/>
          <w:szCs w:val="22"/>
          <w:highlight w:val="none"/>
          <w:u w:val="single"/>
          <w:lang w:val="en-US" w:eastAsia="zh-CN"/>
        </w:rPr>
        <w:t>70</w:t>
      </w:r>
      <w:r>
        <w:rPr>
          <w:rFonts w:hint="default" w:ascii="仿宋_GB2312" w:hAnsi="Times New Roman" w:eastAsia="仿宋_GB2312" w:cs="仿宋_GB2312"/>
          <w:color w:val="auto"/>
          <w:kern w:val="0"/>
          <w:sz w:val="22"/>
          <w:szCs w:val="22"/>
          <w:highlight w:val="none"/>
          <w:u w:val="single"/>
          <w:lang w:val="en-US" w:eastAsia="zh-CN"/>
        </w:rPr>
        <w:t>%</w:t>
      </w:r>
      <w:r>
        <w:rPr>
          <w:rFonts w:hint="default" w:ascii="仿宋_GB2312" w:hAnsi="Times New Roman" w:eastAsia="仿宋_GB2312" w:cs="仿宋_GB2312"/>
          <w:color w:val="auto"/>
          <w:kern w:val="0"/>
          <w:sz w:val="22"/>
          <w:szCs w:val="22"/>
          <w:highlight w:val="none"/>
          <w:lang w:val="en-US" w:eastAsia="zh-CN"/>
        </w:rPr>
        <w:t>（含）—</w:t>
      </w:r>
      <w:r>
        <w:rPr>
          <w:rFonts w:hint="eastAsia" w:ascii="仿宋_GB2312" w:eastAsia="仿宋_GB2312" w:cs="仿宋_GB2312"/>
          <w:color w:val="auto"/>
          <w:kern w:val="0"/>
          <w:sz w:val="22"/>
          <w:szCs w:val="22"/>
          <w:highlight w:val="none"/>
          <w:u w:val="single"/>
          <w:lang w:val="en-US" w:eastAsia="zh-CN"/>
        </w:rPr>
        <w:t>80</w:t>
      </w:r>
      <w:r>
        <w:rPr>
          <w:rFonts w:hint="eastAsia" w:ascii="仿宋_GB2312" w:hAnsi="Times New Roman" w:eastAsia="仿宋_GB2312" w:cs="仿宋_GB2312"/>
          <w:color w:val="auto"/>
          <w:kern w:val="0"/>
          <w:sz w:val="22"/>
          <w:szCs w:val="22"/>
          <w:highlight w:val="none"/>
          <w:u w:val="single"/>
          <w:lang w:val="en-US" w:eastAsia="zh-CN"/>
        </w:rPr>
        <w:t>%</w:t>
      </w:r>
      <w:r>
        <w:rPr>
          <w:rFonts w:hint="eastAsia" w:ascii="仿宋_GB2312" w:eastAsia="仿宋_GB2312" w:cs="仿宋_GB2312"/>
          <w:color w:val="auto"/>
          <w:kern w:val="0"/>
          <w:sz w:val="22"/>
          <w:szCs w:val="22"/>
          <w:highlight w:val="none"/>
          <w:u w:val="single"/>
          <w:lang w:val="en-US" w:eastAsia="zh-CN"/>
        </w:rPr>
        <w:t>的</w:t>
      </w:r>
      <w:r>
        <w:rPr>
          <w:rFonts w:hint="default" w:ascii="仿宋_GB2312" w:hAnsi="Times New Roman" w:eastAsia="仿宋_GB2312" w:cs="仿宋_GB2312"/>
          <w:color w:val="auto"/>
          <w:kern w:val="0"/>
          <w:sz w:val="22"/>
          <w:szCs w:val="22"/>
          <w:highlight w:val="none"/>
          <w:lang w:val="en-US" w:eastAsia="zh-CN"/>
        </w:rPr>
        <w:t>，</w:t>
      </w:r>
      <w:r>
        <w:rPr>
          <w:rFonts w:hint="eastAsia" w:ascii="仿宋_GB2312" w:eastAsia="仿宋_GB2312" w:cs="仿宋_GB2312"/>
          <w:color w:val="auto"/>
          <w:kern w:val="0"/>
          <w:sz w:val="22"/>
          <w:szCs w:val="22"/>
          <w:highlight w:val="none"/>
          <w:lang w:val="en-US" w:eastAsia="zh-CN"/>
        </w:rPr>
        <w:t>支</w:t>
      </w:r>
      <w:r>
        <w:rPr>
          <w:rFonts w:hint="default" w:ascii="仿宋_GB2312" w:hAnsi="Times New Roman" w:eastAsia="仿宋_GB2312" w:cs="仿宋_GB2312"/>
          <w:color w:val="auto"/>
          <w:kern w:val="0"/>
          <w:sz w:val="22"/>
          <w:szCs w:val="22"/>
          <w:highlight w:val="none"/>
          <w:lang w:val="en-US" w:eastAsia="zh-CN"/>
        </w:rPr>
        <w:t>付</w:t>
      </w:r>
      <w:r>
        <w:rPr>
          <w:rFonts w:hint="eastAsia" w:ascii="仿宋_GB2312" w:eastAsia="仿宋_GB2312" w:cs="仿宋_GB2312"/>
          <w:color w:val="auto"/>
          <w:kern w:val="0"/>
          <w:sz w:val="22"/>
          <w:szCs w:val="22"/>
          <w:highlight w:val="none"/>
          <w:lang w:val="en-US" w:eastAsia="zh-CN"/>
        </w:rPr>
        <w:t>80%的</w:t>
      </w:r>
      <w:r>
        <w:rPr>
          <w:rFonts w:hint="default" w:ascii="仿宋_GB2312" w:hAnsi="Times New Roman" w:eastAsia="仿宋_GB2312" w:cs="仿宋_GB2312"/>
          <w:color w:val="auto"/>
          <w:kern w:val="0"/>
          <w:sz w:val="22"/>
          <w:szCs w:val="22"/>
          <w:highlight w:val="none"/>
          <w:lang w:val="en-US" w:eastAsia="zh-CN"/>
        </w:rPr>
        <w:t>考核经费；</w:t>
      </w:r>
    </w:p>
    <w:p w14:paraId="07B176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0"/>
          <w:sz w:val="22"/>
          <w:szCs w:val="22"/>
          <w:highlight w:val="none"/>
          <w:lang w:val="en-US" w:eastAsia="zh-CN"/>
        </w:rPr>
      </w:pPr>
      <w:r>
        <w:rPr>
          <w:rFonts w:hint="eastAsia" w:ascii="仿宋_GB2312" w:hAnsi="Times New Roman" w:eastAsia="仿宋_GB2312" w:cs="仿宋_GB2312"/>
          <w:color w:val="auto"/>
          <w:kern w:val="0"/>
          <w:sz w:val="22"/>
          <w:szCs w:val="22"/>
          <w:highlight w:val="none"/>
          <w:lang w:val="en-US" w:eastAsia="zh-CN"/>
        </w:rPr>
        <w:t>1.</w:t>
      </w:r>
      <w:r>
        <w:rPr>
          <w:rFonts w:hint="eastAsia" w:ascii="仿宋_GB2312" w:eastAsia="仿宋_GB2312" w:cs="仿宋_GB2312"/>
          <w:color w:val="auto"/>
          <w:kern w:val="0"/>
          <w:sz w:val="22"/>
          <w:szCs w:val="22"/>
          <w:highlight w:val="none"/>
          <w:lang w:val="en-US" w:eastAsia="zh-CN"/>
        </w:rPr>
        <w:t>3</w:t>
      </w:r>
      <w:r>
        <w:rPr>
          <w:rFonts w:hint="default" w:ascii="仿宋_GB2312" w:hAnsi="Times New Roman" w:eastAsia="仿宋_GB2312" w:cs="仿宋_GB2312"/>
          <w:color w:val="auto"/>
          <w:kern w:val="0"/>
          <w:sz w:val="22"/>
          <w:szCs w:val="22"/>
          <w:highlight w:val="none"/>
          <w:lang w:val="en-US" w:eastAsia="zh-CN"/>
        </w:rPr>
        <w:t>师生的满意度在</w:t>
      </w:r>
      <w:r>
        <w:rPr>
          <w:rFonts w:hint="eastAsia" w:ascii="仿宋_GB2312" w:hAnsi="Times New Roman" w:eastAsia="仿宋_GB2312" w:cs="仿宋_GB2312"/>
          <w:color w:val="auto"/>
          <w:kern w:val="0"/>
          <w:sz w:val="22"/>
          <w:szCs w:val="22"/>
          <w:highlight w:val="none"/>
          <w:u w:val="single"/>
          <w:lang w:val="en-US" w:eastAsia="zh-CN"/>
        </w:rPr>
        <w:t>60%</w:t>
      </w:r>
      <w:r>
        <w:rPr>
          <w:rFonts w:hint="default" w:ascii="仿宋_GB2312" w:hAnsi="Times New Roman" w:eastAsia="仿宋_GB2312" w:cs="仿宋_GB2312"/>
          <w:color w:val="auto"/>
          <w:kern w:val="0"/>
          <w:sz w:val="22"/>
          <w:szCs w:val="22"/>
          <w:highlight w:val="none"/>
          <w:lang w:val="en-US" w:eastAsia="zh-CN"/>
        </w:rPr>
        <w:t>（含）—</w:t>
      </w:r>
      <w:r>
        <w:rPr>
          <w:rFonts w:hint="eastAsia" w:ascii="仿宋_GB2312" w:hAnsi="Times New Roman" w:eastAsia="仿宋_GB2312" w:cs="仿宋_GB2312"/>
          <w:color w:val="auto"/>
          <w:kern w:val="0"/>
          <w:sz w:val="22"/>
          <w:szCs w:val="22"/>
          <w:highlight w:val="none"/>
          <w:u w:val="single"/>
          <w:lang w:val="en-US" w:eastAsia="zh-CN"/>
        </w:rPr>
        <w:t>70%</w:t>
      </w:r>
      <w:r>
        <w:rPr>
          <w:rFonts w:hint="default" w:ascii="仿宋_GB2312" w:hAnsi="Times New Roman" w:eastAsia="仿宋_GB2312" w:cs="仿宋_GB2312"/>
          <w:color w:val="auto"/>
          <w:kern w:val="0"/>
          <w:sz w:val="22"/>
          <w:szCs w:val="22"/>
          <w:highlight w:val="none"/>
          <w:lang w:val="en-US" w:eastAsia="zh-CN"/>
        </w:rPr>
        <w:t>的，支付50%的考核经费；</w:t>
      </w:r>
    </w:p>
    <w:p w14:paraId="4FFCFE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0"/>
          <w:sz w:val="22"/>
          <w:szCs w:val="22"/>
          <w:highlight w:val="none"/>
          <w:lang w:val="en-US" w:eastAsia="zh-CN"/>
        </w:rPr>
      </w:pPr>
      <w:r>
        <w:rPr>
          <w:rFonts w:hint="eastAsia" w:ascii="仿宋_GB2312" w:hAnsi="Times New Roman" w:eastAsia="仿宋_GB2312" w:cs="仿宋_GB2312"/>
          <w:color w:val="auto"/>
          <w:kern w:val="0"/>
          <w:sz w:val="22"/>
          <w:szCs w:val="22"/>
          <w:highlight w:val="none"/>
          <w:lang w:val="en-US" w:eastAsia="zh-CN"/>
        </w:rPr>
        <w:t>1.</w:t>
      </w:r>
      <w:r>
        <w:rPr>
          <w:rFonts w:hint="eastAsia" w:ascii="仿宋_GB2312" w:eastAsia="仿宋_GB2312" w:cs="仿宋_GB2312"/>
          <w:color w:val="auto"/>
          <w:kern w:val="0"/>
          <w:sz w:val="22"/>
          <w:szCs w:val="22"/>
          <w:highlight w:val="none"/>
          <w:lang w:val="en-US" w:eastAsia="zh-CN"/>
        </w:rPr>
        <w:t>4</w:t>
      </w:r>
      <w:r>
        <w:rPr>
          <w:rFonts w:hint="default" w:ascii="仿宋_GB2312" w:hAnsi="Times New Roman" w:eastAsia="仿宋_GB2312" w:cs="仿宋_GB2312"/>
          <w:color w:val="auto"/>
          <w:kern w:val="0"/>
          <w:sz w:val="22"/>
          <w:szCs w:val="22"/>
          <w:highlight w:val="none"/>
          <w:lang w:val="en-US" w:eastAsia="zh-CN"/>
        </w:rPr>
        <w:t>师生满意度在</w:t>
      </w:r>
      <w:r>
        <w:rPr>
          <w:rFonts w:hint="eastAsia" w:ascii="仿宋_GB2312" w:hAnsi="Times New Roman" w:eastAsia="仿宋_GB2312" w:cs="仿宋_GB2312"/>
          <w:color w:val="auto"/>
          <w:kern w:val="0"/>
          <w:sz w:val="22"/>
          <w:szCs w:val="22"/>
          <w:highlight w:val="none"/>
          <w:u w:val="single"/>
          <w:lang w:val="en-US" w:eastAsia="zh-CN"/>
        </w:rPr>
        <w:t>60%</w:t>
      </w:r>
      <w:r>
        <w:rPr>
          <w:rFonts w:hint="default" w:ascii="仿宋_GB2312" w:hAnsi="Times New Roman" w:eastAsia="仿宋_GB2312" w:cs="仿宋_GB2312"/>
          <w:color w:val="auto"/>
          <w:kern w:val="0"/>
          <w:sz w:val="22"/>
          <w:szCs w:val="22"/>
          <w:highlight w:val="none"/>
          <w:lang w:val="en-US" w:eastAsia="zh-CN"/>
        </w:rPr>
        <w:t>以下的，不予支付学期剩余考核经费，</w:t>
      </w:r>
      <w:r>
        <w:rPr>
          <w:rFonts w:hint="eastAsia" w:ascii="仿宋_GB2312" w:hAnsi="Times New Roman" w:eastAsia="仿宋_GB2312" w:cs="仿宋_GB2312"/>
          <w:color w:val="auto"/>
          <w:kern w:val="0"/>
          <w:sz w:val="22"/>
          <w:szCs w:val="22"/>
          <w:highlight w:val="none"/>
          <w:lang w:val="en-US" w:eastAsia="zh-CN"/>
        </w:rPr>
        <w:t>同时</w:t>
      </w:r>
      <w:r>
        <w:rPr>
          <w:rFonts w:hint="default" w:ascii="仿宋_GB2312" w:hAnsi="Times New Roman" w:eastAsia="仿宋_GB2312" w:cs="仿宋_GB2312"/>
          <w:color w:val="auto"/>
          <w:kern w:val="0"/>
          <w:sz w:val="22"/>
          <w:szCs w:val="22"/>
          <w:highlight w:val="none"/>
          <w:lang w:val="en-US" w:eastAsia="zh-CN"/>
        </w:rPr>
        <w:t>甲方有权单方终止合同。</w:t>
      </w:r>
    </w:p>
    <w:p w14:paraId="25AF43A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right="0" w:firstLine="440" w:firstLineChars="200"/>
        <w:jc w:val="left"/>
        <w:textAlignment w:val="auto"/>
        <w:rPr>
          <w:rFonts w:hint="eastAsia" w:ascii="黑体" w:hAnsi="黑体" w:eastAsia="黑体" w:cs="黑体"/>
          <w:b w:val="0"/>
          <w:bCs w:val="0"/>
          <w:color w:val="auto"/>
          <w:kern w:val="2"/>
          <w:sz w:val="22"/>
          <w:szCs w:val="22"/>
          <w:highlight w:val="none"/>
          <w:lang w:val="en-US" w:eastAsia="zh-CN"/>
        </w:rPr>
      </w:pPr>
      <w:r>
        <w:rPr>
          <w:rFonts w:hint="eastAsia" w:ascii="黑体" w:hAnsi="黑体" w:eastAsia="黑体" w:cs="黑体"/>
          <w:b w:val="0"/>
          <w:bCs w:val="0"/>
          <w:color w:val="auto"/>
          <w:kern w:val="2"/>
          <w:sz w:val="22"/>
          <w:szCs w:val="22"/>
          <w:highlight w:val="none"/>
          <w:lang w:val="en-US" w:eastAsia="zh-CN"/>
        </w:rPr>
        <w:t>二、考核细则</w:t>
      </w:r>
    </w:p>
    <w:p w14:paraId="54A9D9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42" w:firstLineChars="200"/>
        <w:jc w:val="left"/>
        <w:textAlignment w:val="auto"/>
        <w:rPr>
          <w:rFonts w:hint="default" w:ascii="仿宋_GB2312" w:hAnsi="Times New Roman" w:eastAsia="仿宋_GB2312" w:cs="仿宋_GB2312"/>
          <w:color w:val="auto"/>
          <w:kern w:val="0"/>
          <w:sz w:val="22"/>
          <w:szCs w:val="22"/>
          <w:highlight w:val="none"/>
          <w:lang w:val="en-US" w:eastAsia="zh-CN"/>
        </w:rPr>
      </w:pPr>
      <w:r>
        <w:rPr>
          <w:rFonts w:hint="eastAsia" w:ascii="仿宋_GB2312" w:hAnsi="Times New Roman" w:eastAsia="仿宋_GB2312" w:cs="仿宋_GB2312"/>
          <w:b/>
          <w:bCs/>
          <w:color w:val="auto"/>
          <w:kern w:val="0"/>
          <w:sz w:val="22"/>
          <w:szCs w:val="22"/>
          <w:highlight w:val="none"/>
          <w:lang w:val="en-US" w:eastAsia="zh-CN"/>
        </w:rPr>
        <w:t>1</w:t>
      </w:r>
      <w:r>
        <w:rPr>
          <w:rFonts w:hint="default" w:ascii="仿宋_GB2312" w:hAnsi="Times New Roman" w:eastAsia="仿宋_GB2312" w:cs="仿宋_GB2312"/>
          <w:b/>
          <w:bCs/>
          <w:color w:val="auto"/>
          <w:kern w:val="0"/>
          <w:sz w:val="22"/>
          <w:szCs w:val="22"/>
          <w:highlight w:val="none"/>
          <w:lang w:val="en-US" w:eastAsia="zh-CN"/>
        </w:rPr>
        <w:t>.一票否决</w:t>
      </w:r>
      <w:r>
        <w:rPr>
          <w:rFonts w:hint="eastAsia" w:ascii="仿宋_GB2312" w:hAnsi="Times New Roman" w:eastAsia="仿宋_GB2312" w:cs="仿宋_GB2312"/>
          <w:b/>
          <w:bCs/>
          <w:color w:val="auto"/>
          <w:kern w:val="0"/>
          <w:sz w:val="22"/>
          <w:szCs w:val="22"/>
          <w:highlight w:val="none"/>
          <w:lang w:val="en-US" w:eastAsia="zh-CN"/>
        </w:rPr>
        <w:t>项</w:t>
      </w:r>
      <w:r>
        <w:rPr>
          <w:rFonts w:hint="default" w:ascii="仿宋_GB2312" w:hAnsi="Times New Roman" w:eastAsia="仿宋_GB2312" w:cs="仿宋_GB2312"/>
          <w:color w:val="auto"/>
          <w:kern w:val="0"/>
          <w:sz w:val="22"/>
          <w:szCs w:val="22"/>
          <w:highlight w:val="none"/>
          <w:lang w:val="en-US" w:eastAsia="zh-CN"/>
        </w:rPr>
        <w:t>（甲方有权终止合同的情形）</w:t>
      </w:r>
    </w:p>
    <w:p w14:paraId="74683A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40" w:firstLineChars="200"/>
        <w:jc w:val="left"/>
        <w:textAlignment w:val="auto"/>
        <w:rPr>
          <w:rFonts w:hint="eastAsia" w:ascii="仿宋_GB2312" w:hAnsi="Times New Roman" w:eastAsia="仿宋_GB2312" w:cs="仿宋_GB2312"/>
          <w:color w:val="auto"/>
          <w:kern w:val="0"/>
          <w:sz w:val="22"/>
          <w:szCs w:val="22"/>
          <w:highlight w:val="none"/>
          <w:lang w:val="en-US" w:eastAsia="zh-CN"/>
        </w:rPr>
      </w:pPr>
      <w:r>
        <w:rPr>
          <w:rFonts w:hint="eastAsia" w:ascii="仿宋_GB2312" w:hAnsi="Times New Roman" w:eastAsia="仿宋_GB2312" w:cs="仿宋_GB2312"/>
          <w:color w:val="auto"/>
          <w:kern w:val="0"/>
          <w:sz w:val="22"/>
          <w:szCs w:val="22"/>
          <w:highlight w:val="none"/>
          <w:lang w:val="en-US" w:eastAsia="zh-CN"/>
        </w:rPr>
        <w:t>1.1</w:t>
      </w:r>
      <w:r>
        <w:rPr>
          <w:rFonts w:hint="default" w:ascii="仿宋_GB2312" w:hAnsi="Times New Roman" w:eastAsia="仿宋_GB2312" w:cs="仿宋_GB2312"/>
          <w:color w:val="auto"/>
          <w:kern w:val="2"/>
          <w:sz w:val="22"/>
          <w:szCs w:val="22"/>
          <w:highlight w:val="none"/>
          <w:lang w:val="en-US" w:eastAsia="zh-CN"/>
        </w:rPr>
        <w:t>乙方</w:t>
      </w:r>
      <w:r>
        <w:rPr>
          <w:rFonts w:hint="eastAsia" w:ascii="仿宋_GB2312" w:hAnsi="Times New Roman" w:eastAsia="仿宋_GB2312" w:cs="仿宋_GB2312"/>
          <w:color w:val="auto"/>
          <w:kern w:val="2"/>
          <w:sz w:val="22"/>
          <w:szCs w:val="22"/>
          <w:highlight w:val="none"/>
          <w:lang w:val="en-US" w:eastAsia="zh-CN"/>
        </w:rPr>
        <w:t>未</w:t>
      </w:r>
      <w:r>
        <w:rPr>
          <w:rFonts w:hint="default" w:ascii="仿宋_GB2312" w:hAnsi="Times New Roman" w:eastAsia="仿宋_GB2312" w:cs="仿宋_GB2312"/>
          <w:color w:val="auto"/>
          <w:kern w:val="2"/>
          <w:sz w:val="22"/>
          <w:szCs w:val="22"/>
          <w:highlight w:val="none"/>
          <w:lang w:val="en-US" w:eastAsia="zh-CN"/>
        </w:rPr>
        <w:t>取得</w:t>
      </w:r>
      <w:r>
        <w:rPr>
          <w:rFonts w:hint="eastAsia" w:ascii="仿宋_GB2312" w:hAnsi="Times New Roman" w:eastAsia="仿宋_GB2312" w:cs="仿宋_GB2312"/>
          <w:color w:val="auto"/>
          <w:kern w:val="2"/>
          <w:sz w:val="22"/>
          <w:szCs w:val="22"/>
          <w:highlight w:val="none"/>
          <w:lang w:val="en-US" w:eastAsia="zh-CN"/>
        </w:rPr>
        <w:t>含</w:t>
      </w:r>
      <w:r>
        <w:rPr>
          <w:rFonts w:hint="default" w:ascii="仿宋_GB2312" w:hAnsi="Times New Roman" w:eastAsia="仿宋_GB2312" w:cs="仿宋_GB2312"/>
          <w:color w:val="auto"/>
          <w:kern w:val="2"/>
          <w:sz w:val="22"/>
          <w:szCs w:val="22"/>
          <w:highlight w:val="none"/>
          <w:lang w:val="en-US" w:eastAsia="zh-CN"/>
        </w:rPr>
        <w:t>食品经营管理类</w:t>
      </w:r>
      <w:r>
        <w:rPr>
          <w:rFonts w:hint="eastAsia" w:ascii="仿宋_GB2312" w:hAnsi="Times New Roman" w:eastAsia="仿宋_GB2312" w:cs="仿宋_GB2312"/>
          <w:color w:val="auto"/>
          <w:kern w:val="2"/>
          <w:sz w:val="22"/>
          <w:szCs w:val="22"/>
          <w:highlight w:val="none"/>
          <w:lang w:val="en-US" w:eastAsia="zh-CN"/>
        </w:rPr>
        <w:t>项目的《食品经营许可证》</w:t>
      </w:r>
      <w:r>
        <w:rPr>
          <w:rFonts w:hint="eastAsia" w:ascii="仿宋_GB2312" w:hAnsi="Times New Roman" w:eastAsia="仿宋_GB2312" w:cs="仿宋_GB2312"/>
          <w:color w:val="auto"/>
          <w:kern w:val="0"/>
          <w:sz w:val="22"/>
          <w:szCs w:val="22"/>
          <w:highlight w:val="none"/>
          <w:lang w:val="en-US" w:eastAsia="zh-CN"/>
        </w:rPr>
        <w:t>。</w:t>
      </w:r>
    </w:p>
    <w:p w14:paraId="60EE28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0"/>
          <w:sz w:val="22"/>
          <w:szCs w:val="22"/>
          <w:highlight w:val="none"/>
          <w:lang w:val="en-US" w:eastAsia="zh-CN"/>
        </w:rPr>
      </w:pPr>
      <w:r>
        <w:rPr>
          <w:rFonts w:hint="eastAsia" w:ascii="仿宋_GB2312" w:hAnsi="Times New Roman" w:eastAsia="仿宋_GB2312" w:cs="仿宋_GB2312"/>
          <w:color w:val="auto"/>
          <w:kern w:val="0"/>
          <w:sz w:val="22"/>
          <w:szCs w:val="22"/>
          <w:highlight w:val="none"/>
          <w:lang w:val="en-US" w:eastAsia="zh-CN"/>
        </w:rPr>
        <w:t>1</w:t>
      </w:r>
      <w:r>
        <w:rPr>
          <w:rFonts w:hint="default" w:ascii="仿宋_GB2312" w:hAnsi="Times New Roman" w:eastAsia="仿宋_GB2312" w:cs="仿宋_GB2312"/>
          <w:color w:val="auto"/>
          <w:kern w:val="0"/>
          <w:sz w:val="22"/>
          <w:szCs w:val="22"/>
          <w:highlight w:val="none"/>
          <w:lang w:val="en-US" w:eastAsia="zh-CN"/>
        </w:rPr>
        <w:t>.</w:t>
      </w:r>
      <w:r>
        <w:rPr>
          <w:rFonts w:hint="eastAsia" w:ascii="仿宋_GB2312" w:hAnsi="Times New Roman" w:eastAsia="仿宋_GB2312" w:cs="仿宋_GB2312"/>
          <w:color w:val="auto"/>
          <w:kern w:val="0"/>
          <w:sz w:val="22"/>
          <w:szCs w:val="22"/>
          <w:highlight w:val="none"/>
          <w:lang w:val="en-US" w:eastAsia="zh-CN"/>
        </w:rPr>
        <w:t>2乙方</w:t>
      </w:r>
      <w:r>
        <w:rPr>
          <w:rFonts w:hint="default" w:ascii="仿宋_GB2312" w:hAnsi="Times New Roman" w:eastAsia="仿宋_GB2312" w:cs="仿宋_GB2312"/>
          <w:color w:val="auto"/>
          <w:kern w:val="0"/>
          <w:sz w:val="22"/>
          <w:szCs w:val="22"/>
          <w:highlight w:val="none"/>
          <w:lang w:val="en-US" w:eastAsia="zh-CN"/>
        </w:rPr>
        <w:t>未开具正式票据结算的或使用私人账户及其他方式进行结算的。</w:t>
      </w:r>
    </w:p>
    <w:p w14:paraId="3A6AF3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0"/>
          <w:sz w:val="22"/>
          <w:szCs w:val="22"/>
          <w:highlight w:val="none"/>
          <w:lang w:val="en-US" w:eastAsia="zh-CN"/>
        </w:rPr>
      </w:pPr>
      <w:r>
        <w:rPr>
          <w:rFonts w:hint="eastAsia" w:ascii="仿宋_GB2312" w:hAnsi="Times New Roman" w:eastAsia="仿宋_GB2312" w:cs="仿宋_GB2312"/>
          <w:color w:val="auto"/>
          <w:kern w:val="0"/>
          <w:sz w:val="22"/>
          <w:szCs w:val="22"/>
          <w:highlight w:val="none"/>
          <w:lang w:val="en-US" w:eastAsia="zh-CN"/>
        </w:rPr>
        <w:t>1</w:t>
      </w:r>
      <w:r>
        <w:rPr>
          <w:rFonts w:hint="default" w:ascii="仿宋_GB2312" w:hAnsi="Times New Roman" w:eastAsia="仿宋_GB2312" w:cs="仿宋_GB2312"/>
          <w:color w:val="auto"/>
          <w:kern w:val="0"/>
          <w:sz w:val="22"/>
          <w:szCs w:val="22"/>
          <w:highlight w:val="none"/>
          <w:lang w:val="en-US" w:eastAsia="zh-CN"/>
        </w:rPr>
        <w:t>.</w:t>
      </w:r>
      <w:r>
        <w:rPr>
          <w:rFonts w:hint="eastAsia" w:ascii="仿宋_GB2312" w:hAnsi="Times New Roman" w:eastAsia="仿宋_GB2312" w:cs="仿宋_GB2312"/>
          <w:color w:val="auto"/>
          <w:kern w:val="0"/>
          <w:sz w:val="22"/>
          <w:szCs w:val="22"/>
          <w:highlight w:val="none"/>
          <w:lang w:val="en-US" w:eastAsia="zh-CN"/>
        </w:rPr>
        <w:t>3</w:t>
      </w:r>
      <w:r>
        <w:rPr>
          <w:rFonts w:hint="default" w:ascii="仿宋_GB2312" w:hAnsi="Times New Roman" w:eastAsia="仿宋_GB2312" w:cs="仿宋_GB2312"/>
          <w:color w:val="auto"/>
          <w:kern w:val="0"/>
          <w:sz w:val="22"/>
          <w:szCs w:val="22"/>
          <w:highlight w:val="none"/>
          <w:lang w:val="en-US" w:eastAsia="zh-CN"/>
        </w:rPr>
        <w:t>在日常经营过程中</w:t>
      </w:r>
      <w:r>
        <w:rPr>
          <w:rFonts w:hint="eastAsia" w:ascii="仿宋_GB2312" w:hAnsi="Times New Roman" w:eastAsia="仿宋_GB2312" w:cs="仿宋_GB2312"/>
          <w:color w:val="auto"/>
          <w:kern w:val="0"/>
          <w:sz w:val="22"/>
          <w:szCs w:val="22"/>
          <w:highlight w:val="none"/>
          <w:lang w:val="en-US" w:eastAsia="zh-CN"/>
        </w:rPr>
        <w:t>因</w:t>
      </w:r>
      <w:r>
        <w:rPr>
          <w:rFonts w:hint="default" w:ascii="仿宋_GB2312" w:hAnsi="Times New Roman" w:eastAsia="仿宋_GB2312" w:cs="仿宋_GB2312"/>
          <w:color w:val="auto"/>
          <w:kern w:val="0"/>
          <w:sz w:val="22"/>
          <w:szCs w:val="22"/>
          <w:highlight w:val="none"/>
          <w:lang w:val="en-US" w:eastAsia="zh-CN"/>
        </w:rPr>
        <w:t>人为</w:t>
      </w:r>
      <w:r>
        <w:rPr>
          <w:rFonts w:hint="eastAsia" w:ascii="仿宋_GB2312" w:hAnsi="Times New Roman" w:eastAsia="仿宋_GB2312" w:cs="仿宋_GB2312"/>
          <w:color w:val="auto"/>
          <w:kern w:val="0"/>
          <w:sz w:val="22"/>
          <w:szCs w:val="22"/>
          <w:highlight w:val="none"/>
          <w:lang w:val="en-US" w:eastAsia="zh-CN"/>
        </w:rPr>
        <w:t>原因</w:t>
      </w:r>
      <w:r>
        <w:rPr>
          <w:rFonts w:hint="default" w:ascii="仿宋_GB2312" w:hAnsi="Times New Roman" w:eastAsia="仿宋_GB2312" w:cs="仿宋_GB2312"/>
          <w:color w:val="auto"/>
          <w:kern w:val="0"/>
          <w:sz w:val="22"/>
          <w:szCs w:val="22"/>
          <w:highlight w:val="none"/>
          <w:lang w:val="en-US" w:eastAsia="zh-CN"/>
        </w:rPr>
        <w:t>造成</w:t>
      </w:r>
      <w:r>
        <w:rPr>
          <w:rFonts w:hint="default" w:ascii="仿宋_GB2312" w:hAnsi="Times New Roman" w:eastAsia="仿宋_GB2312" w:cs="仿宋_GB2312"/>
          <w:color w:val="auto"/>
          <w:kern w:val="2"/>
          <w:sz w:val="22"/>
          <w:szCs w:val="22"/>
          <w:highlight w:val="none"/>
          <w:lang w:val="en-US" w:eastAsia="zh-CN"/>
        </w:rPr>
        <w:t>一般食品安全事故</w:t>
      </w:r>
      <w:r>
        <w:rPr>
          <w:rFonts w:hint="eastAsia" w:ascii="仿宋_GB2312" w:hAnsi="Times New Roman" w:eastAsia="仿宋_GB2312" w:cs="仿宋_GB2312"/>
          <w:color w:val="auto"/>
          <w:kern w:val="2"/>
          <w:sz w:val="22"/>
          <w:szCs w:val="22"/>
          <w:highlight w:val="none"/>
          <w:lang w:val="en-US" w:eastAsia="zh-CN"/>
        </w:rPr>
        <w:t>及</w:t>
      </w:r>
      <w:r>
        <w:rPr>
          <w:rFonts w:hint="default" w:ascii="仿宋_GB2312" w:hAnsi="Times New Roman" w:eastAsia="仿宋_GB2312" w:cs="仿宋_GB2312"/>
          <w:color w:val="auto"/>
          <w:kern w:val="2"/>
          <w:sz w:val="22"/>
          <w:szCs w:val="22"/>
          <w:highlight w:val="none"/>
          <w:lang w:val="en-US" w:eastAsia="zh-CN"/>
        </w:rPr>
        <w:t>以上等级</w:t>
      </w:r>
      <w:r>
        <w:rPr>
          <w:rFonts w:hint="eastAsia" w:ascii="仿宋_GB2312" w:hAnsi="Times New Roman" w:eastAsia="仿宋_GB2312" w:cs="仿宋_GB2312"/>
          <w:color w:val="auto"/>
          <w:kern w:val="2"/>
          <w:sz w:val="22"/>
          <w:szCs w:val="22"/>
          <w:highlight w:val="none"/>
          <w:lang w:val="en-US" w:eastAsia="zh-CN"/>
        </w:rPr>
        <w:t>的</w:t>
      </w:r>
      <w:r>
        <w:rPr>
          <w:rFonts w:hint="default" w:ascii="仿宋_GB2312" w:hAnsi="Times New Roman" w:eastAsia="仿宋_GB2312" w:cs="仿宋_GB2312"/>
          <w:color w:val="auto"/>
          <w:kern w:val="0"/>
          <w:sz w:val="22"/>
          <w:szCs w:val="22"/>
          <w:highlight w:val="none"/>
          <w:lang w:val="en-US" w:eastAsia="zh-CN"/>
        </w:rPr>
        <w:t>（经相关部门认定）。</w:t>
      </w:r>
    </w:p>
    <w:p w14:paraId="2FEAF3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0"/>
          <w:sz w:val="22"/>
          <w:szCs w:val="22"/>
          <w:highlight w:val="none"/>
          <w:lang w:val="en-US" w:eastAsia="zh-CN"/>
        </w:rPr>
      </w:pPr>
      <w:r>
        <w:rPr>
          <w:rFonts w:hint="eastAsia" w:ascii="仿宋_GB2312" w:hAnsi="Times New Roman" w:eastAsia="仿宋_GB2312" w:cs="仿宋_GB2312"/>
          <w:color w:val="auto"/>
          <w:kern w:val="0"/>
          <w:sz w:val="22"/>
          <w:szCs w:val="22"/>
          <w:highlight w:val="none"/>
          <w:lang w:val="en-US" w:eastAsia="zh-CN"/>
        </w:rPr>
        <w:t>1</w:t>
      </w:r>
      <w:r>
        <w:rPr>
          <w:rFonts w:hint="default" w:ascii="仿宋_GB2312" w:hAnsi="Times New Roman" w:eastAsia="仿宋_GB2312" w:cs="仿宋_GB2312"/>
          <w:color w:val="auto"/>
          <w:kern w:val="0"/>
          <w:sz w:val="22"/>
          <w:szCs w:val="22"/>
          <w:highlight w:val="none"/>
          <w:lang w:val="en-US" w:eastAsia="zh-CN"/>
        </w:rPr>
        <w:t>.</w:t>
      </w:r>
      <w:r>
        <w:rPr>
          <w:rFonts w:hint="eastAsia" w:ascii="仿宋_GB2312" w:hAnsi="Times New Roman" w:eastAsia="仿宋_GB2312" w:cs="仿宋_GB2312"/>
          <w:color w:val="auto"/>
          <w:kern w:val="0"/>
          <w:sz w:val="22"/>
          <w:szCs w:val="22"/>
          <w:highlight w:val="none"/>
          <w:lang w:val="en-US" w:eastAsia="zh-CN"/>
        </w:rPr>
        <w:t>4</w:t>
      </w:r>
      <w:r>
        <w:rPr>
          <w:rFonts w:hint="default" w:ascii="仿宋_GB2312" w:hAnsi="Times New Roman" w:eastAsia="仿宋_GB2312" w:cs="仿宋_GB2312"/>
          <w:color w:val="auto"/>
          <w:kern w:val="0"/>
          <w:sz w:val="22"/>
          <w:szCs w:val="22"/>
          <w:highlight w:val="none"/>
          <w:lang w:val="en-US" w:eastAsia="zh-CN"/>
        </w:rPr>
        <w:t>日常经营过程中出现窗口分包、转包情况的。</w:t>
      </w:r>
    </w:p>
    <w:p w14:paraId="2AA29F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42" w:firstLineChars="200"/>
        <w:jc w:val="left"/>
        <w:textAlignment w:val="auto"/>
        <w:rPr>
          <w:rFonts w:hint="eastAsia" w:ascii="仿宋_GB2312" w:hAnsi="Times New Roman" w:eastAsia="仿宋_GB2312" w:cs="仿宋_GB2312"/>
          <w:b/>
          <w:bCs/>
          <w:color w:val="auto"/>
          <w:kern w:val="0"/>
          <w:sz w:val="22"/>
          <w:szCs w:val="22"/>
          <w:highlight w:val="none"/>
          <w:lang w:val="en-US" w:eastAsia="zh-CN"/>
        </w:rPr>
      </w:pPr>
      <w:r>
        <w:rPr>
          <w:rFonts w:hint="eastAsia" w:ascii="仿宋_GB2312" w:hAnsi="Times New Roman" w:eastAsia="仿宋_GB2312" w:cs="仿宋_GB2312"/>
          <w:b/>
          <w:bCs/>
          <w:color w:val="auto"/>
          <w:kern w:val="0"/>
          <w:sz w:val="22"/>
          <w:szCs w:val="22"/>
          <w:highlight w:val="none"/>
          <w:lang w:val="en-US" w:eastAsia="zh-CN"/>
        </w:rPr>
        <w:t>2.规范经营</w:t>
      </w:r>
    </w:p>
    <w:p w14:paraId="2F1797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0"/>
          <w:sz w:val="22"/>
          <w:szCs w:val="22"/>
          <w:highlight w:val="none"/>
          <w:lang w:val="en-US" w:eastAsia="zh-CN"/>
        </w:rPr>
      </w:pPr>
      <w:r>
        <w:rPr>
          <w:rFonts w:hint="eastAsia" w:ascii="仿宋_GB2312" w:hAnsi="Times New Roman" w:eastAsia="仿宋_GB2312" w:cs="仿宋_GB2312"/>
          <w:color w:val="auto"/>
          <w:kern w:val="0"/>
          <w:sz w:val="22"/>
          <w:szCs w:val="22"/>
          <w:highlight w:val="none"/>
          <w:lang w:val="en-US" w:eastAsia="zh-CN"/>
        </w:rPr>
        <w:t>2</w:t>
      </w:r>
      <w:r>
        <w:rPr>
          <w:rFonts w:hint="default" w:ascii="仿宋_GB2312" w:hAnsi="Times New Roman" w:eastAsia="仿宋_GB2312" w:cs="仿宋_GB2312"/>
          <w:color w:val="auto"/>
          <w:kern w:val="0"/>
          <w:sz w:val="22"/>
          <w:szCs w:val="22"/>
          <w:highlight w:val="none"/>
          <w:lang w:val="en-US" w:eastAsia="zh-CN"/>
        </w:rPr>
        <w:t>.1乙方需实行</w:t>
      </w:r>
      <w:r>
        <w:rPr>
          <w:rFonts w:hint="eastAsia" w:ascii="仿宋_GB2312" w:eastAsia="仿宋_GB2312" w:cs="仿宋_GB2312"/>
          <w:color w:val="auto"/>
          <w:kern w:val="2"/>
          <w:sz w:val="22"/>
          <w:szCs w:val="22"/>
          <w:highlight w:val="none"/>
          <w:lang w:eastAsia="zh-CN"/>
        </w:rPr>
        <w:t>“</w:t>
      </w:r>
      <w:r>
        <w:rPr>
          <w:rFonts w:hint="default" w:ascii="仿宋_GB2312" w:eastAsia="仿宋_GB2312" w:cs="仿宋_GB2312"/>
          <w:color w:val="auto"/>
          <w:kern w:val="2"/>
          <w:sz w:val="22"/>
          <w:szCs w:val="22"/>
          <w:highlight w:val="none"/>
        </w:rPr>
        <w:t>4D</w:t>
      </w:r>
      <w:r>
        <w:rPr>
          <w:rFonts w:hint="eastAsia" w:ascii="仿宋_GB2312" w:eastAsia="仿宋_GB2312" w:cs="仿宋_GB2312"/>
          <w:color w:val="auto"/>
          <w:kern w:val="2"/>
          <w:sz w:val="22"/>
          <w:szCs w:val="22"/>
          <w:highlight w:val="none"/>
          <w:lang w:eastAsia="zh-CN"/>
        </w:rPr>
        <w:t>”“</w:t>
      </w:r>
      <w:r>
        <w:rPr>
          <w:rFonts w:hint="eastAsia" w:ascii="仿宋_GB2312" w:eastAsia="仿宋_GB2312" w:cs="仿宋_GB2312"/>
          <w:color w:val="auto"/>
          <w:kern w:val="2"/>
          <w:sz w:val="22"/>
          <w:szCs w:val="22"/>
          <w:highlight w:val="none"/>
          <w:lang w:val="en-US" w:eastAsia="zh-CN"/>
        </w:rPr>
        <w:t>五常法”“</w:t>
      </w:r>
      <w:r>
        <w:rPr>
          <w:rFonts w:hint="default" w:ascii="仿宋_GB2312" w:eastAsia="仿宋_GB2312" w:cs="仿宋_GB2312"/>
          <w:color w:val="auto"/>
          <w:kern w:val="2"/>
          <w:sz w:val="22"/>
          <w:szCs w:val="22"/>
          <w:highlight w:val="none"/>
        </w:rPr>
        <w:t>6T</w:t>
      </w:r>
      <w:r>
        <w:rPr>
          <w:rFonts w:hint="eastAsia" w:ascii="仿宋_GB2312" w:eastAsia="仿宋_GB2312" w:cs="仿宋_GB2312"/>
          <w:color w:val="auto"/>
          <w:kern w:val="2"/>
          <w:sz w:val="22"/>
          <w:szCs w:val="22"/>
          <w:highlight w:val="none"/>
          <w:lang w:eastAsia="zh-CN"/>
        </w:rPr>
        <w:t>”</w:t>
      </w:r>
      <w:r>
        <w:rPr>
          <w:rFonts w:hint="default" w:ascii="仿宋_GB2312" w:hAnsi="Times New Roman" w:eastAsia="仿宋_GB2312" w:cs="仿宋_GB2312"/>
          <w:color w:val="auto"/>
          <w:kern w:val="0"/>
          <w:sz w:val="22"/>
          <w:szCs w:val="22"/>
          <w:highlight w:val="none"/>
          <w:lang w:val="en-US" w:eastAsia="zh-CN"/>
        </w:rPr>
        <w:t>等管理模式的</w:t>
      </w:r>
      <w:r>
        <w:rPr>
          <w:rFonts w:hint="eastAsia" w:ascii="仿宋_GB2312" w:hAnsi="Times New Roman" w:eastAsia="仿宋_GB2312" w:cs="仿宋_GB2312"/>
          <w:color w:val="auto"/>
          <w:kern w:val="0"/>
          <w:sz w:val="22"/>
          <w:szCs w:val="22"/>
          <w:highlight w:val="none"/>
          <w:lang w:val="en-US" w:eastAsia="zh-CN"/>
        </w:rPr>
        <w:t>。</w:t>
      </w:r>
    </w:p>
    <w:p w14:paraId="5B0E5A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0"/>
          <w:sz w:val="22"/>
          <w:szCs w:val="22"/>
          <w:highlight w:val="none"/>
          <w:lang w:val="en-US" w:eastAsia="zh-CN"/>
        </w:rPr>
      </w:pPr>
      <w:r>
        <w:rPr>
          <w:rFonts w:hint="eastAsia" w:ascii="仿宋_GB2312" w:hAnsi="Times New Roman" w:eastAsia="仿宋_GB2312" w:cs="仿宋_GB2312"/>
          <w:color w:val="auto"/>
          <w:kern w:val="0"/>
          <w:sz w:val="22"/>
          <w:szCs w:val="22"/>
          <w:highlight w:val="none"/>
          <w:lang w:val="en-US" w:eastAsia="zh-CN"/>
        </w:rPr>
        <w:t>2</w:t>
      </w:r>
      <w:r>
        <w:rPr>
          <w:rFonts w:hint="default" w:ascii="仿宋_GB2312" w:hAnsi="Times New Roman" w:eastAsia="仿宋_GB2312" w:cs="仿宋_GB2312"/>
          <w:color w:val="auto"/>
          <w:kern w:val="0"/>
          <w:sz w:val="22"/>
          <w:szCs w:val="22"/>
          <w:highlight w:val="none"/>
          <w:lang w:val="en-US" w:eastAsia="zh-CN"/>
        </w:rPr>
        <w:t>.</w:t>
      </w:r>
      <w:r>
        <w:rPr>
          <w:rFonts w:hint="eastAsia" w:ascii="仿宋_GB2312" w:hAnsi="Times New Roman" w:eastAsia="仿宋_GB2312" w:cs="仿宋_GB2312"/>
          <w:color w:val="auto"/>
          <w:kern w:val="0"/>
          <w:sz w:val="22"/>
          <w:szCs w:val="22"/>
          <w:highlight w:val="none"/>
          <w:lang w:val="en-US" w:eastAsia="zh-CN"/>
        </w:rPr>
        <w:t>2</w:t>
      </w:r>
      <w:r>
        <w:rPr>
          <w:rFonts w:hint="default" w:ascii="仿宋_GB2312" w:hAnsi="Times New Roman" w:eastAsia="仿宋_GB2312" w:cs="仿宋_GB2312"/>
          <w:color w:val="auto"/>
          <w:kern w:val="2"/>
          <w:sz w:val="22"/>
          <w:szCs w:val="22"/>
          <w:highlight w:val="none"/>
          <w:lang w:val="en-US" w:eastAsia="zh-CN"/>
        </w:rPr>
        <w:t>在相关部门检查过程中，不存在因乙方管理或其他</w:t>
      </w:r>
      <w:r>
        <w:rPr>
          <w:rFonts w:hint="eastAsia" w:ascii="仿宋_GB2312" w:hAnsi="Times New Roman" w:eastAsia="仿宋_GB2312" w:cs="仿宋_GB2312"/>
          <w:color w:val="auto"/>
          <w:kern w:val="2"/>
          <w:sz w:val="22"/>
          <w:szCs w:val="22"/>
          <w:highlight w:val="none"/>
          <w:lang w:val="en-US" w:eastAsia="zh-CN"/>
        </w:rPr>
        <w:t>责任</w:t>
      </w:r>
      <w:r>
        <w:rPr>
          <w:rFonts w:hint="default" w:ascii="仿宋_GB2312" w:hAnsi="Times New Roman" w:eastAsia="仿宋_GB2312" w:cs="仿宋_GB2312"/>
          <w:color w:val="auto"/>
          <w:kern w:val="2"/>
          <w:sz w:val="22"/>
          <w:szCs w:val="22"/>
          <w:highlight w:val="none"/>
          <w:lang w:val="en-US" w:eastAsia="zh-CN"/>
        </w:rPr>
        <w:t>，被</w:t>
      </w:r>
      <w:r>
        <w:rPr>
          <w:rFonts w:hint="eastAsia" w:ascii="仿宋_GB2312" w:hAnsi="Times New Roman" w:eastAsia="仿宋_GB2312" w:cs="仿宋_GB2312"/>
          <w:color w:val="auto"/>
          <w:kern w:val="2"/>
          <w:sz w:val="22"/>
          <w:szCs w:val="22"/>
          <w:highlight w:val="none"/>
          <w:lang w:val="en-US" w:eastAsia="zh-CN"/>
        </w:rPr>
        <w:t>行政处罚、</w:t>
      </w:r>
      <w:r>
        <w:rPr>
          <w:rFonts w:hint="default" w:ascii="仿宋_GB2312" w:hAnsi="Times New Roman" w:eastAsia="仿宋_GB2312" w:cs="仿宋_GB2312"/>
          <w:color w:val="auto"/>
          <w:kern w:val="2"/>
          <w:sz w:val="22"/>
          <w:szCs w:val="22"/>
          <w:highlight w:val="none"/>
          <w:lang w:val="en-US" w:eastAsia="zh-CN"/>
        </w:rPr>
        <w:t>通报或点名批评的</w:t>
      </w:r>
      <w:r>
        <w:rPr>
          <w:rFonts w:hint="eastAsia" w:ascii="仿宋_GB2312" w:hAnsi="Times New Roman" w:eastAsia="仿宋_GB2312" w:cs="仿宋_GB2312"/>
          <w:color w:val="auto"/>
          <w:kern w:val="2"/>
          <w:sz w:val="22"/>
          <w:szCs w:val="22"/>
          <w:highlight w:val="none"/>
          <w:lang w:val="en-US" w:eastAsia="zh-CN"/>
        </w:rPr>
        <w:t>。</w:t>
      </w:r>
    </w:p>
    <w:p w14:paraId="1B4875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0"/>
          <w:sz w:val="22"/>
          <w:szCs w:val="22"/>
          <w:highlight w:val="none"/>
          <w:lang w:val="en-US" w:eastAsia="zh-CN"/>
        </w:rPr>
      </w:pPr>
      <w:r>
        <w:rPr>
          <w:rFonts w:hint="eastAsia" w:ascii="仿宋_GB2312" w:hAnsi="Times New Roman" w:eastAsia="仿宋_GB2312" w:cs="仿宋_GB2312"/>
          <w:color w:val="auto"/>
          <w:kern w:val="0"/>
          <w:sz w:val="22"/>
          <w:szCs w:val="22"/>
          <w:highlight w:val="none"/>
          <w:lang w:val="en-US" w:eastAsia="zh-CN"/>
        </w:rPr>
        <w:t>2</w:t>
      </w:r>
      <w:r>
        <w:rPr>
          <w:rFonts w:hint="default" w:ascii="仿宋_GB2312" w:hAnsi="Times New Roman" w:eastAsia="仿宋_GB2312" w:cs="仿宋_GB2312"/>
          <w:color w:val="auto"/>
          <w:kern w:val="0"/>
          <w:sz w:val="22"/>
          <w:szCs w:val="22"/>
          <w:highlight w:val="none"/>
          <w:lang w:val="en-US" w:eastAsia="zh-CN"/>
        </w:rPr>
        <w:t>.</w:t>
      </w:r>
      <w:r>
        <w:rPr>
          <w:rFonts w:hint="eastAsia" w:ascii="仿宋_GB2312" w:hAnsi="Times New Roman" w:eastAsia="仿宋_GB2312" w:cs="仿宋_GB2312"/>
          <w:color w:val="auto"/>
          <w:kern w:val="0"/>
          <w:sz w:val="22"/>
          <w:szCs w:val="22"/>
          <w:highlight w:val="none"/>
          <w:lang w:val="en-US" w:eastAsia="zh-CN"/>
        </w:rPr>
        <w:t>3</w:t>
      </w:r>
      <w:r>
        <w:rPr>
          <w:rFonts w:hint="default" w:ascii="仿宋_GB2312" w:hAnsi="Times New Roman" w:eastAsia="仿宋_GB2312" w:cs="仿宋_GB2312"/>
          <w:color w:val="auto"/>
          <w:kern w:val="0"/>
          <w:sz w:val="22"/>
          <w:szCs w:val="22"/>
          <w:highlight w:val="none"/>
          <w:lang w:val="en-US" w:eastAsia="zh-CN"/>
        </w:rPr>
        <w:t>食堂人员配置符合招投标规定人数，满足甲方实际需求</w:t>
      </w:r>
      <w:r>
        <w:rPr>
          <w:rFonts w:hint="eastAsia" w:ascii="仿宋_GB2312" w:hAnsi="Times New Roman" w:eastAsia="仿宋_GB2312" w:cs="仿宋_GB2312"/>
          <w:color w:val="auto"/>
          <w:kern w:val="0"/>
          <w:sz w:val="22"/>
          <w:szCs w:val="22"/>
          <w:highlight w:val="none"/>
          <w:lang w:val="en-US" w:eastAsia="zh-CN"/>
        </w:rPr>
        <w:t>。</w:t>
      </w:r>
    </w:p>
    <w:p w14:paraId="2F230E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0"/>
          <w:sz w:val="22"/>
          <w:szCs w:val="22"/>
          <w:highlight w:val="none"/>
          <w:lang w:val="en-US" w:eastAsia="zh-CN"/>
        </w:rPr>
      </w:pPr>
      <w:r>
        <w:rPr>
          <w:rFonts w:hint="eastAsia" w:ascii="仿宋_GB2312" w:hAnsi="Times New Roman" w:eastAsia="仿宋_GB2312" w:cs="仿宋_GB2312"/>
          <w:color w:val="auto"/>
          <w:kern w:val="0"/>
          <w:sz w:val="22"/>
          <w:szCs w:val="22"/>
          <w:highlight w:val="none"/>
          <w:lang w:val="en-US" w:eastAsia="zh-CN"/>
        </w:rPr>
        <w:t>2</w:t>
      </w:r>
      <w:r>
        <w:rPr>
          <w:rFonts w:hint="default" w:ascii="仿宋_GB2312" w:hAnsi="Times New Roman" w:eastAsia="仿宋_GB2312" w:cs="仿宋_GB2312"/>
          <w:color w:val="auto"/>
          <w:kern w:val="0"/>
          <w:sz w:val="22"/>
          <w:szCs w:val="22"/>
          <w:highlight w:val="none"/>
          <w:lang w:val="en-US" w:eastAsia="zh-CN"/>
        </w:rPr>
        <w:t>.</w:t>
      </w:r>
      <w:r>
        <w:rPr>
          <w:rFonts w:hint="eastAsia" w:ascii="仿宋_GB2312" w:hAnsi="Times New Roman" w:eastAsia="仿宋_GB2312" w:cs="仿宋_GB2312"/>
          <w:color w:val="auto"/>
          <w:kern w:val="0"/>
          <w:sz w:val="22"/>
          <w:szCs w:val="22"/>
          <w:highlight w:val="none"/>
          <w:lang w:val="en-US" w:eastAsia="zh-CN"/>
        </w:rPr>
        <w:t>4</w:t>
      </w:r>
      <w:r>
        <w:rPr>
          <w:rFonts w:hint="default" w:ascii="仿宋_GB2312" w:hAnsi="Times New Roman" w:eastAsia="仿宋_GB2312" w:cs="仿宋_GB2312"/>
          <w:color w:val="auto"/>
          <w:kern w:val="2"/>
          <w:sz w:val="22"/>
          <w:szCs w:val="22"/>
          <w:highlight w:val="none"/>
          <w:lang w:val="en-US" w:eastAsia="zh-CN"/>
        </w:rPr>
        <w:t>对甲方提出的整改意见或建议在</w:t>
      </w:r>
      <w:r>
        <w:rPr>
          <w:rFonts w:hint="eastAsia" w:ascii="仿宋_GB2312" w:hAnsi="Times New Roman" w:eastAsia="仿宋_GB2312" w:cs="仿宋_GB2312"/>
          <w:color w:val="auto"/>
          <w:kern w:val="2"/>
          <w:sz w:val="22"/>
          <w:szCs w:val="22"/>
          <w:highlight w:val="none"/>
          <w:u w:val="single"/>
          <w:lang w:val="en-US" w:eastAsia="zh-CN"/>
        </w:rPr>
        <w:t>3</w:t>
      </w:r>
      <w:r>
        <w:rPr>
          <w:rFonts w:hint="default" w:ascii="仿宋_GB2312" w:hAnsi="Times New Roman" w:eastAsia="仿宋_GB2312" w:cs="仿宋_GB2312"/>
          <w:color w:val="auto"/>
          <w:kern w:val="2"/>
          <w:sz w:val="22"/>
          <w:szCs w:val="22"/>
          <w:highlight w:val="none"/>
          <w:lang w:val="en-US" w:eastAsia="zh-CN"/>
        </w:rPr>
        <w:t>日内出具整改</w:t>
      </w:r>
      <w:r>
        <w:rPr>
          <w:rFonts w:hint="eastAsia" w:ascii="仿宋_GB2312" w:hAnsi="Times New Roman" w:eastAsia="仿宋_GB2312" w:cs="仿宋_GB2312"/>
          <w:color w:val="auto"/>
          <w:kern w:val="2"/>
          <w:sz w:val="22"/>
          <w:szCs w:val="22"/>
          <w:highlight w:val="none"/>
          <w:lang w:val="en-US" w:eastAsia="zh-CN"/>
        </w:rPr>
        <w:t>报告</w:t>
      </w:r>
      <w:r>
        <w:rPr>
          <w:rFonts w:hint="eastAsia" w:ascii="仿宋_GB2312" w:hAnsi="Times New Roman" w:eastAsia="仿宋_GB2312" w:cs="仿宋_GB2312"/>
          <w:color w:val="auto"/>
          <w:kern w:val="0"/>
          <w:sz w:val="22"/>
          <w:szCs w:val="22"/>
          <w:highlight w:val="none"/>
          <w:lang w:val="en-US" w:eastAsia="zh-CN"/>
        </w:rPr>
        <w:t>。</w:t>
      </w:r>
    </w:p>
    <w:p w14:paraId="063A73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0"/>
          <w:sz w:val="22"/>
          <w:szCs w:val="22"/>
          <w:highlight w:val="none"/>
          <w:lang w:val="en-US" w:eastAsia="zh-CN"/>
        </w:rPr>
      </w:pPr>
      <w:r>
        <w:rPr>
          <w:rFonts w:hint="eastAsia" w:ascii="仿宋_GB2312" w:hAnsi="Times New Roman" w:eastAsia="仿宋_GB2312" w:cs="仿宋_GB2312"/>
          <w:color w:val="auto"/>
          <w:kern w:val="0"/>
          <w:sz w:val="22"/>
          <w:szCs w:val="22"/>
          <w:highlight w:val="none"/>
          <w:lang w:val="en-US" w:eastAsia="zh-CN"/>
        </w:rPr>
        <w:t>2</w:t>
      </w:r>
      <w:r>
        <w:rPr>
          <w:rFonts w:hint="default" w:ascii="仿宋_GB2312" w:hAnsi="Times New Roman" w:eastAsia="仿宋_GB2312" w:cs="仿宋_GB2312"/>
          <w:color w:val="auto"/>
          <w:kern w:val="0"/>
          <w:sz w:val="22"/>
          <w:szCs w:val="22"/>
          <w:highlight w:val="none"/>
          <w:lang w:val="en-US" w:eastAsia="zh-CN"/>
        </w:rPr>
        <w:t>.</w:t>
      </w:r>
      <w:r>
        <w:rPr>
          <w:rFonts w:hint="eastAsia" w:ascii="仿宋_GB2312" w:hAnsi="Times New Roman" w:eastAsia="仿宋_GB2312" w:cs="仿宋_GB2312"/>
          <w:color w:val="auto"/>
          <w:kern w:val="0"/>
          <w:sz w:val="22"/>
          <w:szCs w:val="22"/>
          <w:highlight w:val="none"/>
          <w:lang w:val="en-US" w:eastAsia="zh-CN"/>
        </w:rPr>
        <w:t>5</w:t>
      </w:r>
      <w:r>
        <w:rPr>
          <w:rFonts w:hint="default" w:ascii="仿宋_GB2312" w:hAnsi="Times New Roman" w:eastAsia="仿宋_GB2312" w:cs="仿宋_GB2312"/>
          <w:color w:val="auto"/>
          <w:kern w:val="0"/>
          <w:sz w:val="22"/>
          <w:szCs w:val="22"/>
          <w:highlight w:val="none"/>
          <w:lang w:val="en-US" w:eastAsia="zh-CN"/>
        </w:rPr>
        <w:t>乙方需依法配备食品安全总监/食品安全管理员的</w:t>
      </w:r>
      <w:r>
        <w:rPr>
          <w:rFonts w:hint="eastAsia" w:ascii="仿宋_GB2312" w:hAnsi="Times New Roman" w:eastAsia="仿宋_GB2312" w:cs="仿宋_GB2312"/>
          <w:color w:val="auto"/>
          <w:kern w:val="0"/>
          <w:sz w:val="22"/>
          <w:szCs w:val="22"/>
          <w:highlight w:val="none"/>
          <w:lang w:val="en-US" w:eastAsia="zh-CN"/>
        </w:rPr>
        <w:t>。</w:t>
      </w:r>
    </w:p>
    <w:p w14:paraId="1C9BB8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42" w:firstLineChars="200"/>
        <w:jc w:val="left"/>
        <w:textAlignment w:val="auto"/>
        <w:rPr>
          <w:rFonts w:hint="eastAsia" w:ascii="仿宋_GB2312" w:hAnsi="Times New Roman" w:eastAsia="仿宋_GB2312" w:cs="仿宋_GB2312"/>
          <w:b/>
          <w:bCs/>
          <w:color w:val="auto"/>
          <w:kern w:val="0"/>
          <w:sz w:val="22"/>
          <w:szCs w:val="22"/>
          <w:highlight w:val="none"/>
          <w:lang w:val="en-US" w:eastAsia="zh-CN"/>
        </w:rPr>
      </w:pPr>
      <w:r>
        <w:rPr>
          <w:rFonts w:hint="eastAsia" w:ascii="仿宋_GB2312" w:hAnsi="Times New Roman" w:eastAsia="仿宋_GB2312" w:cs="仿宋_GB2312"/>
          <w:b/>
          <w:bCs/>
          <w:color w:val="auto"/>
          <w:kern w:val="0"/>
          <w:sz w:val="22"/>
          <w:szCs w:val="22"/>
          <w:highlight w:val="none"/>
          <w:lang w:val="en-US" w:eastAsia="zh-CN"/>
        </w:rPr>
        <w:t>3.场所环境</w:t>
      </w:r>
    </w:p>
    <w:p w14:paraId="74DAFE3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2"/>
          <w:sz w:val="22"/>
          <w:szCs w:val="22"/>
          <w:highlight w:val="none"/>
          <w:lang w:val="en-US" w:eastAsia="zh-CN"/>
        </w:rPr>
      </w:pPr>
      <w:r>
        <w:rPr>
          <w:rFonts w:hint="default" w:ascii="仿宋_GB2312" w:hAnsi="Times New Roman" w:eastAsia="仿宋_GB2312" w:cs="仿宋_GB2312"/>
          <w:color w:val="auto"/>
          <w:kern w:val="2"/>
          <w:sz w:val="22"/>
          <w:szCs w:val="22"/>
          <w:highlight w:val="none"/>
          <w:lang w:val="en-US" w:eastAsia="zh-CN"/>
        </w:rPr>
        <w:t>3.1</w:t>
      </w:r>
      <w:r>
        <w:rPr>
          <w:rFonts w:hint="eastAsia" w:ascii="仿宋_GB2312" w:hAnsi="Times New Roman" w:eastAsia="仿宋_GB2312" w:cs="仿宋_GB2312"/>
          <w:color w:val="auto"/>
          <w:kern w:val="2"/>
          <w:sz w:val="22"/>
          <w:szCs w:val="22"/>
          <w:highlight w:val="none"/>
          <w:lang w:val="en-US" w:eastAsia="zh-CN"/>
        </w:rPr>
        <w:t>保持场所干净</w:t>
      </w:r>
      <w:r>
        <w:rPr>
          <w:rFonts w:hint="default" w:ascii="仿宋_GB2312" w:hAnsi="Times New Roman" w:eastAsia="仿宋_GB2312" w:cs="仿宋_GB2312"/>
          <w:color w:val="auto"/>
          <w:kern w:val="2"/>
          <w:sz w:val="22"/>
          <w:szCs w:val="22"/>
          <w:highlight w:val="none"/>
          <w:lang w:val="en-US" w:eastAsia="zh-CN"/>
        </w:rPr>
        <w:t>卫生，无积尘、蛛网、无残渣、无污迹、油迹、无积水、不湿滑，无烟头等杂物。</w:t>
      </w:r>
    </w:p>
    <w:p w14:paraId="00BC58D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2"/>
          <w:sz w:val="22"/>
          <w:szCs w:val="22"/>
          <w:highlight w:val="none"/>
          <w:lang w:val="en-US" w:eastAsia="zh-CN"/>
        </w:rPr>
      </w:pPr>
      <w:r>
        <w:rPr>
          <w:rFonts w:hint="default" w:ascii="仿宋_GB2312" w:hAnsi="Times New Roman" w:eastAsia="仿宋_GB2312" w:cs="仿宋_GB2312"/>
          <w:color w:val="auto"/>
          <w:kern w:val="2"/>
          <w:sz w:val="22"/>
          <w:szCs w:val="22"/>
          <w:highlight w:val="none"/>
          <w:lang w:val="en-US" w:eastAsia="zh-CN"/>
        </w:rPr>
        <w:t>3.2室内外环境要做到清洁，无蚊蝇、老鼠、蟑螂孳生地，落实有效防范措施。日常有灭蝇、灭鼠、灭蟑螂工作记录，纱门、纱窗应随时关闭。</w:t>
      </w:r>
    </w:p>
    <w:p w14:paraId="035FF2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0"/>
          <w:sz w:val="22"/>
          <w:szCs w:val="22"/>
          <w:highlight w:val="none"/>
          <w:lang w:val="en-US" w:eastAsia="zh-CN"/>
        </w:rPr>
      </w:pPr>
      <w:r>
        <w:rPr>
          <w:rFonts w:hint="default" w:ascii="仿宋_GB2312" w:hAnsi="Times New Roman" w:eastAsia="仿宋_GB2312" w:cs="仿宋_GB2312"/>
          <w:color w:val="auto"/>
          <w:kern w:val="2"/>
          <w:sz w:val="22"/>
          <w:szCs w:val="22"/>
          <w:highlight w:val="none"/>
          <w:lang w:val="en-US" w:eastAsia="zh-CN"/>
        </w:rPr>
        <w:t>3.3食堂餐厅、餐桌椅无残渣、无污迹、油迹、不湿滑，泔水、垃圾应盖好存放及时处理。</w:t>
      </w:r>
    </w:p>
    <w:p w14:paraId="405E90B7">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42" w:firstLineChars="200"/>
        <w:jc w:val="left"/>
        <w:textAlignment w:val="auto"/>
        <w:rPr>
          <w:rFonts w:hint="eastAsia" w:ascii="仿宋_GB2312" w:hAnsi="Times New Roman" w:eastAsia="仿宋_GB2312" w:cs="仿宋_GB2312"/>
          <w:b/>
          <w:bCs/>
          <w:color w:val="auto"/>
          <w:kern w:val="0"/>
          <w:sz w:val="22"/>
          <w:szCs w:val="22"/>
          <w:highlight w:val="none"/>
          <w:lang w:val="en-US" w:eastAsia="zh-CN"/>
        </w:rPr>
      </w:pPr>
      <w:r>
        <w:rPr>
          <w:rFonts w:hint="eastAsia" w:ascii="仿宋_GB2312" w:hAnsi="Times New Roman" w:eastAsia="仿宋_GB2312" w:cs="仿宋_GB2312"/>
          <w:b/>
          <w:bCs/>
          <w:color w:val="auto"/>
          <w:kern w:val="0"/>
          <w:sz w:val="22"/>
          <w:szCs w:val="22"/>
          <w:highlight w:val="none"/>
          <w:lang w:val="en-US" w:eastAsia="zh-CN"/>
        </w:rPr>
        <w:t>4.人员卫生</w:t>
      </w:r>
    </w:p>
    <w:p w14:paraId="1006928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2"/>
          <w:sz w:val="22"/>
          <w:szCs w:val="22"/>
          <w:highlight w:val="none"/>
          <w:lang w:val="en-US" w:eastAsia="zh-CN"/>
        </w:rPr>
      </w:pPr>
      <w:r>
        <w:rPr>
          <w:rFonts w:hint="default" w:ascii="仿宋_GB2312" w:hAnsi="Times New Roman" w:eastAsia="仿宋_GB2312" w:cs="仿宋_GB2312"/>
          <w:color w:val="auto"/>
          <w:kern w:val="2"/>
          <w:sz w:val="22"/>
          <w:szCs w:val="22"/>
          <w:highlight w:val="none"/>
          <w:lang w:val="en-US" w:eastAsia="zh-CN"/>
        </w:rPr>
        <w:t>4.1</w:t>
      </w:r>
      <w:r>
        <w:rPr>
          <w:rFonts w:hint="eastAsia" w:ascii="仿宋_GB2312" w:hAnsi="Times New Roman" w:eastAsia="仿宋_GB2312" w:cs="仿宋_GB2312"/>
          <w:color w:val="auto"/>
          <w:kern w:val="2"/>
          <w:sz w:val="22"/>
          <w:szCs w:val="22"/>
          <w:highlight w:val="none"/>
          <w:lang w:val="en-US" w:eastAsia="zh-CN"/>
        </w:rPr>
        <w:t>食品从业人员应保持个人卫生</w:t>
      </w:r>
      <w:r>
        <w:rPr>
          <w:rFonts w:hint="default" w:ascii="仿宋_GB2312" w:hAnsi="Times New Roman" w:eastAsia="仿宋_GB2312" w:cs="仿宋_GB2312"/>
          <w:color w:val="auto"/>
          <w:kern w:val="2"/>
          <w:sz w:val="22"/>
          <w:szCs w:val="22"/>
          <w:highlight w:val="none"/>
          <w:lang w:val="en-US" w:eastAsia="zh-CN"/>
        </w:rPr>
        <w:t>，做到四勤：勤洗手、勤剪指甲、勤理发洗澡、勤换工作服帽，</w:t>
      </w:r>
      <w:r>
        <w:rPr>
          <w:rFonts w:hint="eastAsia" w:ascii="仿宋_GB2312" w:hAnsi="Times New Roman" w:eastAsia="仿宋_GB2312" w:cs="仿宋_GB2312"/>
          <w:color w:val="auto"/>
          <w:kern w:val="2"/>
          <w:sz w:val="22"/>
          <w:szCs w:val="22"/>
          <w:highlight w:val="none"/>
          <w:lang w:val="en-US" w:eastAsia="zh-CN"/>
        </w:rPr>
        <w:t>从事食品加工时，应穿戴清洁的工作衣、帽、口罩</w:t>
      </w:r>
      <w:r>
        <w:rPr>
          <w:rFonts w:hint="default" w:ascii="仿宋_GB2312" w:hAnsi="Times New Roman" w:eastAsia="仿宋_GB2312" w:cs="仿宋_GB2312"/>
          <w:color w:val="auto"/>
          <w:kern w:val="2"/>
          <w:sz w:val="22"/>
          <w:szCs w:val="22"/>
          <w:highlight w:val="none"/>
          <w:lang w:val="en-US" w:eastAsia="zh-CN"/>
        </w:rPr>
        <w:t>。</w:t>
      </w:r>
    </w:p>
    <w:p w14:paraId="1EDC15B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2"/>
          <w:sz w:val="22"/>
          <w:szCs w:val="22"/>
          <w:highlight w:val="none"/>
          <w:lang w:val="en-US" w:eastAsia="zh-CN"/>
        </w:rPr>
      </w:pPr>
      <w:r>
        <w:rPr>
          <w:rFonts w:hint="default" w:ascii="仿宋_GB2312" w:hAnsi="Times New Roman" w:eastAsia="仿宋_GB2312" w:cs="仿宋_GB2312"/>
          <w:color w:val="auto"/>
          <w:kern w:val="2"/>
          <w:sz w:val="22"/>
          <w:szCs w:val="22"/>
          <w:highlight w:val="none"/>
          <w:lang w:val="en-US" w:eastAsia="zh-CN"/>
        </w:rPr>
        <w:t>4.2</w:t>
      </w:r>
      <w:r>
        <w:rPr>
          <w:rFonts w:hint="eastAsia" w:ascii="仿宋_GB2312" w:hAnsi="Times New Roman" w:eastAsia="仿宋_GB2312" w:cs="仿宋_GB2312"/>
          <w:color w:val="auto"/>
          <w:kern w:val="2"/>
          <w:sz w:val="22"/>
          <w:szCs w:val="22"/>
          <w:highlight w:val="none"/>
          <w:lang w:val="en-US" w:eastAsia="zh-CN"/>
        </w:rPr>
        <w:t>食品从业人员不得留长指甲、涂指甲油</w:t>
      </w:r>
      <w:r>
        <w:rPr>
          <w:rFonts w:hint="default" w:ascii="仿宋_GB2312" w:hAnsi="Times New Roman" w:eastAsia="仿宋_GB2312" w:cs="仿宋_GB2312"/>
          <w:color w:val="auto"/>
          <w:kern w:val="2"/>
          <w:sz w:val="22"/>
          <w:szCs w:val="22"/>
          <w:highlight w:val="none"/>
          <w:lang w:val="en-US" w:eastAsia="zh-CN"/>
        </w:rPr>
        <w:t>、</w:t>
      </w:r>
      <w:r>
        <w:rPr>
          <w:rFonts w:hint="eastAsia" w:ascii="仿宋_GB2312" w:hAnsi="Times New Roman" w:eastAsia="仿宋_GB2312" w:cs="仿宋_GB2312"/>
          <w:color w:val="auto"/>
          <w:kern w:val="2"/>
          <w:sz w:val="22"/>
          <w:szCs w:val="22"/>
          <w:highlight w:val="none"/>
          <w:lang w:val="en-US" w:eastAsia="zh-CN"/>
        </w:rPr>
        <w:t>佩戴首饰</w:t>
      </w:r>
      <w:r>
        <w:rPr>
          <w:rFonts w:hint="default" w:ascii="仿宋_GB2312" w:hAnsi="Times New Roman" w:eastAsia="仿宋_GB2312" w:cs="仿宋_GB2312"/>
          <w:color w:val="auto"/>
          <w:kern w:val="2"/>
          <w:sz w:val="22"/>
          <w:szCs w:val="22"/>
          <w:highlight w:val="none"/>
          <w:lang w:val="en-US" w:eastAsia="zh-CN"/>
        </w:rPr>
        <w:t>，要</w:t>
      </w:r>
      <w:r>
        <w:rPr>
          <w:rFonts w:hint="eastAsia" w:ascii="仿宋_GB2312" w:hAnsi="Times New Roman" w:eastAsia="仿宋_GB2312" w:cs="仿宋_GB2312"/>
          <w:color w:val="auto"/>
          <w:kern w:val="2"/>
          <w:sz w:val="22"/>
          <w:szCs w:val="22"/>
          <w:highlight w:val="none"/>
          <w:lang w:val="en-US" w:eastAsia="zh-CN"/>
        </w:rPr>
        <w:t>勤</w:t>
      </w:r>
      <w:r>
        <w:rPr>
          <w:rFonts w:hint="default" w:ascii="仿宋_GB2312" w:hAnsi="Times New Roman" w:eastAsia="仿宋_GB2312" w:cs="仿宋_GB2312"/>
          <w:color w:val="auto"/>
          <w:kern w:val="2"/>
          <w:sz w:val="22"/>
          <w:szCs w:val="22"/>
          <w:highlight w:val="none"/>
          <w:lang w:val="en-US" w:eastAsia="zh-CN"/>
        </w:rPr>
        <w:t>洗手消毒、不随地吐痰、不乱扔废弃物。</w:t>
      </w:r>
    </w:p>
    <w:p w14:paraId="57148D1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2"/>
          <w:sz w:val="22"/>
          <w:szCs w:val="22"/>
          <w:highlight w:val="none"/>
          <w:lang w:val="en-US" w:eastAsia="zh-CN"/>
        </w:rPr>
      </w:pPr>
      <w:r>
        <w:rPr>
          <w:rFonts w:hint="default" w:ascii="仿宋_GB2312" w:hAnsi="Times New Roman" w:eastAsia="仿宋_GB2312" w:cs="仿宋_GB2312"/>
          <w:color w:val="auto"/>
          <w:kern w:val="2"/>
          <w:sz w:val="22"/>
          <w:szCs w:val="22"/>
          <w:highlight w:val="none"/>
          <w:lang w:val="en-US" w:eastAsia="zh-CN"/>
        </w:rPr>
        <w:t>4.3加工食品时不吸烟、不挖鼻孔、不捣耳朵、不对着食品打喷嚏。</w:t>
      </w:r>
    </w:p>
    <w:p w14:paraId="53746FCF">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42" w:firstLineChars="200"/>
        <w:jc w:val="left"/>
        <w:textAlignment w:val="auto"/>
        <w:rPr>
          <w:rFonts w:hint="eastAsia" w:ascii="仿宋_GB2312" w:hAnsi="Times New Roman" w:eastAsia="仿宋_GB2312" w:cs="仿宋_GB2312"/>
          <w:b/>
          <w:bCs/>
          <w:color w:val="auto"/>
          <w:kern w:val="0"/>
          <w:sz w:val="22"/>
          <w:szCs w:val="22"/>
          <w:highlight w:val="none"/>
          <w:lang w:val="en-US" w:eastAsia="zh-CN"/>
        </w:rPr>
      </w:pPr>
      <w:r>
        <w:rPr>
          <w:rFonts w:hint="eastAsia" w:ascii="仿宋_GB2312" w:hAnsi="Times New Roman" w:eastAsia="仿宋_GB2312" w:cs="仿宋_GB2312"/>
          <w:b/>
          <w:bCs/>
          <w:color w:val="auto"/>
          <w:kern w:val="0"/>
          <w:sz w:val="22"/>
          <w:szCs w:val="22"/>
          <w:highlight w:val="none"/>
          <w:lang w:val="en-US" w:eastAsia="zh-CN"/>
        </w:rPr>
        <w:t>5.食材采购</w:t>
      </w:r>
    </w:p>
    <w:p w14:paraId="651FC77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2"/>
          <w:sz w:val="22"/>
          <w:szCs w:val="22"/>
          <w:highlight w:val="none"/>
          <w:lang w:val="en-US" w:eastAsia="zh-CN"/>
        </w:rPr>
      </w:pPr>
      <w:r>
        <w:rPr>
          <w:rFonts w:hint="eastAsia" w:ascii="仿宋_GB2312" w:hAnsi="Times New Roman" w:eastAsia="仿宋_GB2312" w:cs="仿宋_GB2312"/>
          <w:color w:val="auto"/>
          <w:kern w:val="2"/>
          <w:sz w:val="22"/>
          <w:szCs w:val="22"/>
          <w:highlight w:val="none"/>
          <w:lang w:val="en-US" w:eastAsia="zh-CN"/>
        </w:rPr>
        <w:t>5</w:t>
      </w:r>
      <w:r>
        <w:rPr>
          <w:rFonts w:hint="default" w:ascii="仿宋_GB2312" w:hAnsi="Times New Roman" w:eastAsia="仿宋_GB2312" w:cs="仿宋_GB2312"/>
          <w:color w:val="auto"/>
          <w:kern w:val="2"/>
          <w:sz w:val="22"/>
          <w:szCs w:val="22"/>
          <w:highlight w:val="none"/>
          <w:lang w:val="en-US" w:eastAsia="zh-CN"/>
        </w:rPr>
        <w:t>.1采购的食品、原料质量严格把关，严格落实进货验收、索证、索票等制度，不得购入腐败变质、霉变及其它不符合卫生标准食品，建立</w:t>
      </w:r>
      <w:r>
        <w:rPr>
          <w:rFonts w:hint="eastAsia" w:ascii="仿宋_GB2312" w:hAnsi="Times New Roman" w:eastAsia="仿宋_GB2312" w:cs="仿宋_GB2312"/>
          <w:color w:val="auto"/>
          <w:kern w:val="2"/>
          <w:sz w:val="22"/>
          <w:szCs w:val="22"/>
          <w:highlight w:val="none"/>
          <w:lang w:val="en-US" w:eastAsia="zh-CN"/>
        </w:rPr>
        <w:t>食材</w:t>
      </w:r>
      <w:r>
        <w:rPr>
          <w:rFonts w:hint="default" w:ascii="仿宋_GB2312" w:hAnsi="Times New Roman" w:eastAsia="仿宋_GB2312" w:cs="仿宋_GB2312"/>
          <w:color w:val="auto"/>
          <w:kern w:val="2"/>
          <w:sz w:val="22"/>
          <w:szCs w:val="22"/>
          <w:highlight w:val="none"/>
          <w:lang w:val="en-US" w:eastAsia="zh-CN"/>
        </w:rPr>
        <w:t>供货商档案。</w:t>
      </w:r>
    </w:p>
    <w:p w14:paraId="70DA1C1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2"/>
          <w:sz w:val="22"/>
          <w:szCs w:val="22"/>
          <w:highlight w:val="none"/>
          <w:lang w:val="en-US" w:eastAsia="zh-CN"/>
        </w:rPr>
      </w:pPr>
      <w:r>
        <w:rPr>
          <w:rFonts w:hint="eastAsia" w:ascii="仿宋_GB2312" w:hAnsi="Times New Roman" w:eastAsia="仿宋_GB2312" w:cs="仿宋_GB2312"/>
          <w:color w:val="auto"/>
          <w:kern w:val="2"/>
          <w:sz w:val="22"/>
          <w:szCs w:val="22"/>
          <w:highlight w:val="none"/>
          <w:lang w:val="en-US" w:eastAsia="zh-CN"/>
        </w:rPr>
        <w:t>5</w:t>
      </w:r>
      <w:r>
        <w:rPr>
          <w:rFonts w:hint="default" w:ascii="仿宋_GB2312" w:hAnsi="Times New Roman" w:eastAsia="仿宋_GB2312" w:cs="仿宋_GB2312"/>
          <w:color w:val="auto"/>
          <w:kern w:val="2"/>
          <w:sz w:val="22"/>
          <w:szCs w:val="22"/>
          <w:highlight w:val="none"/>
          <w:lang w:val="en-US" w:eastAsia="zh-CN"/>
        </w:rPr>
        <w:t>.2食品贮存有专人负责</w:t>
      </w:r>
      <w:r>
        <w:rPr>
          <w:rFonts w:hint="eastAsia" w:ascii="仿宋_GB2312" w:hAnsi="Times New Roman" w:eastAsia="仿宋_GB2312" w:cs="仿宋_GB2312"/>
          <w:color w:val="auto"/>
          <w:kern w:val="2"/>
          <w:sz w:val="22"/>
          <w:szCs w:val="22"/>
          <w:highlight w:val="none"/>
          <w:lang w:val="en-US" w:eastAsia="zh-CN"/>
        </w:rPr>
        <w:t>，</w:t>
      </w:r>
      <w:r>
        <w:rPr>
          <w:rFonts w:hint="default" w:ascii="仿宋_GB2312" w:hAnsi="Times New Roman" w:eastAsia="仿宋_GB2312" w:cs="仿宋_GB2312"/>
          <w:color w:val="auto"/>
          <w:kern w:val="2"/>
          <w:sz w:val="22"/>
          <w:szCs w:val="22"/>
          <w:highlight w:val="none"/>
          <w:lang w:val="en-US" w:eastAsia="zh-CN"/>
        </w:rPr>
        <w:t>做到先进先出</w:t>
      </w:r>
      <w:r>
        <w:rPr>
          <w:rFonts w:hint="eastAsia" w:ascii="仿宋_GB2312" w:hAnsi="Times New Roman" w:eastAsia="仿宋_GB2312" w:cs="仿宋_GB2312"/>
          <w:color w:val="auto"/>
          <w:kern w:val="2"/>
          <w:sz w:val="22"/>
          <w:szCs w:val="22"/>
          <w:highlight w:val="none"/>
          <w:lang w:val="en-US" w:eastAsia="zh-CN"/>
        </w:rPr>
        <w:t>。</w:t>
      </w:r>
      <w:r>
        <w:rPr>
          <w:rFonts w:hint="default" w:ascii="仿宋_GB2312" w:hAnsi="Times New Roman" w:eastAsia="仿宋_GB2312" w:cs="仿宋_GB2312"/>
          <w:color w:val="auto"/>
          <w:kern w:val="2"/>
          <w:sz w:val="22"/>
          <w:szCs w:val="22"/>
          <w:highlight w:val="none"/>
          <w:lang w:val="en-US" w:eastAsia="zh-CN"/>
        </w:rPr>
        <w:t>定期清库检查，防止食品</w:t>
      </w:r>
      <w:r>
        <w:rPr>
          <w:rFonts w:hint="eastAsia" w:ascii="仿宋_GB2312" w:hAnsi="Times New Roman" w:eastAsia="仿宋_GB2312" w:cs="仿宋_GB2312"/>
          <w:color w:val="auto"/>
          <w:kern w:val="2"/>
          <w:sz w:val="22"/>
          <w:szCs w:val="22"/>
          <w:highlight w:val="none"/>
          <w:lang w:val="en-US" w:eastAsia="zh-CN"/>
        </w:rPr>
        <w:t>腐败</w:t>
      </w:r>
      <w:r>
        <w:rPr>
          <w:rFonts w:hint="default" w:ascii="仿宋_GB2312" w:hAnsi="Times New Roman" w:eastAsia="仿宋_GB2312" w:cs="仿宋_GB2312"/>
          <w:color w:val="auto"/>
          <w:kern w:val="2"/>
          <w:sz w:val="22"/>
          <w:szCs w:val="22"/>
          <w:highlight w:val="none"/>
          <w:lang w:val="en-US" w:eastAsia="zh-CN"/>
        </w:rPr>
        <w:t>变质、霉变生虫</w:t>
      </w:r>
      <w:r>
        <w:rPr>
          <w:rFonts w:hint="eastAsia" w:ascii="仿宋_GB2312" w:hAnsi="Times New Roman" w:eastAsia="仿宋_GB2312" w:cs="仿宋_GB2312"/>
          <w:color w:val="auto"/>
          <w:kern w:val="2"/>
          <w:sz w:val="22"/>
          <w:szCs w:val="22"/>
          <w:highlight w:val="none"/>
          <w:lang w:val="en-US" w:eastAsia="zh-CN"/>
        </w:rPr>
        <w:t>、超保质期限，</w:t>
      </w:r>
      <w:r>
        <w:rPr>
          <w:rFonts w:hint="default" w:ascii="仿宋_GB2312" w:hAnsi="Times New Roman" w:eastAsia="仿宋_GB2312" w:cs="仿宋_GB2312"/>
          <w:color w:val="auto"/>
          <w:kern w:val="2"/>
          <w:sz w:val="22"/>
          <w:szCs w:val="22"/>
          <w:highlight w:val="none"/>
          <w:lang w:val="en-US" w:eastAsia="zh-CN"/>
        </w:rPr>
        <w:t>及时清理不符合</w:t>
      </w:r>
      <w:r>
        <w:rPr>
          <w:rFonts w:hint="eastAsia" w:ascii="仿宋_GB2312" w:hAnsi="Times New Roman" w:eastAsia="仿宋_GB2312" w:cs="仿宋_GB2312"/>
          <w:color w:val="auto"/>
          <w:kern w:val="2"/>
          <w:sz w:val="22"/>
          <w:szCs w:val="22"/>
          <w:highlight w:val="none"/>
          <w:lang w:val="en-US" w:eastAsia="zh-CN"/>
        </w:rPr>
        <w:t>食品安全标准</w:t>
      </w:r>
      <w:r>
        <w:rPr>
          <w:rFonts w:hint="default" w:ascii="仿宋_GB2312" w:hAnsi="Times New Roman" w:eastAsia="仿宋_GB2312" w:cs="仿宋_GB2312"/>
          <w:color w:val="auto"/>
          <w:kern w:val="2"/>
          <w:sz w:val="22"/>
          <w:szCs w:val="22"/>
          <w:highlight w:val="none"/>
          <w:lang w:val="en-US" w:eastAsia="zh-CN"/>
        </w:rPr>
        <w:t>的食品</w:t>
      </w:r>
      <w:r>
        <w:rPr>
          <w:rFonts w:hint="eastAsia" w:ascii="仿宋_GB2312" w:hAnsi="Times New Roman" w:eastAsia="仿宋_GB2312" w:cs="仿宋_GB2312"/>
          <w:color w:val="auto"/>
          <w:kern w:val="2"/>
          <w:sz w:val="22"/>
          <w:szCs w:val="22"/>
          <w:highlight w:val="none"/>
          <w:lang w:val="en-US" w:eastAsia="zh-CN"/>
        </w:rPr>
        <w:t>原料</w:t>
      </w:r>
      <w:r>
        <w:rPr>
          <w:rFonts w:hint="default" w:ascii="仿宋_GB2312" w:hAnsi="Times New Roman" w:eastAsia="仿宋_GB2312" w:cs="仿宋_GB2312"/>
          <w:color w:val="auto"/>
          <w:kern w:val="2"/>
          <w:sz w:val="22"/>
          <w:szCs w:val="22"/>
          <w:highlight w:val="none"/>
          <w:lang w:val="en-US" w:eastAsia="zh-CN"/>
        </w:rPr>
        <w:t>，物品摆放整齐，并做好出入库记录。</w:t>
      </w:r>
    </w:p>
    <w:p w14:paraId="19DBBFA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2"/>
          <w:sz w:val="22"/>
          <w:szCs w:val="22"/>
          <w:highlight w:val="none"/>
          <w:lang w:val="en-US" w:eastAsia="zh-CN"/>
        </w:rPr>
      </w:pPr>
      <w:r>
        <w:rPr>
          <w:rFonts w:hint="default" w:ascii="仿宋_GB2312" w:hAnsi="Times New Roman" w:eastAsia="仿宋_GB2312" w:cs="仿宋_GB2312"/>
          <w:color w:val="auto"/>
          <w:kern w:val="2"/>
          <w:sz w:val="22"/>
          <w:szCs w:val="22"/>
          <w:highlight w:val="none"/>
          <w:lang w:val="en-US" w:eastAsia="zh-CN"/>
        </w:rPr>
        <w:t>5.</w:t>
      </w:r>
      <w:r>
        <w:rPr>
          <w:rFonts w:hint="eastAsia" w:ascii="仿宋_GB2312" w:hAnsi="Times New Roman" w:eastAsia="仿宋_GB2312" w:cs="仿宋_GB2312"/>
          <w:color w:val="auto"/>
          <w:kern w:val="2"/>
          <w:sz w:val="22"/>
          <w:szCs w:val="22"/>
          <w:highlight w:val="none"/>
          <w:lang w:val="en-US" w:eastAsia="zh-CN"/>
        </w:rPr>
        <w:t>3</w:t>
      </w:r>
      <w:r>
        <w:rPr>
          <w:rFonts w:hint="default" w:ascii="仿宋_GB2312" w:hAnsi="Times New Roman" w:eastAsia="仿宋_GB2312" w:cs="仿宋_GB2312"/>
          <w:color w:val="auto"/>
          <w:kern w:val="2"/>
          <w:sz w:val="22"/>
          <w:szCs w:val="22"/>
          <w:highlight w:val="none"/>
          <w:lang w:val="en-US" w:eastAsia="zh-CN"/>
        </w:rPr>
        <w:t>节约合理使用食材，不人为造成</w:t>
      </w:r>
      <w:r>
        <w:rPr>
          <w:rFonts w:hint="eastAsia" w:ascii="仿宋_GB2312" w:hAnsi="Times New Roman" w:eastAsia="仿宋_GB2312" w:cs="仿宋_GB2312"/>
          <w:color w:val="auto"/>
          <w:kern w:val="2"/>
          <w:sz w:val="22"/>
          <w:szCs w:val="22"/>
          <w:highlight w:val="none"/>
          <w:lang w:val="en-US" w:eastAsia="zh-CN"/>
        </w:rPr>
        <w:t>食</w:t>
      </w:r>
      <w:r>
        <w:rPr>
          <w:rFonts w:hint="default" w:ascii="仿宋_GB2312" w:hAnsi="Times New Roman" w:eastAsia="仿宋_GB2312" w:cs="仿宋_GB2312"/>
          <w:color w:val="auto"/>
          <w:kern w:val="2"/>
          <w:sz w:val="22"/>
          <w:szCs w:val="22"/>
          <w:highlight w:val="none"/>
          <w:lang w:val="en-US" w:eastAsia="zh-CN"/>
        </w:rPr>
        <w:t>材浪费。</w:t>
      </w:r>
    </w:p>
    <w:p w14:paraId="7CA8B6DA">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42" w:firstLineChars="200"/>
        <w:jc w:val="left"/>
        <w:textAlignment w:val="auto"/>
        <w:rPr>
          <w:rFonts w:hint="eastAsia" w:ascii="仿宋_GB2312" w:hAnsi="Times New Roman" w:eastAsia="仿宋_GB2312" w:cs="仿宋_GB2312"/>
          <w:b/>
          <w:bCs/>
          <w:color w:val="auto"/>
          <w:kern w:val="0"/>
          <w:sz w:val="22"/>
          <w:szCs w:val="22"/>
          <w:highlight w:val="none"/>
          <w:lang w:val="en-US" w:eastAsia="zh-CN"/>
        </w:rPr>
      </w:pPr>
      <w:r>
        <w:rPr>
          <w:rFonts w:hint="eastAsia" w:ascii="仿宋_GB2312" w:hAnsi="Times New Roman" w:eastAsia="仿宋_GB2312" w:cs="仿宋_GB2312"/>
          <w:b/>
          <w:bCs/>
          <w:color w:val="auto"/>
          <w:kern w:val="0"/>
          <w:sz w:val="22"/>
          <w:szCs w:val="22"/>
          <w:highlight w:val="none"/>
          <w:lang w:val="en-US" w:eastAsia="zh-CN"/>
        </w:rPr>
        <w:t>6.餐饮具消毒</w:t>
      </w:r>
    </w:p>
    <w:p w14:paraId="60D26E3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2"/>
          <w:sz w:val="22"/>
          <w:szCs w:val="22"/>
          <w:highlight w:val="none"/>
          <w:lang w:val="en-US" w:eastAsia="zh-CN"/>
        </w:rPr>
      </w:pPr>
      <w:r>
        <w:rPr>
          <w:rFonts w:hint="default" w:ascii="仿宋_GB2312" w:hAnsi="Times New Roman" w:eastAsia="仿宋_GB2312" w:cs="仿宋_GB2312"/>
          <w:color w:val="auto"/>
          <w:kern w:val="2"/>
          <w:sz w:val="22"/>
          <w:szCs w:val="22"/>
          <w:highlight w:val="none"/>
          <w:lang w:val="en-US" w:eastAsia="zh-CN"/>
        </w:rPr>
        <w:t>6.1食堂餐</w:t>
      </w:r>
      <w:r>
        <w:rPr>
          <w:rFonts w:hint="eastAsia" w:ascii="仿宋_GB2312" w:hAnsi="Times New Roman" w:eastAsia="仿宋_GB2312" w:cs="仿宋_GB2312"/>
          <w:color w:val="auto"/>
          <w:kern w:val="2"/>
          <w:sz w:val="22"/>
          <w:szCs w:val="22"/>
          <w:highlight w:val="none"/>
          <w:lang w:val="en-US" w:eastAsia="zh-CN"/>
        </w:rPr>
        <w:t>饮</w:t>
      </w:r>
      <w:r>
        <w:rPr>
          <w:rFonts w:hint="default" w:ascii="仿宋_GB2312" w:hAnsi="Times New Roman" w:eastAsia="仿宋_GB2312" w:cs="仿宋_GB2312"/>
          <w:color w:val="auto"/>
          <w:kern w:val="2"/>
          <w:sz w:val="22"/>
          <w:szCs w:val="22"/>
          <w:highlight w:val="none"/>
          <w:lang w:val="en-US" w:eastAsia="zh-CN"/>
        </w:rPr>
        <w:t>具要严格执行消毒规定，餐</w:t>
      </w:r>
      <w:r>
        <w:rPr>
          <w:rFonts w:hint="eastAsia" w:ascii="仿宋_GB2312" w:hAnsi="Times New Roman" w:eastAsia="仿宋_GB2312" w:cs="仿宋_GB2312"/>
          <w:color w:val="auto"/>
          <w:kern w:val="2"/>
          <w:sz w:val="22"/>
          <w:szCs w:val="22"/>
          <w:highlight w:val="none"/>
          <w:lang w:val="en-US" w:eastAsia="zh-CN"/>
        </w:rPr>
        <w:t>饮</w:t>
      </w:r>
      <w:r>
        <w:rPr>
          <w:rFonts w:hint="default" w:ascii="仿宋_GB2312" w:hAnsi="Times New Roman" w:eastAsia="仿宋_GB2312" w:cs="仿宋_GB2312"/>
          <w:color w:val="auto"/>
          <w:kern w:val="2"/>
          <w:sz w:val="22"/>
          <w:szCs w:val="22"/>
          <w:highlight w:val="none"/>
          <w:lang w:val="en-US" w:eastAsia="zh-CN"/>
        </w:rPr>
        <w:t>具、</w:t>
      </w:r>
      <w:r>
        <w:rPr>
          <w:rFonts w:hint="eastAsia" w:ascii="仿宋_GB2312" w:hAnsi="Times New Roman" w:eastAsia="仿宋_GB2312" w:cs="仿宋_GB2312"/>
          <w:color w:val="auto"/>
          <w:kern w:val="2"/>
          <w:sz w:val="22"/>
          <w:szCs w:val="22"/>
          <w:highlight w:val="none"/>
          <w:lang w:val="en-US" w:eastAsia="zh-CN"/>
        </w:rPr>
        <w:t>食品</w:t>
      </w:r>
      <w:r>
        <w:rPr>
          <w:rFonts w:hint="default" w:ascii="仿宋_GB2312" w:hAnsi="Times New Roman" w:eastAsia="仿宋_GB2312" w:cs="仿宋_GB2312"/>
          <w:color w:val="auto"/>
          <w:kern w:val="2"/>
          <w:sz w:val="22"/>
          <w:szCs w:val="22"/>
          <w:highlight w:val="none"/>
          <w:lang w:val="en-US" w:eastAsia="zh-CN"/>
        </w:rPr>
        <w:t>容器餐后应</w:t>
      </w:r>
      <w:r>
        <w:rPr>
          <w:rFonts w:hint="eastAsia" w:ascii="仿宋_GB2312" w:hAnsi="Times New Roman" w:eastAsia="仿宋_GB2312" w:cs="仿宋_GB2312"/>
          <w:color w:val="auto"/>
          <w:kern w:val="2"/>
          <w:sz w:val="22"/>
          <w:szCs w:val="22"/>
          <w:highlight w:val="none"/>
          <w:lang w:val="en-US" w:eastAsia="zh-CN"/>
        </w:rPr>
        <w:t>及时</w:t>
      </w:r>
      <w:r>
        <w:rPr>
          <w:rFonts w:hint="default" w:ascii="仿宋_GB2312" w:hAnsi="Times New Roman" w:eastAsia="仿宋_GB2312" w:cs="仿宋_GB2312"/>
          <w:color w:val="auto"/>
          <w:kern w:val="2"/>
          <w:sz w:val="22"/>
          <w:szCs w:val="22"/>
          <w:highlight w:val="none"/>
          <w:lang w:val="en-US" w:eastAsia="zh-CN"/>
        </w:rPr>
        <w:t>清洗消毒，</w:t>
      </w:r>
      <w:r>
        <w:rPr>
          <w:rFonts w:hint="eastAsia" w:ascii="仿宋_GB2312" w:hAnsi="Times New Roman" w:eastAsia="仿宋_GB2312" w:cs="仿宋_GB2312"/>
          <w:color w:val="auto"/>
          <w:kern w:val="2"/>
          <w:sz w:val="22"/>
          <w:szCs w:val="22"/>
          <w:highlight w:val="none"/>
          <w:lang w:val="en-US" w:eastAsia="zh-CN"/>
        </w:rPr>
        <w:t>按照</w:t>
      </w:r>
      <w:r>
        <w:rPr>
          <w:rFonts w:hint="default" w:ascii="仿宋_GB2312" w:hAnsi="Times New Roman" w:eastAsia="仿宋_GB2312" w:cs="仿宋_GB2312"/>
          <w:color w:val="auto"/>
          <w:kern w:val="2"/>
          <w:sz w:val="22"/>
          <w:szCs w:val="22"/>
          <w:highlight w:val="none"/>
          <w:lang w:val="en-US" w:eastAsia="zh-CN"/>
        </w:rPr>
        <w:t>一刮、二洗、三冲、四消毒、五保洁顺序操作。消毒后的</w:t>
      </w:r>
      <w:r>
        <w:rPr>
          <w:rFonts w:hint="eastAsia" w:ascii="仿宋_GB2312" w:hAnsi="Times New Roman" w:eastAsia="仿宋_GB2312" w:cs="仿宋_GB2312"/>
          <w:color w:val="auto"/>
          <w:kern w:val="2"/>
          <w:sz w:val="22"/>
          <w:szCs w:val="22"/>
          <w:highlight w:val="none"/>
          <w:lang w:val="en-US" w:eastAsia="zh-CN"/>
        </w:rPr>
        <w:t>餐饮</w:t>
      </w:r>
      <w:r>
        <w:rPr>
          <w:rFonts w:hint="default" w:ascii="仿宋_GB2312" w:hAnsi="Times New Roman" w:eastAsia="仿宋_GB2312" w:cs="仿宋_GB2312"/>
          <w:color w:val="auto"/>
          <w:kern w:val="2"/>
          <w:sz w:val="22"/>
          <w:szCs w:val="22"/>
          <w:highlight w:val="none"/>
          <w:lang w:val="en-US" w:eastAsia="zh-CN"/>
        </w:rPr>
        <w:t>具</w:t>
      </w:r>
      <w:r>
        <w:rPr>
          <w:rFonts w:hint="eastAsia" w:ascii="仿宋_GB2312" w:hAnsi="Times New Roman" w:eastAsia="仿宋_GB2312" w:cs="仿宋_GB2312"/>
          <w:color w:val="auto"/>
          <w:kern w:val="2"/>
          <w:sz w:val="22"/>
          <w:szCs w:val="22"/>
          <w:highlight w:val="none"/>
          <w:lang w:val="en-US" w:eastAsia="zh-CN"/>
        </w:rPr>
        <w:t>、食品容器</w:t>
      </w:r>
      <w:r>
        <w:rPr>
          <w:rFonts w:hint="default" w:ascii="仿宋_GB2312" w:hAnsi="Times New Roman" w:eastAsia="仿宋_GB2312" w:cs="仿宋_GB2312"/>
          <w:color w:val="auto"/>
          <w:kern w:val="2"/>
          <w:sz w:val="22"/>
          <w:szCs w:val="22"/>
          <w:highlight w:val="none"/>
          <w:lang w:val="en-US" w:eastAsia="zh-CN"/>
        </w:rPr>
        <w:t>应立即存放于清洁的保洁柜内，防止</w:t>
      </w:r>
      <w:r>
        <w:rPr>
          <w:rFonts w:hint="eastAsia" w:ascii="仿宋_GB2312" w:hAnsi="Times New Roman" w:eastAsia="仿宋_GB2312" w:cs="仿宋_GB2312"/>
          <w:color w:val="auto"/>
          <w:kern w:val="2"/>
          <w:sz w:val="22"/>
          <w:szCs w:val="22"/>
          <w:highlight w:val="none"/>
          <w:lang w:val="en-US" w:eastAsia="zh-CN"/>
        </w:rPr>
        <w:t>再次受到</w:t>
      </w:r>
      <w:r>
        <w:rPr>
          <w:rFonts w:hint="default" w:ascii="仿宋_GB2312" w:hAnsi="Times New Roman" w:eastAsia="仿宋_GB2312" w:cs="仿宋_GB2312"/>
          <w:color w:val="auto"/>
          <w:kern w:val="2"/>
          <w:sz w:val="22"/>
          <w:szCs w:val="22"/>
          <w:highlight w:val="none"/>
          <w:lang w:val="en-US" w:eastAsia="zh-CN"/>
        </w:rPr>
        <w:t>污染。</w:t>
      </w:r>
    </w:p>
    <w:p w14:paraId="55604D7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2"/>
          <w:sz w:val="22"/>
          <w:szCs w:val="22"/>
          <w:highlight w:val="none"/>
          <w:lang w:val="en-US" w:eastAsia="zh-CN"/>
        </w:rPr>
      </w:pPr>
      <w:r>
        <w:rPr>
          <w:rFonts w:hint="default" w:ascii="仿宋_GB2312" w:hAnsi="Times New Roman" w:eastAsia="仿宋_GB2312" w:cs="仿宋_GB2312"/>
          <w:color w:val="auto"/>
          <w:kern w:val="2"/>
          <w:sz w:val="22"/>
          <w:szCs w:val="22"/>
          <w:highlight w:val="none"/>
          <w:lang w:val="en-US" w:eastAsia="zh-CN"/>
        </w:rPr>
        <w:t>6.2</w:t>
      </w:r>
      <w:r>
        <w:rPr>
          <w:rFonts w:hint="eastAsia" w:ascii="仿宋_GB2312" w:hAnsi="Times New Roman" w:eastAsia="仿宋_GB2312" w:cs="仿宋_GB2312"/>
          <w:color w:val="auto"/>
          <w:kern w:val="2"/>
          <w:sz w:val="22"/>
          <w:szCs w:val="22"/>
          <w:highlight w:val="none"/>
          <w:lang w:val="en-US" w:eastAsia="zh-CN"/>
        </w:rPr>
        <w:t>建立餐饮具消毒台账</w:t>
      </w:r>
      <w:r>
        <w:rPr>
          <w:rFonts w:hint="default" w:ascii="仿宋_GB2312" w:hAnsi="Times New Roman" w:eastAsia="仿宋_GB2312" w:cs="仿宋_GB2312"/>
          <w:color w:val="auto"/>
          <w:kern w:val="2"/>
          <w:sz w:val="22"/>
          <w:szCs w:val="22"/>
          <w:highlight w:val="none"/>
          <w:lang w:val="en-US" w:eastAsia="zh-CN"/>
        </w:rPr>
        <w:t>，做好消毒记录。</w:t>
      </w:r>
    </w:p>
    <w:p w14:paraId="4BECBA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0"/>
          <w:sz w:val="22"/>
          <w:szCs w:val="22"/>
          <w:highlight w:val="none"/>
          <w:lang w:val="en-US" w:eastAsia="zh-CN"/>
        </w:rPr>
      </w:pPr>
      <w:r>
        <w:rPr>
          <w:rFonts w:hint="eastAsia" w:ascii="仿宋_GB2312" w:hAnsi="Times New Roman" w:eastAsia="仿宋_GB2312" w:cs="仿宋_GB2312"/>
          <w:color w:val="auto"/>
          <w:kern w:val="2"/>
          <w:sz w:val="22"/>
          <w:szCs w:val="22"/>
          <w:highlight w:val="none"/>
          <w:lang w:val="en-US" w:eastAsia="zh-CN"/>
        </w:rPr>
        <w:t>6.3不重复使用一次性餐饮具。</w:t>
      </w:r>
    </w:p>
    <w:p w14:paraId="06EDB738">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42" w:firstLineChars="200"/>
        <w:jc w:val="left"/>
        <w:textAlignment w:val="auto"/>
        <w:rPr>
          <w:rFonts w:hint="eastAsia" w:ascii="仿宋_GB2312" w:hAnsi="Times New Roman" w:eastAsia="仿宋_GB2312" w:cs="仿宋_GB2312"/>
          <w:b/>
          <w:bCs/>
          <w:color w:val="auto"/>
          <w:kern w:val="0"/>
          <w:sz w:val="22"/>
          <w:szCs w:val="22"/>
          <w:highlight w:val="none"/>
          <w:lang w:val="en-US" w:eastAsia="zh-CN"/>
        </w:rPr>
      </w:pPr>
      <w:r>
        <w:rPr>
          <w:rFonts w:hint="eastAsia" w:ascii="仿宋_GB2312" w:hAnsi="Times New Roman" w:eastAsia="仿宋_GB2312" w:cs="仿宋_GB2312"/>
          <w:b/>
          <w:bCs/>
          <w:color w:val="auto"/>
          <w:kern w:val="0"/>
          <w:sz w:val="22"/>
          <w:szCs w:val="22"/>
          <w:highlight w:val="none"/>
          <w:lang w:val="en-US" w:eastAsia="zh-CN"/>
        </w:rPr>
        <w:t>7.菜品质量</w:t>
      </w:r>
    </w:p>
    <w:p w14:paraId="5D17146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2"/>
          <w:sz w:val="22"/>
          <w:szCs w:val="22"/>
          <w:highlight w:val="none"/>
          <w:lang w:val="en-US" w:eastAsia="zh-CN"/>
        </w:rPr>
      </w:pPr>
      <w:r>
        <w:rPr>
          <w:rFonts w:hint="default" w:ascii="仿宋_GB2312" w:hAnsi="Times New Roman" w:eastAsia="仿宋_GB2312" w:cs="仿宋_GB2312"/>
          <w:color w:val="auto"/>
          <w:kern w:val="2"/>
          <w:sz w:val="22"/>
          <w:szCs w:val="22"/>
          <w:highlight w:val="none"/>
          <w:lang w:val="en-US" w:eastAsia="zh-CN"/>
        </w:rPr>
        <w:t>7.1</w:t>
      </w:r>
      <w:r>
        <w:rPr>
          <w:rFonts w:hint="eastAsia" w:ascii="仿宋_GB2312" w:hAnsi="Times New Roman" w:eastAsia="仿宋_GB2312" w:cs="仿宋_GB2312"/>
          <w:color w:val="auto"/>
          <w:kern w:val="2"/>
          <w:sz w:val="22"/>
          <w:szCs w:val="22"/>
          <w:highlight w:val="none"/>
          <w:lang w:val="en-US" w:eastAsia="zh-CN"/>
        </w:rPr>
        <w:t>供</w:t>
      </w:r>
      <w:r>
        <w:rPr>
          <w:rFonts w:hint="default" w:ascii="仿宋_GB2312" w:hAnsi="Times New Roman" w:eastAsia="仿宋_GB2312" w:cs="仿宋_GB2312"/>
          <w:color w:val="auto"/>
          <w:kern w:val="2"/>
          <w:sz w:val="22"/>
          <w:szCs w:val="22"/>
          <w:highlight w:val="none"/>
          <w:lang w:val="en-US" w:eastAsia="zh-CN"/>
        </w:rPr>
        <w:t>餐品种按</w:t>
      </w:r>
      <w:r>
        <w:rPr>
          <w:rFonts w:hint="eastAsia" w:ascii="仿宋_GB2312" w:hAnsi="Times New Roman" w:eastAsia="仿宋_GB2312" w:cs="仿宋_GB2312"/>
          <w:color w:val="auto"/>
          <w:kern w:val="2"/>
          <w:sz w:val="22"/>
          <w:szCs w:val="22"/>
          <w:highlight w:val="none"/>
          <w:lang w:val="en-US" w:eastAsia="zh-CN"/>
        </w:rPr>
        <w:t>合同约定</w:t>
      </w:r>
      <w:r>
        <w:rPr>
          <w:rFonts w:hint="default" w:ascii="仿宋_GB2312" w:hAnsi="Times New Roman" w:eastAsia="仿宋_GB2312" w:cs="仿宋_GB2312"/>
          <w:color w:val="auto"/>
          <w:kern w:val="2"/>
          <w:sz w:val="22"/>
          <w:szCs w:val="22"/>
          <w:highlight w:val="none"/>
          <w:lang w:val="en-US" w:eastAsia="zh-CN"/>
        </w:rPr>
        <w:t>提供。</w:t>
      </w:r>
    </w:p>
    <w:p w14:paraId="57BE182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2"/>
          <w:sz w:val="22"/>
          <w:szCs w:val="22"/>
          <w:highlight w:val="none"/>
          <w:lang w:val="en-US" w:eastAsia="zh-CN"/>
        </w:rPr>
      </w:pPr>
      <w:r>
        <w:rPr>
          <w:rFonts w:hint="default" w:ascii="仿宋_GB2312" w:hAnsi="Times New Roman" w:eastAsia="仿宋_GB2312" w:cs="仿宋_GB2312"/>
          <w:color w:val="auto"/>
          <w:kern w:val="2"/>
          <w:sz w:val="22"/>
          <w:szCs w:val="22"/>
          <w:highlight w:val="none"/>
          <w:lang w:val="en-US" w:eastAsia="zh-CN"/>
        </w:rPr>
        <w:t>7.2饭菜内不存在异物、杂物，</w:t>
      </w:r>
      <w:r>
        <w:rPr>
          <w:rFonts w:hint="eastAsia" w:ascii="仿宋_GB2312" w:hAnsi="Times New Roman" w:eastAsia="仿宋_GB2312" w:cs="仿宋_GB2312"/>
          <w:color w:val="auto"/>
          <w:kern w:val="2"/>
          <w:sz w:val="22"/>
          <w:szCs w:val="22"/>
          <w:highlight w:val="none"/>
          <w:lang w:val="en-US" w:eastAsia="zh-CN"/>
        </w:rPr>
        <w:t>不</w:t>
      </w:r>
      <w:r>
        <w:rPr>
          <w:rFonts w:hint="default" w:ascii="仿宋_GB2312" w:hAnsi="Times New Roman" w:eastAsia="仿宋_GB2312" w:cs="仿宋_GB2312"/>
          <w:color w:val="auto"/>
          <w:kern w:val="2"/>
          <w:sz w:val="22"/>
          <w:szCs w:val="22"/>
          <w:highlight w:val="none"/>
          <w:lang w:val="en-US" w:eastAsia="zh-CN"/>
        </w:rPr>
        <w:t>提供</w:t>
      </w:r>
      <w:r>
        <w:rPr>
          <w:rFonts w:hint="eastAsia" w:ascii="仿宋_GB2312" w:hAnsi="Times New Roman" w:eastAsia="仿宋_GB2312" w:cs="仿宋_GB2312"/>
          <w:color w:val="auto"/>
          <w:kern w:val="2"/>
          <w:sz w:val="22"/>
          <w:szCs w:val="22"/>
          <w:highlight w:val="none"/>
          <w:lang w:val="en-US" w:eastAsia="zh-CN"/>
        </w:rPr>
        <w:t>未烧熟煮透</w:t>
      </w:r>
      <w:r>
        <w:rPr>
          <w:rFonts w:hint="default" w:ascii="仿宋_GB2312" w:hAnsi="Times New Roman" w:eastAsia="仿宋_GB2312" w:cs="仿宋_GB2312"/>
          <w:color w:val="auto"/>
          <w:kern w:val="2"/>
          <w:sz w:val="22"/>
          <w:szCs w:val="22"/>
          <w:highlight w:val="none"/>
          <w:lang w:val="en-US" w:eastAsia="zh-CN"/>
        </w:rPr>
        <w:t>、变质菜品。</w:t>
      </w:r>
    </w:p>
    <w:p w14:paraId="5237B5A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2"/>
          <w:sz w:val="22"/>
          <w:szCs w:val="22"/>
          <w:highlight w:val="none"/>
          <w:lang w:val="en-US" w:eastAsia="zh-CN"/>
        </w:rPr>
      </w:pPr>
      <w:r>
        <w:rPr>
          <w:rFonts w:hint="default" w:ascii="仿宋_GB2312" w:hAnsi="Times New Roman" w:eastAsia="仿宋_GB2312" w:cs="仿宋_GB2312"/>
          <w:color w:val="auto"/>
          <w:kern w:val="2"/>
          <w:sz w:val="22"/>
          <w:szCs w:val="22"/>
          <w:highlight w:val="none"/>
          <w:lang w:val="en-US" w:eastAsia="zh-CN"/>
        </w:rPr>
        <w:t>7.3菜品色泽味满足大众口味。</w:t>
      </w:r>
    </w:p>
    <w:p w14:paraId="30F8992D">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42" w:firstLineChars="200"/>
        <w:jc w:val="left"/>
        <w:textAlignment w:val="auto"/>
        <w:rPr>
          <w:rFonts w:hint="eastAsia" w:ascii="仿宋_GB2312" w:hAnsi="Times New Roman" w:eastAsia="仿宋_GB2312" w:cs="仿宋_GB2312"/>
          <w:b/>
          <w:bCs/>
          <w:color w:val="auto"/>
          <w:kern w:val="0"/>
          <w:sz w:val="22"/>
          <w:szCs w:val="22"/>
          <w:highlight w:val="none"/>
          <w:lang w:val="en-US" w:eastAsia="zh-CN"/>
        </w:rPr>
      </w:pPr>
      <w:r>
        <w:rPr>
          <w:rFonts w:hint="eastAsia" w:ascii="仿宋_GB2312" w:hAnsi="Times New Roman" w:eastAsia="仿宋_GB2312" w:cs="仿宋_GB2312"/>
          <w:b/>
          <w:bCs/>
          <w:color w:val="auto"/>
          <w:kern w:val="0"/>
          <w:sz w:val="22"/>
          <w:szCs w:val="22"/>
          <w:highlight w:val="none"/>
          <w:lang w:val="en-US" w:eastAsia="zh-CN"/>
        </w:rPr>
        <w:t>8.餐厅服务</w:t>
      </w:r>
    </w:p>
    <w:p w14:paraId="003C703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2"/>
          <w:sz w:val="22"/>
          <w:szCs w:val="22"/>
          <w:highlight w:val="none"/>
          <w:lang w:val="en-US" w:eastAsia="zh-CN"/>
        </w:rPr>
      </w:pPr>
      <w:r>
        <w:rPr>
          <w:rFonts w:hint="default" w:ascii="仿宋_GB2312" w:hAnsi="Times New Roman" w:eastAsia="仿宋_GB2312" w:cs="仿宋_GB2312"/>
          <w:color w:val="auto"/>
          <w:kern w:val="2"/>
          <w:sz w:val="22"/>
          <w:szCs w:val="22"/>
          <w:highlight w:val="none"/>
          <w:lang w:val="en-US" w:eastAsia="zh-CN"/>
        </w:rPr>
        <w:t>8.1文明礼貌、热情服务，耐心细致，不得与师生发生争执。</w:t>
      </w:r>
    </w:p>
    <w:p w14:paraId="118CF52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2"/>
          <w:sz w:val="22"/>
          <w:szCs w:val="22"/>
          <w:highlight w:val="none"/>
          <w:lang w:val="en-US" w:eastAsia="zh-CN"/>
        </w:rPr>
      </w:pPr>
      <w:r>
        <w:rPr>
          <w:rFonts w:hint="default" w:ascii="仿宋_GB2312" w:hAnsi="Times New Roman" w:eastAsia="仿宋_GB2312" w:cs="仿宋_GB2312"/>
          <w:color w:val="auto"/>
          <w:kern w:val="2"/>
          <w:sz w:val="22"/>
          <w:szCs w:val="22"/>
          <w:highlight w:val="none"/>
          <w:lang w:val="en-US" w:eastAsia="zh-CN"/>
        </w:rPr>
        <w:t>8.2按规定标准供应饭菜，应一视同仁，应做到按</w:t>
      </w:r>
      <w:r>
        <w:rPr>
          <w:rFonts w:hint="eastAsia" w:ascii="仿宋_GB2312" w:hAnsi="Times New Roman" w:eastAsia="仿宋_GB2312" w:cs="仿宋_GB2312"/>
          <w:color w:val="auto"/>
          <w:kern w:val="2"/>
          <w:sz w:val="22"/>
          <w:szCs w:val="22"/>
          <w:highlight w:val="none"/>
          <w:lang w:val="en-US" w:eastAsia="zh-CN"/>
        </w:rPr>
        <w:t>时</w:t>
      </w:r>
      <w:r>
        <w:rPr>
          <w:rFonts w:hint="default" w:ascii="仿宋_GB2312" w:hAnsi="Times New Roman" w:eastAsia="仿宋_GB2312" w:cs="仿宋_GB2312"/>
          <w:color w:val="auto"/>
          <w:kern w:val="2"/>
          <w:sz w:val="22"/>
          <w:szCs w:val="22"/>
          <w:highlight w:val="none"/>
          <w:lang w:val="en-US" w:eastAsia="zh-CN"/>
        </w:rPr>
        <w:t>开饭，不得无故无饭菜供应，无故不能按时开饭等。</w:t>
      </w:r>
    </w:p>
    <w:p w14:paraId="4B04D743">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42" w:firstLineChars="200"/>
        <w:jc w:val="left"/>
        <w:textAlignment w:val="auto"/>
        <w:rPr>
          <w:rFonts w:hint="eastAsia" w:ascii="仿宋_GB2312" w:hAnsi="Times New Roman" w:eastAsia="仿宋_GB2312" w:cs="仿宋_GB2312"/>
          <w:b/>
          <w:bCs/>
          <w:color w:val="auto"/>
          <w:kern w:val="0"/>
          <w:sz w:val="22"/>
          <w:szCs w:val="22"/>
          <w:highlight w:val="none"/>
          <w:lang w:val="en-US" w:eastAsia="zh-CN"/>
        </w:rPr>
      </w:pPr>
      <w:r>
        <w:rPr>
          <w:rFonts w:hint="eastAsia" w:ascii="仿宋_GB2312" w:hAnsi="Times New Roman" w:eastAsia="仿宋_GB2312" w:cs="仿宋_GB2312"/>
          <w:b/>
          <w:bCs/>
          <w:color w:val="auto"/>
          <w:kern w:val="0"/>
          <w:sz w:val="22"/>
          <w:szCs w:val="22"/>
          <w:highlight w:val="none"/>
          <w:lang w:val="en-US" w:eastAsia="zh-CN"/>
        </w:rPr>
        <w:t>9.生产安全</w:t>
      </w:r>
    </w:p>
    <w:p w14:paraId="4D5745B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2"/>
          <w:sz w:val="22"/>
          <w:szCs w:val="22"/>
          <w:highlight w:val="none"/>
          <w:lang w:val="en-US" w:eastAsia="zh-CN"/>
        </w:rPr>
      </w:pPr>
      <w:r>
        <w:rPr>
          <w:rFonts w:hint="default" w:ascii="仿宋_GB2312" w:hAnsi="Times New Roman" w:eastAsia="仿宋_GB2312" w:cs="仿宋_GB2312"/>
          <w:color w:val="auto"/>
          <w:kern w:val="2"/>
          <w:sz w:val="22"/>
          <w:szCs w:val="22"/>
          <w:highlight w:val="none"/>
          <w:lang w:val="en-US" w:eastAsia="zh-CN"/>
        </w:rPr>
        <w:t>做好电器、设备、液化气、蒸汽及防火、防盗、防毒的安全管理，制</w:t>
      </w:r>
      <w:r>
        <w:rPr>
          <w:rFonts w:hint="eastAsia" w:ascii="仿宋_GB2312" w:hAnsi="Times New Roman" w:eastAsia="仿宋_GB2312" w:cs="仿宋_GB2312"/>
          <w:color w:val="auto"/>
          <w:kern w:val="2"/>
          <w:sz w:val="22"/>
          <w:szCs w:val="22"/>
          <w:highlight w:val="none"/>
          <w:lang w:val="en-US" w:eastAsia="zh-CN"/>
        </w:rPr>
        <w:t>定</w:t>
      </w:r>
      <w:r>
        <w:rPr>
          <w:rFonts w:hint="default" w:ascii="仿宋_GB2312" w:hAnsi="Times New Roman" w:eastAsia="仿宋_GB2312" w:cs="仿宋_GB2312"/>
          <w:color w:val="auto"/>
          <w:kern w:val="2"/>
          <w:sz w:val="22"/>
          <w:szCs w:val="22"/>
          <w:highlight w:val="none"/>
          <w:lang w:val="en-US" w:eastAsia="zh-CN"/>
        </w:rPr>
        <w:t>安全操作规程，定期对员工进行培训，认真做好食堂安全教育，每月召开安全会议，并做好记录。</w:t>
      </w:r>
    </w:p>
    <w:p w14:paraId="655F90F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42" w:firstLineChars="200"/>
        <w:jc w:val="left"/>
        <w:textAlignment w:val="auto"/>
        <w:rPr>
          <w:rFonts w:hint="default" w:ascii="仿宋_GB2312" w:hAnsi="Times New Roman" w:eastAsia="仿宋_GB2312" w:cs="仿宋_GB2312"/>
          <w:color w:val="auto"/>
          <w:kern w:val="2"/>
          <w:sz w:val="22"/>
          <w:szCs w:val="22"/>
          <w:highlight w:val="none"/>
          <w:lang w:val="en-US" w:eastAsia="zh-CN"/>
        </w:rPr>
      </w:pPr>
      <w:r>
        <w:rPr>
          <w:rFonts w:hint="eastAsia" w:ascii="仿宋_GB2312" w:hAnsi="Times New Roman" w:eastAsia="仿宋_GB2312" w:cs="仿宋_GB2312"/>
          <w:b/>
          <w:bCs/>
          <w:color w:val="auto"/>
          <w:kern w:val="0"/>
          <w:sz w:val="22"/>
          <w:szCs w:val="22"/>
          <w:highlight w:val="none"/>
          <w:lang w:val="en-US" w:eastAsia="zh-CN"/>
        </w:rPr>
        <w:t>10.工作纪律</w:t>
      </w:r>
      <w:r>
        <w:rPr>
          <w:rFonts w:hint="default" w:ascii="仿宋_GB2312" w:hAnsi="Times New Roman" w:eastAsia="仿宋_GB2312" w:cs="仿宋_GB2312"/>
          <w:color w:val="auto"/>
          <w:kern w:val="2"/>
          <w:sz w:val="22"/>
          <w:szCs w:val="22"/>
          <w:highlight w:val="none"/>
          <w:lang w:val="en-US" w:eastAsia="zh-CN"/>
        </w:rPr>
        <w:tab/>
      </w:r>
    </w:p>
    <w:p w14:paraId="29DC4C8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2"/>
          <w:sz w:val="22"/>
          <w:szCs w:val="22"/>
          <w:highlight w:val="none"/>
          <w:lang w:val="en-US" w:eastAsia="zh-CN"/>
        </w:rPr>
      </w:pPr>
      <w:r>
        <w:rPr>
          <w:rFonts w:hint="default" w:ascii="仿宋_GB2312" w:hAnsi="Times New Roman" w:eastAsia="仿宋_GB2312" w:cs="仿宋_GB2312"/>
          <w:color w:val="auto"/>
          <w:kern w:val="2"/>
          <w:sz w:val="22"/>
          <w:szCs w:val="22"/>
          <w:highlight w:val="none"/>
          <w:lang w:val="en-US" w:eastAsia="zh-CN"/>
        </w:rPr>
        <w:t>10.1乙方人员遵守规范，不私拿食品原材料（含熟食）与其他物品的。</w:t>
      </w:r>
    </w:p>
    <w:p w14:paraId="169805F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40" w:firstLineChars="200"/>
        <w:jc w:val="left"/>
        <w:textAlignment w:val="auto"/>
        <w:rPr>
          <w:rFonts w:hint="default" w:ascii="仿宋_GB2312" w:hAnsi="Times New Roman" w:eastAsia="仿宋_GB2312" w:cs="仿宋_GB2312"/>
          <w:color w:val="auto"/>
          <w:kern w:val="2"/>
          <w:sz w:val="22"/>
          <w:szCs w:val="22"/>
          <w:highlight w:val="none"/>
          <w:lang w:val="en-US" w:eastAsia="zh-CN"/>
        </w:rPr>
      </w:pPr>
      <w:r>
        <w:rPr>
          <w:rFonts w:hint="default" w:ascii="仿宋_GB2312" w:hAnsi="Times New Roman" w:eastAsia="仿宋_GB2312" w:cs="仿宋_GB2312"/>
          <w:color w:val="auto"/>
          <w:kern w:val="2"/>
          <w:sz w:val="22"/>
          <w:szCs w:val="22"/>
          <w:highlight w:val="none"/>
          <w:lang w:val="en-US" w:eastAsia="zh-CN"/>
        </w:rPr>
        <w:t>10.2下班后及时关灯，离开岗位时关煤气、燃气、水龙头等设备设施。</w:t>
      </w:r>
    </w:p>
    <w:p w14:paraId="5464A7FE">
      <w:pPr>
        <w:spacing w:line="460" w:lineRule="exact"/>
        <w:ind w:firstLine="495"/>
        <w:rPr>
          <w:highlight w:val="none"/>
        </w:rPr>
      </w:pPr>
      <w:r>
        <w:rPr>
          <w:rFonts w:hint="eastAsia" w:ascii="仿宋_GB2312" w:hAnsi="Times New Roman" w:eastAsia="仿宋_GB2312" w:cs="仿宋_GB2312"/>
          <w:color w:val="auto"/>
          <w:kern w:val="2"/>
          <w:sz w:val="24"/>
          <w:szCs w:val="24"/>
          <w:highlight w:val="none"/>
          <w:lang w:val="en-US" w:eastAsia="zh-CN"/>
        </w:rPr>
        <w:t>10.3</w:t>
      </w:r>
      <w:r>
        <w:rPr>
          <w:rFonts w:hint="default" w:ascii="仿宋_GB2312" w:hAnsi="Times New Roman" w:eastAsia="仿宋_GB2312" w:cs="仿宋_GB2312"/>
          <w:color w:val="auto"/>
          <w:kern w:val="2"/>
          <w:sz w:val="24"/>
          <w:szCs w:val="24"/>
          <w:highlight w:val="none"/>
          <w:lang w:val="en-US" w:eastAsia="zh-CN"/>
        </w:rPr>
        <w:t>乙方人员</w:t>
      </w:r>
      <w:r>
        <w:rPr>
          <w:rFonts w:hint="eastAsia" w:ascii="仿宋_GB2312" w:hAnsi="Times New Roman" w:eastAsia="仿宋_GB2312" w:cs="仿宋_GB2312"/>
          <w:color w:val="auto"/>
          <w:kern w:val="2"/>
          <w:sz w:val="24"/>
          <w:szCs w:val="24"/>
          <w:highlight w:val="none"/>
          <w:lang w:val="en-US" w:eastAsia="zh-CN"/>
        </w:rPr>
        <w:t>不接受供货商等相关人员礼品、回扣等。</w:t>
      </w:r>
    </w:p>
    <w:p w14:paraId="5C71C0DC">
      <w:pPr>
        <w:rPr>
          <w:rFonts w:ascii="仿宋" w:hAnsi="仿宋" w:eastAsia="仿宋" w:cs="仿宋"/>
          <w:highlight w:val="none"/>
        </w:rPr>
      </w:pPr>
    </w:p>
    <w:p w14:paraId="5C725DCE">
      <w:pPr>
        <w:autoSpaceDE w:val="0"/>
        <w:autoSpaceDN w:val="0"/>
        <w:spacing w:line="360" w:lineRule="exact"/>
        <w:ind w:firstLine="767" w:firstLineChars="273"/>
        <w:jc w:val="center"/>
        <w:rPr>
          <w:rFonts w:hAnsi="宋体"/>
          <w:b/>
          <w:sz w:val="28"/>
          <w:szCs w:val="28"/>
          <w:highlight w:val="none"/>
        </w:rPr>
        <w:sectPr>
          <w:footerReference r:id="rId9" w:type="default"/>
          <w:pgSz w:w="11906" w:h="16838"/>
          <w:pgMar w:top="1247" w:right="1361" w:bottom="1247" w:left="1361" w:header="851" w:footer="850" w:gutter="0"/>
          <w:pgNumType w:fmt="decimal"/>
          <w:cols w:space="0" w:num="1"/>
          <w:rtlGutter w:val="0"/>
          <w:docGrid w:type="lines" w:linePitch="316" w:charSpace="0"/>
        </w:sectPr>
      </w:pPr>
    </w:p>
    <w:p w14:paraId="3349984C">
      <w:pPr>
        <w:spacing w:line="360" w:lineRule="auto"/>
        <w:jc w:val="center"/>
        <w:outlineLvl w:val="0"/>
        <w:rPr>
          <w:rFonts w:asciiTheme="minorEastAsia" w:hAnsiTheme="minorEastAsia" w:eastAsiaTheme="minorEastAsia"/>
          <w:b/>
          <w:sz w:val="36"/>
          <w:szCs w:val="36"/>
          <w:highlight w:val="none"/>
        </w:rPr>
      </w:pPr>
      <w:bookmarkStart w:id="44" w:name="_Toc2047"/>
      <w:r>
        <w:rPr>
          <w:rFonts w:hint="eastAsia" w:asciiTheme="minorEastAsia" w:hAnsiTheme="minorEastAsia" w:eastAsiaTheme="minorEastAsia"/>
          <w:b/>
          <w:sz w:val="36"/>
          <w:szCs w:val="36"/>
          <w:highlight w:val="none"/>
        </w:rPr>
        <w:t>第六章 投标文件格式</w:t>
      </w:r>
      <w:bookmarkEnd w:id="44"/>
    </w:p>
    <w:p w14:paraId="1F52E2C9">
      <w:pPr>
        <w:rPr>
          <w:rFonts w:ascii="宋体" w:hAnsi="宋体"/>
          <w:b/>
          <w:sz w:val="30"/>
          <w:szCs w:val="30"/>
          <w:highlight w:val="none"/>
        </w:rPr>
      </w:pPr>
    </w:p>
    <w:p w14:paraId="70D3D0BD">
      <w:pPr>
        <w:rPr>
          <w:rFonts w:ascii="宋体" w:hAnsi="宋体"/>
          <w:b/>
          <w:kern w:val="0"/>
          <w:sz w:val="28"/>
          <w:szCs w:val="28"/>
          <w:highlight w:val="none"/>
        </w:rPr>
      </w:pPr>
      <w:r>
        <w:rPr>
          <w:rFonts w:hint="eastAsia" w:ascii="宋体" w:hAnsi="宋体"/>
          <w:b/>
          <w:sz w:val="30"/>
          <w:szCs w:val="30"/>
          <w:highlight w:val="none"/>
        </w:rPr>
        <w:t xml:space="preserve">                             </w:t>
      </w:r>
      <w:r>
        <w:rPr>
          <w:rFonts w:hint="eastAsia" w:ascii="宋体" w:hAnsi="宋体"/>
          <w:sz w:val="30"/>
          <w:szCs w:val="30"/>
          <w:highlight w:val="none"/>
        </w:rPr>
        <w:t xml:space="preserve"> 　　　</w:t>
      </w:r>
      <w:r>
        <w:rPr>
          <w:rFonts w:hint="eastAsia" w:ascii="宋体" w:hAnsi="宋体"/>
          <w:b/>
          <w:sz w:val="28"/>
          <w:highlight w:val="none"/>
        </w:rPr>
        <w:t xml:space="preserve">        </w:t>
      </w:r>
    </w:p>
    <w:p w14:paraId="3D3BB778">
      <w:pPr>
        <w:spacing w:line="360" w:lineRule="auto"/>
        <w:rPr>
          <w:rFonts w:asciiTheme="minorEastAsia" w:hAnsiTheme="minorEastAsia" w:eastAsiaTheme="minorEastAsia"/>
          <w:b/>
          <w:sz w:val="30"/>
          <w:szCs w:val="30"/>
          <w:highlight w:val="none"/>
        </w:rPr>
      </w:pPr>
    </w:p>
    <w:p w14:paraId="40915E34">
      <w:pPr>
        <w:jc w:val="center"/>
        <w:rPr>
          <w:rFonts w:hint="eastAsia" w:eastAsia="宋体"/>
          <w:sz w:val="44"/>
          <w:szCs w:val="44"/>
          <w:highlight w:val="none"/>
          <w:lang w:eastAsia="zh-CN"/>
        </w:rPr>
      </w:pPr>
      <w:r>
        <w:rPr>
          <w:rFonts w:hint="eastAsia"/>
          <w:sz w:val="44"/>
          <w:szCs w:val="44"/>
          <w:highlight w:val="none"/>
          <w:lang w:eastAsia="zh-CN"/>
        </w:rPr>
        <w:t>台州市文华小学食堂委托管理服务项目</w:t>
      </w:r>
    </w:p>
    <w:p w14:paraId="2146CBB5">
      <w:pPr>
        <w:spacing w:before="312" w:beforeLines="100" w:line="360" w:lineRule="auto"/>
        <w:ind w:right="-108"/>
        <w:jc w:val="center"/>
        <w:rPr>
          <w:rFonts w:hint="eastAsia" w:ascii="宋体" w:hAnsi="宋体" w:eastAsia="宋体"/>
          <w:sz w:val="36"/>
          <w:szCs w:val="36"/>
          <w:highlight w:val="none"/>
          <w:lang w:eastAsia="zh-CN"/>
        </w:rPr>
      </w:pPr>
      <w:r>
        <w:rPr>
          <w:rFonts w:hint="eastAsia" w:ascii="宋体" w:hAnsi="宋体"/>
          <w:sz w:val="36"/>
          <w:szCs w:val="36"/>
          <w:highlight w:val="none"/>
        </w:rPr>
        <w:t>项目编号：</w:t>
      </w:r>
      <w:r>
        <w:rPr>
          <w:rFonts w:hint="eastAsia" w:ascii="宋体" w:hAnsi="宋体"/>
          <w:sz w:val="36"/>
          <w:szCs w:val="36"/>
          <w:highlight w:val="none"/>
          <w:lang w:eastAsia="zh-CN"/>
        </w:rPr>
        <w:t>TZYY-2507-008号</w:t>
      </w:r>
    </w:p>
    <w:p w14:paraId="30FCEF93">
      <w:pPr>
        <w:pStyle w:val="2"/>
        <w:rPr>
          <w:highlight w:val="none"/>
        </w:rPr>
      </w:pPr>
    </w:p>
    <w:p w14:paraId="6EB0E2E1">
      <w:pPr>
        <w:jc w:val="center"/>
        <w:rPr>
          <w:sz w:val="84"/>
          <w:szCs w:val="84"/>
          <w:highlight w:val="none"/>
          <w:lang w:val="zh-CN"/>
        </w:rPr>
      </w:pPr>
      <w:r>
        <w:rPr>
          <w:rFonts w:hint="eastAsia"/>
          <w:sz w:val="84"/>
          <w:szCs w:val="84"/>
          <w:highlight w:val="none"/>
          <w:lang w:val="zh-CN"/>
        </w:rPr>
        <w:t>投</w:t>
      </w:r>
    </w:p>
    <w:p w14:paraId="2399FB6C">
      <w:pPr>
        <w:jc w:val="center"/>
        <w:rPr>
          <w:sz w:val="84"/>
          <w:szCs w:val="84"/>
          <w:highlight w:val="none"/>
          <w:lang w:val="zh-CN"/>
        </w:rPr>
      </w:pPr>
      <w:r>
        <w:rPr>
          <w:rFonts w:hint="eastAsia"/>
          <w:sz w:val="84"/>
          <w:szCs w:val="84"/>
          <w:highlight w:val="none"/>
          <w:lang w:val="zh-CN"/>
        </w:rPr>
        <w:t>标</w:t>
      </w:r>
    </w:p>
    <w:p w14:paraId="05E199C2">
      <w:pPr>
        <w:jc w:val="center"/>
        <w:rPr>
          <w:sz w:val="84"/>
          <w:szCs w:val="84"/>
          <w:highlight w:val="none"/>
        </w:rPr>
      </w:pPr>
      <w:r>
        <w:rPr>
          <w:rFonts w:hint="eastAsia"/>
          <w:sz w:val="84"/>
          <w:szCs w:val="84"/>
          <w:highlight w:val="none"/>
          <w:lang w:val="zh-CN"/>
        </w:rPr>
        <w:t>文</w:t>
      </w:r>
    </w:p>
    <w:p w14:paraId="1673F373">
      <w:pPr>
        <w:jc w:val="center"/>
        <w:rPr>
          <w:sz w:val="84"/>
          <w:szCs w:val="84"/>
          <w:highlight w:val="none"/>
          <w:lang w:val="zh-CN"/>
        </w:rPr>
      </w:pPr>
      <w:r>
        <w:rPr>
          <w:rFonts w:hint="eastAsia"/>
          <w:sz w:val="84"/>
          <w:szCs w:val="84"/>
          <w:highlight w:val="none"/>
          <w:lang w:val="zh-CN"/>
        </w:rPr>
        <w:t>件</w:t>
      </w:r>
    </w:p>
    <w:p w14:paraId="539A5A50">
      <w:pPr>
        <w:spacing w:after="100" w:afterAutospacing="1" w:line="360" w:lineRule="auto"/>
        <w:ind w:right="-108"/>
        <w:jc w:val="center"/>
        <w:rPr>
          <w:rFonts w:ascii="宋体" w:hAnsi="宋体"/>
          <w:b/>
          <w:sz w:val="28"/>
          <w:szCs w:val="28"/>
          <w:highlight w:val="none"/>
        </w:rPr>
      </w:pPr>
      <w:r>
        <w:rPr>
          <w:rFonts w:hint="eastAsia" w:ascii="宋体" w:hAnsi="宋体" w:cs="宋体"/>
          <w:sz w:val="28"/>
          <w:szCs w:val="28"/>
          <w:highlight w:val="none"/>
          <w:lang w:val="zh-CN"/>
        </w:rPr>
        <w:t>（</w:t>
      </w:r>
      <w:r>
        <w:rPr>
          <w:rFonts w:hint="eastAsia" w:ascii="宋体" w:hAnsi="宋体"/>
          <w:b/>
          <w:sz w:val="28"/>
          <w:szCs w:val="28"/>
          <w:highlight w:val="none"/>
        </w:rPr>
        <w:t>资格标）</w:t>
      </w:r>
    </w:p>
    <w:p w14:paraId="3271BE84">
      <w:pPr>
        <w:pStyle w:val="2"/>
        <w:rPr>
          <w:highlight w:val="none"/>
        </w:rPr>
      </w:pPr>
    </w:p>
    <w:p w14:paraId="768C28F1">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投标人全称：</w:t>
      </w:r>
    </w:p>
    <w:p w14:paraId="3D7ADB17">
      <w:pPr>
        <w:spacing w:line="360" w:lineRule="auto"/>
        <w:ind w:right="532" w:firstLine="640" w:firstLineChars="200"/>
        <w:rPr>
          <w:rFonts w:ascii="宋体" w:hAnsi="宋体"/>
          <w:sz w:val="32"/>
          <w:szCs w:val="32"/>
          <w:highlight w:val="none"/>
        </w:rPr>
      </w:pPr>
    </w:p>
    <w:p w14:paraId="3F649409">
      <w:pPr>
        <w:snapToGrid w:val="0"/>
        <w:spacing w:before="50" w:after="50" w:line="360" w:lineRule="auto"/>
        <w:rPr>
          <w:rFonts w:ascii="仿宋_GB2312" w:hAnsi="宋体" w:eastAsia="仿宋_GB2312"/>
          <w:b/>
          <w:sz w:val="36"/>
          <w:szCs w:val="36"/>
          <w:highlight w:val="none"/>
        </w:rPr>
      </w:pPr>
    </w:p>
    <w:p w14:paraId="0C74035C">
      <w:pPr>
        <w:pStyle w:val="11"/>
        <w:rPr>
          <w:rFonts w:ascii="仿宋_GB2312" w:hAnsi="宋体" w:eastAsia="仿宋_GB2312"/>
          <w:b/>
          <w:sz w:val="36"/>
          <w:szCs w:val="36"/>
          <w:highlight w:val="none"/>
        </w:rPr>
      </w:pPr>
    </w:p>
    <w:p w14:paraId="7B458D5A">
      <w:pPr>
        <w:pStyle w:val="25"/>
        <w:ind w:firstLine="480"/>
        <w:rPr>
          <w:highlight w:val="none"/>
        </w:rPr>
      </w:pPr>
    </w:p>
    <w:p w14:paraId="1A649C53">
      <w:pPr>
        <w:pStyle w:val="7"/>
        <w:rPr>
          <w:rFonts w:ascii="仿宋_GB2312" w:hAnsi="宋体" w:eastAsia="仿宋_GB2312"/>
          <w:b/>
          <w:sz w:val="36"/>
          <w:szCs w:val="36"/>
          <w:highlight w:val="none"/>
        </w:rPr>
      </w:pPr>
    </w:p>
    <w:p w14:paraId="055ADA27">
      <w:pPr>
        <w:spacing w:line="360" w:lineRule="auto"/>
        <w:jc w:val="center"/>
        <w:rPr>
          <w:b/>
          <w:bCs/>
          <w:sz w:val="36"/>
          <w:szCs w:val="36"/>
          <w:highlight w:val="none"/>
        </w:rPr>
      </w:pPr>
      <w:r>
        <w:rPr>
          <w:rFonts w:hint="eastAsia"/>
          <w:b/>
          <w:bCs/>
          <w:sz w:val="36"/>
          <w:szCs w:val="36"/>
          <w:highlight w:val="none"/>
        </w:rPr>
        <w:t>资格标目录</w:t>
      </w:r>
    </w:p>
    <w:p w14:paraId="44092076">
      <w:pPr>
        <w:spacing w:line="360" w:lineRule="auto"/>
        <w:ind w:firstLine="560" w:firstLineChars="200"/>
        <w:rPr>
          <w:sz w:val="28"/>
          <w:szCs w:val="36"/>
          <w:highlight w:val="none"/>
        </w:rPr>
      </w:pPr>
    </w:p>
    <w:p w14:paraId="58FE1DEA">
      <w:pPr>
        <w:numPr>
          <w:ilvl w:val="0"/>
          <w:numId w:val="71"/>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投标声明书（附件</w:t>
      </w:r>
      <w:r>
        <w:rPr>
          <w:rFonts w:hint="eastAsia" w:ascii="宋体" w:hAnsi="宋体" w:cs="宋体"/>
          <w:sz w:val="24"/>
          <w:highlight w:val="none"/>
          <w:lang w:val="en-US" w:eastAsia="zh-CN"/>
        </w:rPr>
        <w:t>一</w:t>
      </w:r>
      <w:r>
        <w:rPr>
          <w:rFonts w:hint="eastAsia" w:ascii="宋体" w:hAnsi="宋体" w:cs="宋体"/>
          <w:sz w:val="24"/>
          <w:highlight w:val="none"/>
        </w:rPr>
        <w:t>）；</w:t>
      </w:r>
    </w:p>
    <w:p w14:paraId="3FEF2945">
      <w:pPr>
        <w:numPr>
          <w:ilvl w:val="0"/>
          <w:numId w:val="71"/>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授权委托书（法定代表人亲自办理投标事宜的，则无需提交；附件</w:t>
      </w:r>
      <w:r>
        <w:rPr>
          <w:rFonts w:hint="eastAsia" w:ascii="宋体" w:hAnsi="宋体" w:cs="宋体"/>
          <w:sz w:val="24"/>
          <w:highlight w:val="none"/>
          <w:lang w:val="en-US" w:eastAsia="zh-CN"/>
        </w:rPr>
        <w:t>二</w:t>
      </w:r>
      <w:r>
        <w:rPr>
          <w:rFonts w:hint="eastAsia" w:ascii="宋体" w:hAnsi="宋体" w:cs="宋体"/>
          <w:sz w:val="24"/>
          <w:highlight w:val="none"/>
        </w:rPr>
        <w:t>）；</w:t>
      </w:r>
    </w:p>
    <w:p w14:paraId="6B4B5D1C">
      <w:pPr>
        <w:numPr>
          <w:ilvl w:val="0"/>
          <w:numId w:val="71"/>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法人或者其他组织的营业执照等证明文件，自然人的身份证明；</w:t>
      </w:r>
    </w:p>
    <w:p w14:paraId="3799E01C">
      <w:pPr>
        <w:numPr>
          <w:ilvl w:val="0"/>
          <w:numId w:val="71"/>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lang w:val="en-US" w:eastAsia="zh-CN"/>
        </w:rPr>
        <w:t>食品经营许可证；</w:t>
      </w:r>
    </w:p>
    <w:p w14:paraId="303402EB">
      <w:pPr>
        <w:numPr>
          <w:ilvl w:val="0"/>
          <w:numId w:val="71"/>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具有依法缴纳税收和社会保障资金证明的承诺函（附件</w:t>
      </w:r>
      <w:r>
        <w:rPr>
          <w:rFonts w:hint="eastAsia" w:ascii="宋体" w:hAnsi="宋体" w:cs="宋体"/>
          <w:sz w:val="24"/>
          <w:highlight w:val="none"/>
          <w:lang w:val="en-US" w:eastAsia="zh-CN"/>
        </w:rPr>
        <w:t>三</w:t>
      </w:r>
      <w:r>
        <w:rPr>
          <w:rFonts w:hint="eastAsia" w:ascii="宋体" w:hAnsi="宋体" w:cs="宋体"/>
          <w:sz w:val="24"/>
          <w:highlight w:val="none"/>
        </w:rPr>
        <w:t>）；</w:t>
      </w:r>
    </w:p>
    <w:p w14:paraId="6CAC4609">
      <w:pPr>
        <w:numPr>
          <w:ilvl w:val="0"/>
          <w:numId w:val="71"/>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具有良好的商业信誉和健全的财务会计制度的承诺函（附件</w:t>
      </w:r>
      <w:r>
        <w:rPr>
          <w:rFonts w:hint="eastAsia" w:ascii="宋体" w:hAnsi="宋体" w:cs="宋体"/>
          <w:sz w:val="24"/>
          <w:highlight w:val="none"/>
          <w:lang w:val="en-US" w:eastAsia="zh-CN"/>
        </w:rPr>
        <w:t>四</w:t>
      </w:r>
      <w:r>
        <w:rPr>
          <w:rFonts w:hint="eastAsia" w:ascii="宋体" w:hAnsi="宋体" w:cs="宋体"/>
          <w:sz w:val="24"/>
          <w:highlight w:val="none"/>
        </w:rPr>
        <w:t>）；</w:t>
      </w:r>
    </w:p>
    <w:p w14:paraId="31A01A60">
      <w:pPr>
        <w:numPr>
          <w:ilvl w:val="0"/>
          <w:numId w:val="71"/>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具有履行合同所</w:t>
      </w:r>
      <w:r>
        <w:rPr>
          <w:rFonts w:hint="eastAsia" w:ascii="宋体" w:hAnsi="宋体" w:cs="宋体"/>
          <w:sz w:val="24"/>
          <w:highlight w:val="none"/>
          <w:lang w:eastAsia="zh-CN"/>
        </w:rPr>
        <w:t>必需的设备</w:t>
      </w:r>
      <w:r>
        <w:rPr>
          <w:rFonts w:hint="eastAsia" w:ascii="宋体" w:hAnsi="宋体" w:cs="宋体"/>
          <w:sz w:val="24"/>
          <w:highlight w:val="none"/>
        </w:rPr>
        <w:t>和专业技术能力的承诺函（附件</w:t>
      </w:r>
      <w:r>
        <w:rPr>
          <w:rFonts w:hint="eastAsia" w:ascii="宋体" w:hAnsi="宋体" w:cs="宋体"/>
          <w:sz w:val="24"/>
          <w:highlight w:val="none"/>
          <w:lang w:val="en-US" w:eastAsia="zh-CN"/>
        </w:rPr>
        <w:t>五</w:t>
      </w:r>
      <w:r>
        <w:rPr>
          <w:rFonts w:hint="eastAsia" w:ascii="宋体" w:hAnsi="宋体" w:cs="宋体"/>
          <w:sz w:val="24"/>
          <w:highlight w:val="none"/>
        </w:rPr>
        <w:t>）；</w:t>
      </w:r>
    </w:p>
    <w:p w14:paraId="1C2066B2">
      <w:pPr>
        <w:numPr>
          <w:ilvl w:val="0"/>
          <w:numId w:val="71"/>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需要说明的其他资料。</w:t>
      </w:r>
    </w:p>
    <w:p w14:paraId="78E9A878">
      <w:pPr>
        <w:spacing w:line="360" w:lineRule="auto"/>
        <w:rPr>
          <w:rFonts w:ascii="宋体" w:hAnsi="宋体"/>
          <w:b/>
          <w:sz w:val="28"/>
          <w:highlight w:val="none"/>
        </w:rPr>
      </w:pPr>
    </w:p>
    <w:p w14:paraId="1769C933">
      <w:pPr>
        <w:spacing w:line="360" w:lineRule="auto"/>
        <w:ind w:left="420"/>
        <w:rPr>
          <w:rFonts w:ascii="宋体" w:hAnsi="宋体"/>
          <w:b/>
          <w:sz w:val="28"/>
          <w:highlight w:val="none"/>
        </w:rPr>
      </w:pPr>
    </w:p>
    <w:p w14:paraId="0DBBEAB4">
      <w:pPr>
        <w:pStyle w:val="36"/>
        <w:rPr>
          <w:rFonts w:ascii="宋体" w:hAnsi="宋体"/>
          <w:b/>
          <w:sz w:val="28"/>
          <w:highlight w:val="none"/>
        </w:rPr>
      </w:pPr>
    </w:p>
    <w:p w14:paraId="0729B993">
      <w:pPr>
        <w:pStyle w:val="36"/>
        <w:rPr>
          <w:rFonts w:ascii="宋体" w:hAnsi="宋体"/>
          <w:b/>
          <w:sz w:val="28"/>
          <w:highlight w:val="none"/>
        </w:rPr>
      </w:pPr>
    </w:p>
    <w:p w14:paraId="70BD08D9">
      <w:pPr>
        <w:spacing w:line="360" w:lineRule="auto"/>
        <w:ind w:left="420"/>
        <w:rPr>
          <w:rFonts w:ascii="宋体" w:hAnsi="宋体"/>
          <w:b/>
          <w:sz w:val="28"/>
          <w:highlight w:val="none"/>
        </w:rPr>
      </w:pPr>
    </w:p>
    <w:p w14:paraId="528E53A3">
      <w:pPr>
        <w:spacing w:line="360" w:lineRule="auto"/>
        <w:ind w:left="420"/>
        <w:rPr>
          <w:rFonts w:ascii="宋体" w:hAnsi="宋体"/>
          <w:b/>
          <w:sz w:val="28"/>
          <w:highlight w:val="none"/>
        </w:rPr>
      </w:pPr>
    </w:p>
    <w:p w14:paraId="347CA537">
      <w:pPr>
        <w:spacing w:line="360" w:lineRule="auto"/>
        <w:ind w:left="420"/>
        <w:rPr>
          <w:rFonts w:ascii="宋体" w:hAnsi="宋体"/>
          <w:b/>
          <w:sz w:val="28"/>
          <w:highlight w:val="none"/>
        </w:rPr>
      </w:pPr>
    </w:p>
    <w:p w14:paraId="557B5BD2">
      <w:pPr>
        <w:spacing w:line="360" w:lineRule="auto"/>
        <w:ind w:left="420"/>
        <w:rPr>
          <w:rFonts w:ascii="宋体" w:hAnsi="宋体"/>
          <w:b/>
          <w:sz w:val="28"/>
          <w:highlight w:val="none"/>
        </w:rPr>
      </w:pPr>
    </w:p>
    <w:p w14:paraId="16B091D5">
      <w:pPr>
        <w:spacing w:line="360" w:lineRule="auto"/>
        <w:rPr>
          <w:rFonts w:ascii="宋体" w:hAnsi="宋体"/>
          <w:b/>
          <w:sz w:val="28"/>
          <w:highlight w:val="none"/>
        </w:rPr>
      </w:pPr>
    </w:p>
    <w:p w14:paraId="267658A4">
      <w:pPr>
        <w:pStyle w:val="4"/>
        <w:numPr>
          <w:ilvl w:val="0"/>
          <w:numId w:val="0"/>
        </w:numPr>
        <w:ind w:left="425"/>
        <w:jc w:val="both"/>
        <w:outlineLvl w:val="9"/>
        <w:rPr>
          <w:highlight w:val="none"/>
        </w:rPr>
      </w:pPr>
    </w:p>
    <w:p w14:paraId="30683E58">
      <w:pPr>
        <w:rPr>
          <w:highlight w:val="none"/>
        </w:rPr>
      </w:pPr>
    </w:p>
    <w:p w14:paraId="02CC641D">
      <w:pPr>
        <w:pStyle w:val="7"/>
        <w:rPr>
          <w:rFonts w:ascii="宋体" w:hAnsi="宋体"/>
          <w:b/>
          <w:sz w:val="28"/>
          <w:highlight w:val="none"/>
        </w:rPr>
      </w:pPr>
    </w:p>
    <w:p w14:paraId="01541F46">
      <w:pPr>
        <w:pStyle w:val="7"/>
        <w:rPr>
          <w:rFonts w:ascii="宋体" w:hAnsi="宋体"/>
          <w:b/>
          <w:sz w:val="28"/>
          <w:highlight w:val="none"/>
        </w:rPr>
      </w:pPr>
    </w:p>
    <w:p w14:paraId="396D624D">
      <w:pPr>
        <w:pStyle w:val="7"/>
        <w:rPr>
          <w:rFonts w:ascii="宋体" w:hAnsi="宋体"/>
          <w:b/>
          <w:sz w:val="28"/>
          <w:highlight w:val="none"/>
        </w:rPr>
      </w:pPr>
    </w:p>
    <w:p w14:paraId="29FCE7D7">
      <w:pPr>
        <w:rPr>
          <w:rFonts w:hint="eastAsia" w:ascii="宋体" w:hAnsi="宋体"/>
          <w:b/>
          <w:sz w:val="28"/>
          <w:highlight w:val="none"/>
        </w:rPr>
      </w:pPr>
      <w:r>
        <w:rPr>
          <w:rFonts w:hint="eastAsia" w:ascii="宋体" w:hAnsi="宋体"/>
          <w:b/>
          <w:sz w:val="28"/>
          <w:highlight w:val="none"/>
        </w:rPr>
        <w:br w:type="page"/>
      </w:r>
    </w:p>
    <w:p w14:paraId="209CFE39">
      <w:pPr>
        <w:spacing w:line="312" w:lineRule="auto"/>
        <w:rPr>
          <w:rFonts w:hint="eastAsia" w:ascii="宋体" w:hAnsi="宋体" w:eastAsia="宋体"/>
          <w:b/>
          <w:sz w:val="28"/>
          <w:highlight w:val="none"/>
          <w:lang w:eastAsia="zh-CN"/>
        </w:rPr>
      </w:pPr>
      <w:r>
        <w:rPr>
          <w:rFonts w:hint="eastAsia" w:ascii="宋体" w:hAnsi="宋体"/>
          <w:b/>
          <w:sz w:val="28"/>
          <w:highlight w:val="none"/>
        </w:rPr>
        <w:t>附件</w:t>
      </w:r>
      <w:r>
        <w:rPr>
          <w:rFonts w:hint="eastAsia" w:ascii="宋体" w:hAnsi="宋体"/>
          <w:b/>
          <w:sz w:val="28"/>
          <w:highlight w:val="none"/>
          <w:lang w:val="en-US" w:eastAsia="zh-CN"/>
        </w:rPr>
        <w:t>一</w:t>
      </w:r>
    </w:p>
    <w:p w14:paraId="0A5CA74A">
      <w:pPr>
        <w:adjustRightInd w:val="0"/>
        <w:snapToGrid w:val="0"/>
        <w:spacing w:line="312" w:lineRule="auto"/>
        <w:ind w:right="480"/>
        <w:jc w:val="center"/>
        <w:rPr>
          <w:rFonts w:ascii="宋体" w:hAnsi="宋体"/>
          <w:b/>
          <w:kern w:val="0"/>
          <w:sz w:val="32"/>
          <w:szCs w:val="32"/>
          <w:highlight w:val="none"/>
          <w:lang w:val="zh-CN"/>
        </w:rPr>
      </w:pPr>
      <w:bookmarkStart w:id="45" w:name="_Toc30723_WPSOffice_Level1"/>
      <w:bookmarkStart w:id="46" w:name="_Toc31708_WPSOffice_Level1"/>
      <w:r>
        <w:rPr>
          <w:rFonts w:hint="eastAsia" w:ascii="宋体" w:hAnsi="宋体"/>
          <w:b/>
          <w:kern w:val="0"/>
          <w:sz w:val="32"/>
          <w:szCs w:val="32"/>
          <w:highlight w:val="none"/>
          <w:lang w:val="zh-CN"/>
        </w:rPr>
        <w:t>投标声明书</w:t>
      </w:r>
      <w:bookmarkEnd w:id="45"/>
      <w:bookmarkEnd w:id="46"/>
    </w:p>
    <w:p w14:paraId="5405AB27">
      <w:pPr>
        <w:snapToGrid w:val="0"/>
        <w:spacing w:before="156" w:beforeLines="50" w:after="50" w:line="312" w:lineRule="auto"/>
        <w:rPr>
          <w:rFonts w:ascii="宋体" w:hAnsi="宋体" w:cs="宋体"/>
          <w:kern w:val="0"/>
          <w:sz w:val="24"/>
          <w:highlight w:val="none"/>
        </w:rPr>
      </w:pPr>
      <w:r>
        <w:rPr>
          <w:rFonts w:hint="eastAsia" w:ascii="宋体" w:hAnsi="宋体" w:cs="宋体"/>
          <w:kern w:val="0"/>
          <w:sz w:val="24"/>
          <w:highlight w:val="none"/>
          <w:u w:val="single"/>
          <w:lang w:eastAsia="zh-CN"/>
        </w:rPr>
        <w:t>台州市文华小学</w:t>
      </w:r>
      <w:r>
        <w:rPr>
          <w:rFonts w:hint="eastAsia" w:ascii="宋体" w:hAnsi="宋体" w:cs="宋体"/>
          <w:kern w:val="0"/>
          <w:sz w:val="24"/>
          <w:highlight w:val="none"/>
        </w:rPr>
        <w:t>：</w:t>
      </w:r>
    </w:p>
    <w:p w14:paraId="0F1E0DF1">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我公司自愿参加贵方组织的</w:t>
      </w:r>
      <w:r>
        <w:rPr>
          <w:rFonts w:hint="eastAsia" w:ascii="宋体" w:hAnsi="宋体" w:cs="宋体"/>
          <w:kern w:val="0"/>
          <w:sz w:val="24"/>
          <w:highlight w:val="none"/>
          <w:u w:val="single"/>
          <w:lang w:eastAsia="zh-CN"/>
        </w:rPr>
        <w:t>台州市文华小学食堂委托管理服务项目</w:t>
      </w:r>
      <w:r>
        <w:rPr>
          <w:rFonts w:hint="eastAsia" w:ascii="宋体" w:hAnsi="宋体" w:cs="宋体"/>
          <w:kern w:val="0"/>
          <w:sz w:val="24"/>
          <w:highlight w:val="none"/>
        </w:rPr>
        <w:t>（编号为</w:t>
      </w:r>
      <w:r>
        <w:rPr>
          <w:rFonts w:hint="eastAsia" w:ascii="宋体" w:hAnsi="宋体" w:cs="宋体"/>
          <w:kern w:val="0"/>
          <w:sz w:val="24"/>
          <w:highlight w:val="none"/>
          <w:u w:val="single"/>
          <w:lang w:eastAsia="zh-CN"/>
        </w:rPr>
        <w:t>TZYY-2507-008号</w:t>
      </w:r>
      <w:r>
        <w:rPr>
          <w:rFonts w:hint="eastAsia" w:ascii="宋体" w:hAnsi="宋体" w:cs="宋体"/>
          <w:kern w:val="0"/>
          <w:sz w:val="24"/>
          <w:highlight w:val="none"/>
        </w:rPr>
        <w:t>）的投标，为此，我公司就本次投标有关事项郑重声明如下：</w:t>
      </w:r>
    </w:p>
    <w:p w14:paraId="0F9053BE">
      <w:pPr>
        <w:numPr>
          <w:ilvl w:val="0"/>
          <w:numId w:val="72"/>
        </w:numPr>
        <w:snapToGrid w:val="0"/>
        <w:spacing w:line="360" w:lineRule="auto"/>
        <w:ind w:left="5" w:firstLine="415"/>
        <w:rPr>
          <w:rFonts w:ascii="宋体" w:hAnsi="宋体" w:cs="宋体"/>
          <w:kern w:val="0"/>
          <w:sz w:val="24"/>
          <w:highlight w:val="none"/>
        </w:rPr>
      </w:pPr>
      <w:r>
        <w:rPr>
          <w:rFonts w:hint="eastAsia" w:ascii="宋体" w:hAnsi="宋体" w:cs="宋体"/>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3A973259">
      <w:pPr>
        <w:numPr>
          <w:ilvl w:val="0"/>
          <w:numId w:val="72"/>
        </w:numPr>
        <w:snapToGrid w:val="0"/>
        <w:spacing w:line="360" w:lineRule="auto"/>
        <w:ind w:left="5" w:firstLine="415"/>
        <w:rPr>
          <w:rFonts w:ascii="宋体" w:hAnsi="宋体" w:cs="宋体"/>
          <w:kern w:val="0"/>
          <w:sz w:val="24"/>
          <w:highlight w:val="none"/>
        </w:rPr>
      </w:pPr>
      <w:r>
        <w:rPr>
          <w:rFonts w:hint="eastAsia" w:ascii="宋体" w:hAnsi="宋体" w:cs="宋体"/>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02EF4DFF">
      <w:pPr>
        <w:numPr>
          <w:ilvl w:val="0"/>
          <w:numId w:val="72"/>
        </w:numPr>
        <w:snapToGrid w:val="0"/>
        <w:spacing w:line="360" w:lineRule="auto"/>
        <w:ind w:left="5" w:firstLine="415"/>
        <w:rPr>
          <w:rFonts w:ascii="宋体" w:hAnsi="宋体"/>
          <w:kern w:val="0"/>
          <w:sz w:val="24"/>
          <w:highlight w:val="none"/>
          <w:lang w:val="af-ZA"/>
        </w:rPr>
      </w:pP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cs="宋体"/>
          <w:kern w:val="0"/>
          <w:sz w:val="24"/>
          <w:highlight w:val="none"/>
        </w:rPr>
        <w:t>保证，</w:t>
      </w:r>
      <w:r>
        <w:rPr>
          <w:rFonts w:hint="eastAsia" w:ascii="宋体" w:hAnsi="宋体"/>
          <w:kern w:val="0"/>
          <w:sz w:val="24"/>
          <w:highlight w:val="none"/>
          <w:lang w:val="af-ZA"/>
        </w:rPr>
        <w:t>采购人在中华人民共和国境内使用</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kern w:val="0"/>
          <w:sz w:val="24"/>
          <w:highlight w:val="none"/>
          <w:lang w:val="af-ZA"/>
        </w:rPr>
        <w:t>投标货物、资料、技术、服务或其任何一部分时，享有不受限制的无偿使用权，如有第三方向采购人提出侵犯其专利权、商标权或</w:t>
      </w:r>
      <w:r>
        <w:rPr>
          <w:rFonts w:hint="eastAsia" w:ascii="宋体" w:hAnsi="宋体"/>
          <w:kern w:val="0"/>
          <w:sz w:val="24"/>
          <w:highlight w:val="none"/>
          <w:lang w:val="af-ZA" w:eastAsia="zh-CN"/>
        </w:rPr>
        <w:t>其他</w:t>
      </w:r>
      <w:r>
        <w:rPr>
          <w:rFonts w:hint="eastAsia" w:ascii="宋体" w:hAnsi="宋体"/>
          <w:kern w:val="0"/>
          <w:sz w:val="24"/>
          <w:highlight w:val="none"/>
          <w:lang w:val="af-ZA"/>
        </w:rPr>
        <w:t>知识产权的主张，该责任由</w:t>
      </w:r>
      <w:r>
        <w:rPr>
          <w:rFonts w:hint="eastAsia" w:ascii="宋体" w:hAnsi="宋体" w:cs="宋体"/>
          <w:kern w:val="0"/>
          <w:sz w:val="24"/>
          <w:highlight w:val="none"/>
          <w:lang w:val="af-ZA"/>
        </w:rPr>
        <w:t>我方</w:t>
      </w:r>
      <w:r>
        <w:rPr>
          <w:rFonts w:hint="eastAsia" w:ascii="宋体" w:hAnsi="宋体"/>
          <w:kern w:val="0"/>
          <w:sz w:val="24"/>
          <w:highlight w:val="none"/>
          <w:lang w:val="af-ZA"/>
        </w:rPr>
        <w:t>承担。</w:t>
      </w:r>
      <w:r>
        <w:rPr>
          <w:rFonts w:hint="eastAsia" w:ascii="宋体" w:hAnsi="宋体" w:cs="宋体"/>
          <w:kern w:val="0"/>
          <w:sz w:val="24"/>
          <w:highlight w:val="none"/>
          <w:lang w:val="af-ZA"/>
        </w:rPr>
        <w:t>我方的</w:t>
      </w:r>
      <w:r>
        <w:rPr>
          <w:rFonts w:hint="eastAsia" w:ascii="宋体" w:hAnsi="宋体"/>
          <w:kern w:val="0"/>
          <w:sz w:val="24"/>
          <w:highlight w:val="none"/>
          <w:lang w:val="af-ZA"/>
        </w:rPr>
        <w:t>投标报价</w:t>
      </w:r>
      <w:r>
        <w:rPr>
          <w:rFonts w:hint="eastAsia" w:ascii="宋体" w:hAnsi="宋体" w:cs="宋体"/>
          <w:kern w:val="0"/>
          <w:sz w:val="24"/>
          <w:highlight w:val="none"/>
          <w:lang w:val="af-ZA"/>
        </w:rPr>
        <w:t>已</w:t>
      </w:r>
      <w:r>
        <w:rPr>
          <w:rFonts w:hint="eastAsia" w:ascii="宋体" w:hAnsi="宋体"/>
          <w:kern w:val="0"/>
          <w:sz w:val="24"/>
          <w:highlight w:val="none"/>
          <w:lang w:val="af-ZA"/>
        </w:rPr>
        <w:t>包含所有应向所有权人支付的专利权、商标权或</w:t>
      </w:r>
      <w:r>
        <w:rPr>
          <w:rFonts w:hint="eastAsia" w:ascii="宋体" w:hAnsi="宋体"/>
          <w:kern w:val="0"/>
          <w:sz w:val="24"/>
          <w:highlight w:val="none"/>
          <w:lang w:val="af-ZA" w:eastAsia="zh-CN"/>
        </w:rPr>
        <w:t>其他</w:t>
      </w:r>
      <w:r>
        <w:rPr>
          <w:rFonts w:hint="eastAsia" w:ascii="宋体" w:hAnsi="宋体"/>
          <w:kern w:val="0"/>
          <w:sz w:val="24"/>
          <w:highlight w:val="none"/>
          <w:lang w:val="af-ZA"/>
        </w:rPr>
        <w:t>知识产权的一切相关费用。</w:t>
      </w:r>
    </w:p>
    <w:p w14:paraId="561120B9">
      <w:pPr>
        <w:numPr>
          <w:ilvl w:val="0"/>
          <w:numId w:val="72"/>
        </w:numPr>
        <w:snapToGrid w:val="0"/>
        <w:spacing w:line="360" w:lineRule="auto"/>
        <w:ind w:left="5" w:firstLine="415"/>
        <w:rPr>
          <w:rFonts w:ascii="仿宋_GB2312" w:hAnsi="仿宋_GB2312" w:cs="仿宋_GB2312"/>
          <w:sz w:val="24"/>
          <w:highlight w:val="none"/>
        </w:rPr>
      </w:pPr>
      <w:r>
        <w:rPr>
          <w:rFonts w:hint="eastAsia" w:ascii="宋体" w:hAnsi="宋体" w:cs="宋体"/>
          <w:kern w:val="0"/>
          <w:sz w:val="24"/>
          <w:highlight w:val="none"/>
          <w:lang w:val="af-ZA"/>
        </w:rPr>
        <w:t>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严格履行政府采购合同，不降低合同约定的产品质量和服务，不擅自变更、中止、终止合同，或拒绝履行合同义务。</w:t>
      </w:r>
    </w:p>
    <w:p w14:paraId="756EFC32">
      <w:pPr>
        <w:numPr>
          <w:ilvl w:val="0"/>
          <w:numId w:val="72"/>
        </w:numPr>
        <w:snapToGrid w:val="0"/>
        <w:spacing w:line="360" w:lineRule="auto"/>
        <w:ind w:left="5" w:firstLine="415"/>
        <w:rPr>
          <w:highlight w:val="none"/>
        </w:rPr>
      </w:pPr>
      <w:r>
        <w:rPr>
          <w:rFonts w:hint="eastAsia" w:ascii="宋体" w:hAnsi="宋体"/>
          <w:sz w:val="24"/>
          <w:highlight w:val="none"/>
        </w:rPr>
        <w:t>以上事项如有虚假或隐瞒，我</w:t>
      </w:r>
      <w:r>
        <w:rPr>
          <w:rFonts w:hint="eastAsia" w:ascii="宋体" w:hAnsi="宋体" w:cs="仿宋_GB2312"/>
          <w:kern w:val="0"/>
          <w:sz w:val="24"/>
          <w:highlight w:val="none"/>
          <w:lang w:val="zh-CN"/>
        </w:rPr>
        <w:t>公司</w:t>
      </w:r>
      <w:r>
        <w:rPr>
          <w:rFonts w:hint="eastAsia" w:ascii="宋体" w:hAnsi="宋体"/>
          <w:sz w:val="24"/>
          <w:highlight w:val="none"/>
        </w:rPr>
        <w:t>愿意承担一切后果，并不再寻求任何旨在减轻或免除法律责任的辩解。</w:t>
      </w:r>
    </w:p>
    <w:p w14:paraId="0E072F2D">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14:paraId="2970E539">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14:paraId="39EAB5ED">
      <w:pPr>
        <w:adjustRightInd w:val="0"/>
        <w:snapToGrid w:val="0"/>
        <w:spacing w:line="360" w:lineRule="auto"/>
        <w:ind w:firstLine="4838" w:firstLineChars="2016"/>
        <w:rPr>
          <w:rFonts w:ascii="宋体" w:hAnsi="宋体"/>
          <w:b/>
          <w:sz w:val="28"/>
          <w:highlight w:val="none"/>
        </w:rPr>
      </w:pPr>
      <w:r>
        <w:rPr>
          <w:rFonts w:hint="eastAsia" w:ascii="宋体" w:hAnsi="宋体" w:cs="仿宋_GB2312"/>
          <w:color w:val="FF0000"/>
          <w:kern w:val="0"/>
          <w:sz w:val="24"/>
          <w:highlight w:val="none"/>
          <w:lang w:val="zh-CN"/>
        </w:rPr>
        <w:t>日期：    年   月   日</w:t>
      </w:r>
    </w:p>
    <w:p w14:paraId="3E5D7C8B">
      <w:pPr>
        <w:rPr>
          <w:rFonts w:hint="eastAsia" w:ascii="宋体" w:hAnsi="宋体"/>
          <w:b/>
          <w:sz w:val="28"/>
          <w:highlight w:val="none"/>
        </w:rPr>
      </w:pPr>
      <w:r>
        <w:rPr>
          <w:rFonts w:hint="eastAsia" w:ascii="宋体" w:hAnsi="宋体"/>
          <w:b/>
          <w:sz w:val="28"/>
          <w:highlight w:val="none"/>
        </w:rPr>
        <w:br w:type="page"/>
      </w:r>
    </w:p>
    <w:p w14:paraId="47C68E2D">
      <w:pPr>
        <w:adjustRightInd w:val="0"/>
        <w:snapToGrid w:val="0"/>
        <w:spacing w:line="360" w:lineRule="auto"/>
        <w:ind w:right="480"/>
        <w:rPr>
          <w:rFonts w:hint="eastAsia" w:ascii="宋体" w:eastAsia="宋体"/>
          <w:b/>
          <w:sz w:val="30"/>
          <w:szCs w:val="30"/>
          <w:highlight w:val="none"/>
          <w:lang w:eastAsia="zh-CN"/>
        </w:rPr>
      </w:pPr>
      <w:r>
        <w:rPr>
          <w:rFonts w:hint="eastAsia" w:ascii="宋体" w:hAnsi="宋体"/>
          <w:b/>
          <w:sz w:val="28"/>
          <w:highlight w:val="none"/>
        </w:rPr>
        <w:t>附件</w:t>
      </w:r>
      <w:r>
        <w:rPr>
          <w:rFonts w:hint="eastAsia" w:ascii="宋体" w:hAnsi="宋体"/>
          <w:b/>
          <w:sz w:val="28"/>
          <w:highlight w:val="none"/>
          <w:lang w:val="en-US" w:eastAsia="zh-CN"/>
        </w:rPr>
        <w:t>二</w:t>
      </w:r>
    </w:p>
    <w:p w14:paraId="5F42C4BD">
      <w:pPr>
        <w:spacing w:line="360" w:lineRule="auto"/>
        <w:ind w:firstLine="321" w:firstLineChars="100"/>
        <w:jc w:val="center"/>
        <w:rPr>
          <w:rFonts w:hAnsi="宋体"/>
          <w:b/>
          <w:sz w:val="32"/>
          <w:szCs w:val="32"/>
          <w:highlight w:val="none"/>
          <w:u w:val="single"/>
        </w:rPr>
      </w:pPr>
      <w:bookmarkStart w:id="47" w:name="_Toc24373_WPSOffice_Level1"/>
      <w:bookmarkStart w:id="48" w:name="_Toc6870_WPSOffice_Level1"/>
      <w:r>
        <w:rPr>
          <w:b/>
          <w:sz w:val="32"/>
          <w:szCs w:val="32"/>
          <w:highlight w:val="none"/>
        </w:rPr>
        <w:t>授权</w:t>
      </w:r>
      <w:r>
        <w:rPr>
          <w:rFonts w:hint="eastAsia"/>
          <w:b/>
          <w:sz w:val="32"/>
          <w:szCs w:val="32"/>
          <w:highlight w:val="none"/>
        </w:rPr>
        <w:t>委托</w:t>
      </w:r>
      <w:r>
        <w:rPr>
          <w:b/>
          <w:sz w:val="32"/>
          <w:szCs w:val="32"/>
          <w:highlight w:val="none"/>
        </w:rPr>
        <w:t>书</w:t>
      </w:r>
      <w:bookmarkEnd w:id="47"/>
      <w:bookmarkEnd w:id="48"/>
    </w:p>
    <w:p w14:paraId="6C386024">
      <w:pPr>
        <w:snapToGrid w:val="0"/>
        <w:spacing w:before="156" w:beforeLines="50" w:after="50" w:line="360" w:lineRule="auto"/>
        <w:rPr>
          <w:rFonts w:ascii="宋体" w:hAnsi="宋体" w:cs="宋体"/>
          <w:kern w:val="0"/>
          <w:sz w:val="24"/>
          <w:highlight w:val="none"/>
        </w:rPr>
      </w:pPr>
      <w:r>
        <w:rPr>
          <w:rFonts w:hint="eastAsia" w:ascii="宋体" w:hAnsi="宋体" w:cs="宋体"/>
          <w:kern w:val="0"/>
          <w:sz w:val="24"/>
          <w:highlight w:val="none"/>
          <w:u w:val="single"/>
          <w:lang w:eastAsia="zh-CN"/>
        </w:rPr>
        <w:t>台州市文华小学</w:t>
      </w:r>
      <w:r>
        <w:rPr>
          <w:rFonts w:hint="eastAsia" w:ascii="宋体" w:hAnsi="宋体" w:cs="宋体"/>
          <w:kern w:val="0"/>
          <w:sz w:val="24"/>
          <w:highlight w:val="none"/>
        </w:rPr>
        <w:t>：</w:t>
      </w:r>
    </w:p>
    <w:p w14:paraId="0647E3CE">
      <w:pPr>
        <w:pStyle w:val="13"/>
        <w:spacing w:line="360" w:lineRule="auto"/>
        <w:ind w:firstLine="480" w:firstLineChars="200"/>
        <w:rPr>
          <w:rFonts w:hAnsi="宋体"/>
          <w:sz w:val="24"/>
          <w:highlight w:val="none"/>
        </w:rPr>
      </w:pPr>
      <w:r>
        <w:rPr>
          <w:rFonts w:hint="eastAsia" w:hAnsi="宋体"/>
          <w:color w:val="auto"/>
          <w:sz w:val="24"/>
          <w:highlight w:val="none"/>
          <w:u w:val="none"/>
          <w:lang w:val="en-US" w:eastAsia="zh-CN"/>
        </w:rPr>
        <w:t>现</w:t>
      </w:r>
      <w:r>
        <w:rPr>
          <w:rFonts w:hAnsi="宋体"/>
          <w:sz w:val="24"/>
          <w:highlight w:val="none"/>
        </w:rPr>
        <w:t>授权</w:t>
      </w:r>
      <w:r>
        <w:rPr>
          <w:rFonts w:hint="eastAsia" w:hAnsi="宋体"/>
          <w:color w:val="FF0000"/>
          <w:sz w:val="24"/>
          <w:highlight w:val="none"/>
          <w:u w:val="single"/>
        </w:rPr>
        <w:t xml:space="preserve">   （全权代表</w:t>
      </w:r>
      <w:r>
        <w:rPr>
          <w:rFonts w:hAnsi="宋体"/>
          <w:color w:val="FF0000"/>
          <w:sz w:val="24"/>
          <w:highlight w:val="none"/>
          <w:u w:val="single"/>
        </w:rPr>
        <w:t>姓名</w:t>
      </w:r>
      <w:r>
        <w:rPr>
          <w:rFonts w:hint="eastAsia" w:hAnsi="宋体"/>
          <w:color w:val="FF0000"/>
          <w:sz w:val="24"/>
          <w:highlight w:val="none"/>
          <w:u w:val="single"/>
        </w:rPr>
        <w:t xml:space="preserve">） </w:t>
      </w:r>
      <w:r>
        <w:rPr>
          <w:rFonts w:hAnsi="宋体"/>
          <w:sz w:val="24"/>
          <w:highlight w:val="none"/>
        </w:rPr>
        <w:t>为</w:t>
      </w:r>
      <w:r>
        <w:rPr>
          <w:rFonts w:hint="eastAsia" w:hAnsi="宋体"/>
          <w:sz w:val="24"/>
          <w:highlight w:val="none"/>
        </w:rPr>
        <w:t>全权代表</w:t>
      </w:r>
      <w:r>
        <w:rPr>
          <w:rFonts w:hAnsi="宋体"/>
          <w:sz w:val="24"/>
          <w:highlight w:val="none"/>
        </w:rPr>
        <w:t>，参加贵单位组织的</w:t>
      </w:r>
      <w:r>
        <w:rPr>
          <w:rFonts w:hint="eastAsia" w:hAnsi="宋体"/>
          <w:sz w:val="24"/>
          <w:highlight w:val="none"/>
          <w:u w:val="single"/>
          <w:lang w:eastAsia="zh-CN"/>
        </w:rPr>
        <w:t>台州市文华小学食堂委托管理服务项目</w:t>
      </w:r>
      <w:r>
        <w:rPr>
          <w:rFonts w:hint="eastAsia" w:hAnsi="宋体" w:cs="宋体"/>
          <w:kern w:val="0"/>
          <w:sz w:val="24"/>
          <w:highlight w:val="none"/>
        </w:rPr>
        <w:t>（编号为</w:t>
      </w:r>
      <w:r>
        <w:rPr>
          <w:rFonts w:hint="eastAsia" w:hAnsi="宋体" w:cs="宋体"/>
          <w:kern w:val="0"/>
          <w:sz w:val="24"/>
          <w:highlight w:val="none"/>
          <w:u w:val="single"/>
          <w:lang w:eastAsia="zh-CN"/>
        </w:rPr>
        <w:t>TZYY-2507-008号</w:t>
      </w:r>
      <w:r>
        <w:rPr>
          <w:rFonts w:hint="eastAsia" w:hAnsi="宋体" w:cs="宋体"/>
          <w:kern w:val="0"/>
          <w:sz w:val="24"/>
          <w:highlight w:val="none"/>
        </w:rPr>
        <w:t>）</w:t>
      </w:r>
      <w:r>
        <w:rPr>
          <w:rFonts w:hAnsi="宋体"/>
          <w:sz w:val="24"/>
          <w:highlight w:val="none"/>
        </w:rPr>
        <w:t>的采购活动，并代表我方全权办理针对上述项目的投标、开标、评标、签约等具体事务和签署相关文件。</w:t>
      </w:r>
      <w:r>
        <w:rPr>
          <w:rFonts w:hint="eastAsia" w:hAnsi="宋体"/>
          <w:sz w:val="24"/>
          <w:highlight w:val="none"/>
        </w:rPr>
        <w:t>我方对全权代表的签字事项负全部责任。</w:t>
      </w:r>
    </w:p>
    <w:p w14:paraId="4DE5733B">
      <w:pPr>
        <w:pStyle w:val="13"/>
        <w:spacing w:line="360" w:lineRule="auto"/>
        <w:ind w:firstLine="480" w:firstLineChars="200"/>
        <w:rPr>
          <w:rFonts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14:paraId="11780FDF">
      <w:pPr>
        <w:pStyle w:val="13"/>
        <w:spacing w:line="360" w:lineRule="auto"/>
        <w:ind w:firstLine="480" w:firstLineChars="200"/>
        <w:rPr>
          <w:rFonts w:hAnsi="宋体"/>
          <w:sz w:val="24"/>
          <w:highlight w:val="none"/>
        </w:rPr>
      </w:pPr>
      <w:r>
        <w:rPr>
          <w:rFonts w:hint="eastAsia" w:hAnsi="宋体"/>
          <w:sz w:val="24"/>
          <w:highlight w:val="none"/>
        </w:rPr>
        <w:t>全权代表无转委托权，特此委托。</w:t>
      </w:r>
    </w:p>
    <w:p w14:paraId="6A6F5238">
      <w:pPr>
        <w:spacing w:line="360" w:lineRule="auto"/>
        <w:rPr>
          <w:sz w:val="24"/>
          <w:highlight w:val="none"/>
        </w:rPr>
      </w:pPr>
    </w:p>
    <w:p w14:paraId="671F80A0">
      <w:pPr>
        <w:spacing w:line="360" w:lineRule="auto"/>
        <w:rPr>
          <w:color w:val="FF0000"/>
          <w:sz w:val="24"/>
          <w:highlight w:val="none"/>
        </w:rPr>
      </w:pPr>
      <w:r>
        <w:rPr>
          <w:rFonts w:hint="eastAsia" w:ascii="宋体"/>
          <w:color w:val="FF0000"/>
          <w:sz w:val="24"/>
          <w:highlight w:val="none"/>
        </w:rPr>
        <w:t>法定代表人签字</w:t>
      </w:r>
      <w:r>
        <w:rPr>
          <w:rFonts w:hint="eastAsia" w:ascii="宋体"/>
          <w:color w:val="FF0000"/>
          <w:sz w:val="24"/>
          <w:highlight w:val="none"/>
          <w:lang w:eastAsia="zh-CN"/>
        </w:rPr>
        <w:t>（</w:t>
      </w:r>
      <w:r>
        <w:rPr>
          <w:rFonts w:hint="eastAsia" w:ascii="宋体"/>
          <w:color w:val="FF0000"/>
          <w:sz w:val="24"/>
          <w:highlight w:val="none"/>
          <w:lang w:val="en-US" w:eastAsia="zh-CN"/>
        </w:rPr>
        <w:t>签章</w:t>
      </w:r>
      <w:r>
        <w:rPr>
          <w:rFonts w:hint="eastAsia" w:ascii="宋体"/>
          <w:color w:val="FF0000"/>
          <w:sz w:val="24"/>
          <w:highlight w:val="none"/>
          <w:lang w:eastAsia="zh-CN"/>
        </w:rPr>
        <w:t>）</w:t>
      </w:r>
      <w:r>
        <w:rPr>
          <w:rFonts w:hint="eastAsia" w:ascii="宋体"/>
          <w:color w:val="FF0000"/>
          <w:sz w:val="24"/>
          <w:highlight w:val="none"/>
        </w:rPr>
        <w:t>：</w:t>
      </w:r>
    </w:p>
    <w:p w14:paraId="0AD1B07C">
      <w:pPr>
        <w:spacing w:line="360" w:lineRule="auto"/>
        <w:rPr>
          <w:color w:val="FF0000"/>
          <w:sz w:val="24"/>
          <w:highlight w:val="none"/>
        </w:rPr>
      </w:pPr>
      <w:r>
        <w:rPr>
          <w:rFonts w:hint="eastAsia" w:ascii="宋体"/>
          <w:color w:val="FF0000"/>
          <w:sz w:val="24"/>
          <w:highlight w:val="none"/>
        </w:rPr>
        <w:t>投标人（公章）：                              日期：</w:t>
      </w:r>
    </w:p>
    <w:p w14:paraId="4CE23D8C">
      <w:pPr>
        <w:spacing w:line="360" w:lineRule="auto"/>
        <w:rPr>
          <w:sz w:val="24"/>
          <w:highlight w:val="none"/>
        </w:rPr>
      </w:pPr>
    </w:p>
    <w:p w14:paraId="6F6A24CF">
      <w:pPr>
        <w:spacing w:line="360" w:lineRule="auto"/>
        <w:rPr>
          <w:b/>
          <w:sz w:val="24"/>
          <w:highlight w:val="none"/>
        </w:rPr>
      </w:pPr>
      <w:r>
        <w:rPr>
          <w:rFonts w:hint="eastAsia" w:ascii="宋体"/>
          <w:b/>
          <w:sz w:val="24"/>
          <w:highlight w:val="none"/>
        </w:rPr>
        <w:t>附：</w:t>
      </w:r>
    </w:p>
    <w:tbl>
      <w:tblPr>
        <w:tblStyle w:val="26"/>
        <w:tblpPr w:leftFromText="180" w:rightFromText="180" w:vertAnchor="text" w:horzAnchor="page" w:tblpX="1425" w:tblpY="368"/>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309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6A55E5C">
            <w:pPr>
              <w:spacing w:line="360" w:lineRule="auto"/>
              <w:rPr>
                <w:rFonts w:ascii="宋体"/>
                <w:b/>
                <w:sz w:val="24"/>
                <w:highlight w:val="none"/>
              </w:rPr>
            </w:pPr>
          </w:p>
          <w:p w14:paraId="5E7B22B2">
            <w:pPr>
              <w:spacing w:line="360" w:lineRule="auto"/>
              <w:ind w:firstLine="361" w:firstLineChars="150"/>
              <w:rPr>
                <w:rFonts w:ascii="宋体"/>
                <w:b/>
                <w:sz w:val="24"/>
                <w:highlight w:val="none"/>
              </w:rPr>
            </w:pPr>
            <w:r>
              <w:rPr>
                <w:rFonts w:hint="eastAsia" w:ascii="宋体"/>
                <w:b/>
                <w:sz w:val="24"/>
                <w:highlight w:val="none"/>
              </w:rPr>
              <w:t>法定代表</w:t>
            </w:r>
            <w:r>
              <w:rPr>
                <w:rFonts w:hint="eastAsia" w:ascii="宋体"/>
                <w:b/>
                <w:sz w:val="24"/>
                <w:highlight w:val="none"/>
                <w:lang w:val="en-US" w:eastAsia="zh-CN"/>
              </w:rPr>
              <w:t>人</w:t>
            </w:r>
            <w:r>
              <w:rPr>
                <w:rFonts w:hint="eastAsia" w:ascii="宋体"/>
                <w:b/>
                <w:sz w:val="24"/>
                <w:highlight w:val="none"/>
              </w:rPr>
              <w:t>身份证</w:t>
            </w:r>
          </w:p>
        </w:tc>
      </w:tr>
    </w:tbl>
    <w:tbl>
      <w:tblPr>
        <w:tblStyle w:val="26"/>
        <w:tblpPr w:leftFromText="180" w:rightFromText="180" w:vertAnchor="text" w:horzAnchor="page" w:tblpX="5675" w:tblpY="385"/>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A0A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7C30A11">
            <w:pPr>
              <w:spacing w:line="360" w:lineRule="auto"/>
              <w:rPr>
                <w:rFonts w:ascii="宋体"/>
                <w:b/>
                <w:sz w:val="24"/>
                <w:highlight w:val="none"/>
              </w:rPr>
            </w:pPr>
          </w:p>
          <w:p w14:paraId="59584682">
            <w:pPr>
              <w:spacing w:line="360" w:lineRule="auto"/>
              <w:ind w:firstLine="361" w:firstLineChars="150"/>
              <w:rPr>
                <w:rFonts w:ascii="宋体"/>
                <w:b/>
                <w:sz w:val="24"/>
                <w:highlight w:val="none"/>
              </w:rPr>
            </w:pPr>
            <w:r>
              <w:rPr>
                <w:rFonts w:hint="eastAsia" w:ascii="宋体"/>
                <w:b/>
                <w:sz w:val="24"/>
                <w:highlight w:val="none"/>
              </w:rPr>
              <w:t>全权代表身份证</w:t>
            </w:r>
          </w:p>
        </w:tc>
      </w:tr>
    </w:tbl>
    <w:p w14:paraId="6DAE8D4F">
      <w:pPr>
        <w:spacing w:line="360" w:lineRule="auto"/>
        <w:rPr>
          <w:rFonts w:ascii="宋体"/>
          <w:sz w:val="24"/>
          <w:highlight w:val="none"/>
        </w:rPr>
      </w:pPr>
    </w:p>
    <w:p w14:paraId="631A5E4A">
      <w:pPr>
        <w:spacing w:line="360" w:lineRule="auto"/>
        <w:rPr>
          <w:b/>
          <w:sz w:val="24"/>
          <w:highlight w:val="none"/>
        </w:rPr>
      </w:pPr>
    </w:p>
    <w:p w14:paraId="3232CE1F">
      <w:pPr>
        <w:rPr>
          <w:rFonts w:ascii="宋体" w:hAnsi="宋体"/>
          <w:b/>
          <w:sz w:val="28"/>
          <w:highlight w:val="none"/>
        </w:rPr>
      </w:pPr>
      <w:r>
        <w:rPr>
          <w:rFonts w:hint="eastAsia" w:ascii="宋体" w:hAnsi="宋体"/>
          <w:b/>
          <w:sz w:val="28"/>
          <w:highlight w:val="none"/>
        </w:rPr>
        <w:br w:type="page"/>
      </w:r>
      <w:bookmarkStart w:id="49" w:name="_Toc12331_WPSOffice_Level1"/>
      <w:bookmarkStart w:id="50" w:name="_Toc26389_WPSOffice_Level1"/>
      <w:bookmarkStart w:id="51" w:name="_Toc16825_WPSOffice_Level1"/>
    </w:p>
    <w:p w14:paraId="5BECCCDA">
      <w:pPr>
        <w:rPr>
          <w:rFonts w:hint="eastAsia" w:ascii="宋体" w:hAnsi="宋体" w:eastAsia="宋体"/>
          <w:b/>
          <w:sz w:val="28"/>
          <w:highlight w:val="none"/>
          <w:lang w:eastAsia="zh-CN"/>
        </w:rPr>
      </w:pPr>
      <w:r>
        <w:rPr>
          <w:rFonts w:hint="eastAsia" w:ascii="宋体" w:hAnsi="宋体"/>
          <w:b/>
          <w:sz w:val="28"/>
          <w:highlight w:val="none"/>
        </w:rPr>
        <w:t>附件</w:t>
      </w:r>
      <w:r>
        <w:rPr>
          <w:rFonts w:hint="eastAsia" w:ascii="宋体" w:hAnsi="宋体"/>
          <w:b/>
          <w:sz w:val="28"/>
          <w:highlight w:val="none"/>
          <w:lang w:val="en-US" w:eastAsia="zh-CN"/>
        </w:rPr>
        <w:t>三</w:t>
      </w:r>
    </w:p>
    <w:p w14:paraId="5171935A">
      <w:pPr>
        <w:widowControl/>
        <w:adjustRightInd w:val="0"/>
        <w:snapToGrid w:val="0"/>
        <w:jc w:val="center"/>
        <w:rPr>
          <w:rFonts w:ascii="宋体" w:hAnsi="宋体"/>
          <w:b/>
          <w:kern w:val="0"/>
          <w:sz w:val="32"/>
          <w:szCs w:val="32"/>
          <w:highlight w:val="none"/>
        </w:rPr>
      </w:pPr>
      <w:r>
        <w:rPr>
          <w:rFonts w:hint="eastAsia" w:ascii="宋体" w:hAnsi="宋体"/>
          <w:b/>
          <w:kern w:val="0"/>
          <w:sz w:val="32"/>
          <w:szCs w:val="32"/>
          <w:highlight w:val="none"/>
        </w:rPr>
        <w:t>具有</w:t>
      </w:r>
      <w:r>
        <w:rPr>
          <w:rFonts w:ascii="宋体" w:hAnsi="宋体"/>
          <w:b/>
          <w:kern w:val="0"/>
          <w:sz w:val="32"/>
          <w:szCs w:val="32"/>
          <w:highlight w:val="none"/>
        </w:rPr>
        <w:t>依法缴纳税收和</w:t>
      </w:r>
      <w:r>
        <w:rPr>
          <w:rFonts w:hint="eastAsia" w:ascii="宋体" w:hAnsi="宋体"/>
          <w:b/>
          <w:kern w:val="0"/>
          <w:sz w:val="32"/>
          <w:szCs w:val="32"/>
          <w:highlight w:val="none"/>
        </w:rPr>
        <w:t>社会保障资金证明</w:t>
      </w:r>
      <w:r>
        <w:rPr>
          <w:rFonts w:ascii="宋体" w:hAnsi="宋体"/>
          <w:b/>
          <w:kern w:val="0"/>
          <w:sz w:val="32"/>
          <w:szCs w:val="32"/>
          <w:highlight w:val="none"/>
        </w:rPr>
        <w:t>的承诺函</w:t>
      </w:r>
    </w:p>
    <w:p w14:paraId="55296980">
      <w:pPr>
        <w:widowControl/>
        <w:adjustRightInd w:val="0"/>
        <w:snapToGrid w:val="0"/>
        <w:jc w:val="center"/>
        <w:rPr>
          <w:rFonts w:ascii="宋体" w:hAnsi="宋体"/>
          <w:b/>
          <w:kern w:val="0"/>
          <w:sz w:val="32"/>
          <w:szCs w:val="32"/>
          <w:highlight w:val="none"/>
        </w:rPr>
      </w:pPr>
    </w:p>
    <w:p w14:paraId="40BC7D44">
      <w:pPr>
        <w:widowControl/>
        <w:adjustRightInd w:val="0"/>
        <w:snapToGrid w:val="0"/>
        <w:jc w:val="left"/>
        <w:rPr>
          <w:rFonts w:ascii="宋体" w:hAnsi="宋体"/>
          <w:kern w:val="0"/>
          <w:sz w:val="28"/>
          <w:szCs w:val="32"/>
          <w:highlight w:val="none"/>
        </w:rPr>
      </w:pPr>
      <w:r>
        <w:rPr>
          <w:rFonts w:hint="eastAsia" w:ascii="宋体" w:hAnsi="宋体"/>
          <w:color w:val="FF0000"/>
          <w:kern w:val="0"/>
          <w:sz w:val="28"/>
          <w:szCs w:val="32"/>
          <w:highlight w:val="none"/>
        </w:rPr>
        <w:t>（</w:t>
      </w:r>
      <w:r>
        <w:rPr>
          <w:rFonts w:hint="eastAsia" w:ascii="宋体" w:hAnsi="宋体"/>
          <w:color w:val="FF0000"/>
          <w:kern w:val="0"/>
          <w:sz w:val="28"/>
          <w:szCs w:val="32"/>
          <w:highlight w:val="none"/>
          <w:lang w:eastAsia="zh-CN"/>
        </w:rPr>
        <w:t>提示</w:t>
      </w:r>
      <w:r>
        <w:rPr>
          <w:rFonts w:hint="eastAsia" w:ascii="宋体" w:hAnsi="宋体"/>
          <w:color w:val="FF0000"/>
          <w:kern w:val="0"/>
          <w:sz w:val="28"/>
          <w:szCs w:val="32"/>
          <w:highlight w:val="none"/>
          <w:lang w:val="en-US" w:eastAsia="zh-CN"/>
        </w:rPr>
        <w:t>：</w:t>
      </w:r>
      <w:r>
        <w:rPr>
          <w:rFonts w:hint="eastAsia" w:ascii="宋体" w:hAnsi="宋体"/>
          <w:color w:val="FF0000"/>
          <w:kern w:val="0"/>
          <w:sz w:val="28"/>
          <w:szCs w:val="32"/>
          <w:highlight w:val="none"/>
        </w:rPr>
        <w:t>如依法免税的，应提供相应文件证明其依法免税；如依法不需要缴纳社会保障资金的，应提供相应文件证明其依法不需要缴纳社会保障资金）</w:t>
      </w:r>
    </w:p>
    <w:p w14:paraId="705871A4">
      <w:pPr>
        <w:adjustRightInd w:val="0"/>
        <w:snapToGrid w:val="0"/>
        <w:jc w:val="left"/>
        <w:rPr>
          <w:rFonts w:ascii="宋体" w:hAnsi="宋体"/>
          <w:b/>
          <w:kern w:val="0"/>
          <w:sz w:val="32"/>
          <w:szCs w:val="32"/>
          <w:highlight w:val="none"/>
        </w:rPr>
      </w:pPr>
    </w:p>
    <w:p w14:paraId="79C21F13">
      <w:pPr>
        <w:widowControl/>
        <w:shd w:val="clear" w:color="auto" w:fill="FFFFFF"/>
        <w:spacing w:before="100" w:beforeAutospacing="1" w:after="100" w:afterAutospacing="1" w:line="480" w:lineRule="auto"/>
        <w:jc w:val="left"/>
        <w:rPr>
          <w:rFonts w:ascii="宋体" w:hAnsi="宋体"/>
          <w:kern w:val="0"/>
          <w:sz w:val="24"/>
          <w:highlight w:val="none"/>
        </w:rPr>
      </w:pPr>
      <w:r>
        <w:rPr>
          <w:rFonts w:hint="eastAsia" w:ascii="宋体" w:hAnsi="宋体"/>
          <w:kern w:val="0"/>
          <w:sz w:val="24"/>
          <w:highlight w:val="none"/>
          <w:u w:val="single"/>
          <w:lang w:eastAsia="zh-CN"/>
        </w:rPr>
        <w:t>台州市文华小学</w:t>
      </w:r>
      <w:r>
        <w:rPr>
          <w:rFonts w:ascii="宋体" w:hAnsi="宋体"/>
          <w:kern w:val="0"/>
          <w:sz w:val="24"/>
          <w:highlight w:val="none"/>
        </w:rPr>
        <w:t>：</w:t>
      </w:r>
    </w:p>
    <w:p w14:paraId="16DAFF6F">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我单位</w:t>
      </w:r>
      <w:r>
        <w:rPr>
          <w:rFonts w:hint="eastAsia" w:ascii="宋体" w:hAnsi="宋体"/>
          <w:kern w:val="0"/>
          <w:sz w:val="24"/>
          <w:highlight w:val="none"/>
        </w:rPr>
        <w:t>具有</w:t>
      </w:r>
      <w:r>
        <w:rPr>
          <w:rFonts w:ascii="宋体" w:hAnsi="宋体"/>
          <w:kern w:val="0"/>
          <w:sz w:val="24"/>
          <w:highlight w:val="none"/>
        </w:rPr>
        <w:t>依法缴纳税收和</w:t>
      </w:r>
      <w:r>
        <w:rPr>
          <w:rFonts w:hint="eastAsia" w:ascii="宋体" w:hAnsi="宋体"/>
          <w:kern w:val="0"/>
          <w:sz w:val="24"/>
          <w:highlight w:val="none"/>
        </w:rPr>
        <w:t>社会保障资金</w:t>
      </w:r>
      <w:r>
        <w:rPr>
          <w:rFonts w:ascii="宋体" w:hAnsi="宋体"/>
          <w:kern w:val="0"/>
          <w:sz w:val="24"/>
          <w:highlight w:val="none"/>
        </w:rPr>
        <w:t>。如本声明失实，我单位自愿承担被取消成交资格等责任。</w:t>
      </w:r>
    </w:p>
    <w:p w14:paraId="75A28438">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14:paraId="4A242806">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14:paraId="3A5E7838">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14:paraId="4F7F85E6">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color w:val="FF0000"/>
          <w:kern w:val="0"/>
          <w:sz w:val="24"/>
          <w:highlight w:val="none"/>
          <w:lang w:val="zh-CN"/>
        </w:rPr>
        <w:t>日期：    年   月   日</w:t>
      </w:r>
    </w:p>
    <w:p w14:paraId="551CC4DA">
      <w:pPr>
        <w:rPr>
          <w:rFonts w:hint="eastAsia" w:ascii="宋体" w:hAnsi="宋体" w:eastAsia="宋体"/>
          <w:b/>
          <w:sz w:val="28"/>
          <w:highlight w:val="none"/>
          <w:lang w:eastAsia="zh-CN"/>
        </w:rPr>
      </w:pPr>
      <w:r>
        <w:rPr>
          <w:rFonts w:hint="eastAsia" w:ascii="宋体" w:hAnsi="宋体"/>
          <w:b/>
          <w:sz w:val="28"/>
          <w:highlight w:val="none"/>
        </w:rPr>
        <w:br w:type="page"/>
      </w:r>
      <w:r>
        <w:rPr>
          <w:rFonts w:hint="eastAsia" w:ascii="宋体" w:hAnsi="宋体"/>
          <w:b/>
          <w:sz w:val="28"/>
          <w:highlight w:val="none"/>
        </w:rPr>
        <w:t>附件</w:t>
      </w:r>
      <w:r>
        <w:rPr>
          <w:rFonts w:hint="eastAsia" w:ascii="宋体" w:hAnsi="宋体"/>
          <w:b/>
          <w:sz w:val="28"/>
          <w:highlight w:val="none"/>
          <w:lang w:val="en-US" w:eastAsia="zh-CN"/>
        </w:rPr>
        <w:t>四</w:t>
      </w:r>
    </w:p>
    <w:p w14:paraId="1FCE7E88">
      <w:pPr>
        <w:jc w:val="center"/>
        <w:rPr>
          <w:rFonts w:ascii="宋体" w:hAnsi="宋体"/>
          <w:b/>
          <w:kern w:val="0"/>
          <w:sz w:val="32"/>
          <w:szCs w:val="32"/>
          <w:highlight w:val="none"/>
        </w:rPr>
      </w:pPr>
      <w:r>
        <w:rPr>
          <w:rFonts w:ascii="宋体" w:hAnsi="宋体"/>
          <w:b/>
          <w:kern w:val="0"/>
          <w:sz w:val="32"/>
          <w:szCs w:val="32"/>
          <w:highlight w:val="none"/>
        </w:rPr>
        <w:t>具有良好的商业信誉和健全的财务会计制度的承诺函</w:t>
      </w:r>
    </w:p>
    <w:p w14:paraId="2D2854E0">
      <w:pPr>
        <w:jc w:val="center"/>
        <w:rPr>
          <w:rFonts w:ascii="宋体" w:hAnsi="宋体"/>
          <w:b/>
          <w:kern w:val="0"/>
          <w:sz w:val="32"/>
          <w:szCs w:val="32"/>
          <w:highlight w:val="none"/>
        </w:rPr>
      </w:pPr>
    </w:p>
    <w:p w14:paraId="087EAD69">
      <w:pPr>
        <w:widowControl/>
        <w:shd w:val="clear" w:color="auto" w:fill="FFFFFF"/>
        <w:spacing w:before="100" w:beforeAutospacing="1" w:after="100" w:afterAutospacing="1" w:line="480" w:lineRule="auto"/>
        <w:jc w:val="left"/>
        <w:rPr>
          <w:rFonts w:ascii="宋体" w:hAnsi="宋体"/>
          <w:kern w:val="0"/>
          <w:sz w:val="24"/>
          <w:highlight w:val="none"/>
        </w:rPr>
      </w:pPr>
      <w:r>
        <w:rPr>
          <w:rFonts w:hint="eastAsia" w:ascii="宋体" w:hAnsi="宋体"/>
          <w:kern w:val="0"/>
          <w:sz w:val="24"/>
          <w:highlight w:val="none"/>
          <w:u w:val="single"/>
          <w:lang w:eastAsia="zh-CN"/>
        </w:rPr>
        <w:t>台州市文华小学</w:t>
      </w:r>
      <w:r>
        <w:rPr>
          <w:rFonts w:ascii="宋体" w:hAnsi="宋体"/>
          <w:kern w:val="0"/>
          <w:sz w:val="24"/>
          <w:highlight w:val="none"/>
        </w:rPr>
        <w:t>：</w:t>
      </w:r>
    </w:p>
    <w:p w14:paraId="5BC961F4">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我单位具有良好的商业信誉和健全的财务会计制度。如本声明失实，我单位自愿承担被取消成交资格等责任。</w:t>
      </w:r>
    </w:p>
    <w:p w14:paraId="2AB0E3D0">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14:paraId="61EE0D2A">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14:paraId="1E2512AA">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14:paraId="1CB9CFA7">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color w:val="FF0000"/>
          <w:kern w:val="0"/>
          <w:sz w:val="24"/>
          <w:highlight w:val="none"/>
          <w:lang w:val="zh-CN"/>
        </w:rPr>
        <w:t>日期：    年   月   日</w:t>
      </w:r>
    </w:p>
    <w:p w14:paraId="1F91D049">
      <w:pPr>
        <w:jc w:val="center"/>
        <w:rPr>
          <w:rFonts w:ascii="宋体" w:hAnsi="宋体"/>
          <w:b/>
          <w:kern w:val="0"/>
          <w:sz w:val="32"/>
          <w:szCs w:val="32"/>
          <w:highlight w:val="none"/>
        </w:rPr>
      </w:pPr>
    </w:p>
    <w:p w14:paraId="345FA2B4">
      <w:pPr>
        <w:jc w:val="center"/>
        <w:rPr>
          <w:rFonts w:ascii="宋体" w:hAnsi="宋体"/>
          <w:b/>
          <w:kern w:val="0"/>
          <w:sz w:val="32"/>
          <w:szCs w:val="32"/>
          <w:highlight w:val="none"/>
        </w:rPr>
      </w:pPr>
    </w:p>
    <w:p w14:paraId="1322BA31">
      <w:pPr>
        <w:rPr>
          <w:rFonts w:ascii="宋体" w:hAnsi="宋体"/>
          <w:b/>
          <w:kern w:val="0"/>
          <w:sz w:val="32"/>
          <w:szCs w:val="32"/>
          <w:highlight w:val="none"/>
        </w:rPr>
      </w:pPr>
      <w:r>
        <w:rPr>
          <w:rFonts w:ascii="宋体" w:hAnsi="宋体"/>
          <w:b/>
          <w:kern w:val="0"/>
          <w:sz w:val="32"/>
          <w:szCs w:val="32"/>
          <w:highlight w:val="none"/>
        </w:rPr>
        <w:br w:type="page"/>
      </w:r>
    </w:p>
    <w:p w14:paraId="175F6716">
      <w:pPr>
        <w:jc w:val="left"/>
        <w:rPr>
          <w:rFonts w:hint="eastAsia" w:ascii="宋体" w:hAnsi="宋体" w:eastAsia="宋体"/>
          <w:b/>
          <w:kern w:val="0"/>
          <w:sz w:val="32"/>
          <w:szCs w:val="32"/>
          <w:highlight w:val="none"/>
          <w:lang w:eastAsia="zh-CN"/>
        </w:rPr>
      </w:pPr>
      <w:r>
        <w:rPr>
          <w:rFonts w:hint="eastAsia" w:ascii="宋体" w:hAnsi="宋体"/>
          <w:b/>
          <w:kern w:val="0"/>
          <w:sz w:val="32"/>
          <w:szCs w:val="32"/>
          <w:highlight w:val="none"/>
        </w:rPr>
        <w:t>附件</w:t>
      </w:r>
      <w:r>
        <w:rPr>
          <w:rFonts w:hint="eastAsia" w:ascii="宋体" w:hAnsi="宋体"/>
          <w:b/>
          <w:kern w:val="0"/>
          <w:sz w:val="32"/>
          <w:szCs w:val="32"/>
          <w:highlight w:val="none"/>
          <w:lang w:val="en-US" w:eastAsia="zh-CN"/>
        </w:rPr>
        <w:t>五</w:t>
      </w:r>
    </w:p>
    <w:p w14:paraId="44E7B2FD">
      <w:pPr>
        <w:jc w:val="center"/>
        <w:rPr>
          <w:rFonts w:ascii="宋体" w:hAnsi="宋体"/>
          <w:b/>
          <w:sz w:val="28"/>
          <w:highlight w:val="none"/>
        </w:rPr>
      </w:pPr>
      <w:r>
        <w:rPr>
          <w:rFonts w:ascii="宋体" w:hAnsi="宋体"/>
          <w:b/>
          <w:kern w:val="0"/>
          <w:sz w:val="32"/>
          <w:szCs w:val="32"/>
          <w:highlight w:val="none"/>
        </w:rPr>
        <w:t>具有履行合同所</w:t>
      </w:r>
      <w:r>
        <w:rPr>
          <w:rFonts w:hint="eastAsia" w:ascii="宋体" w:hAnsi="宋体"/>
          <w:b/>
          <w:kern w:val="0"/>
          <w:sz w:val="32"/>
          <w:szCs w:val="32"/>
          <w:highlight w:val="none"/>
          <w:lang w:eastAsia="zh-CN"/>
        </w:rPr>
        <w:t>必需的设备</w:t>
      </w:r>
      <w:r>
        <w:rPr>
          <w:rFonts w:ascii="宋体" w:hAnsi="宋体"/>
          <w:b/>
          <w:kern w:val="0"/>
          <w:sz w:val="32"/>
          <w:szCs w:val="32"/>
          <w:highlight w:val="none"/>
        </w:rPr>
        <w:t>和专业技术能力的承诺函</w:t>
      </w:r>
    </w:p>
    <w:p w14:paraId="2B05A94C">
      <w:pPr>
        <w:jc w:val="center"/>
        <w:rPr>
          <w:rFonts w:ascii="宋体" w:hAnsi="宋体"/>
          <w:b/>
          <w:sz w:val="28"/>
          <w:highlight w:val="none"/>
        </w:rPr>
      </w:pPr>
    </w:p>
    <w:p w14:paraId="6A5DDE0D">
      <w:pPr>
        <w:widowControl/>
        <w:shd w:val="clear" w:color="auto" w:fill="FFFFFF"/>
        <w:snapToGrid w:val="0"/>
        <w:spacing w:after="50" w:line="480" w:lineRule="auto"/>
        <w:jc w:val="left"/>
        <w:rPr>
          <w:rFonts w:ascii="宋体" w:hAnsi="宋体"/>
          <w:kern w:val="0"/>
          <w:sz w:val="24"/>
          <w:highlight w:val="none"/>
        </w:rPr>
      </w:pPr>
      <w:r>
        <w:rPr>
          <w:rFonts w:hint="eastAsia" w:ascii="宋体" w:hAnsi="宋体"/>
          <w:kern w:val="0"/>
          <w:sz w:val="24"/>
          <w:highlight w:val="none"/>
          <w:u w:val="single"/>
          <w:lang w:eastAsia="zh-CN"/>
        </w:rPr>
        <w:t>台州市文华小学</w:t>
      </w:r>
      <w:r>
        <w:rPr>
          <w:rFonts w:ascii="宋体" w:hAnsi="宋体"/>
          <w:kern w:val="0"/>
          <w:sz w:val="24"/>
          <w:highlight w:val="none"/>
        </w:rPr>
        <w:t>：</w:t>
      </w:r>
    </w:p>
    <w:p w14:paraId="21319409">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我单位有履行该项目合同的设备和专业技术能力，胜任本项目的服务工作。如本声明失实，我单位自愿承担被取消成交资格等责任。</w:t>
      </w:r>
    </w:p>
    <w:p w14:paraId="30906CFA">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p>
    <w:p w14:paraId="3A7BCAD7">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14:paraId="46A516D2">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14:paraId="105D4FBC">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14:paraId="16E1C9E9">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日期：    年   月   日</w:t>
      </w:r>
    </w:p>
    <w:p w14:paraId="5DC5AC58">
      <w:pPr>
        <w:jc w:val="center"/>
        <w:rPr>
          <w:sz w:val="52"/>
          <w:szCs w:val="52"/>
          <w:highlight w:val="none"/>
        </w:rPr>
      </w:pPr>
    </w:p>
    <w:p w14:paraId="65FCE800">
      <w:pPr>
        <w:jc w:val="center"/>
        <w:rPr>
          <w:sz w:val="52"/>
          <w:szCs w:val="52"/>
          <w:highlight w:val="none"/>
        </w:rPr>
      </w:pPr>
    </w:p>
    <w:p w14:paraId="24C5AEC1">
      <w:pPr>
        <w:jc w:val="center"/>
        <w:rPr>
          <w:sz w:val="52"/>
          <w:szCs w:val="52"/>
          <w:highlight w:val="none"/>
        </w:rPr>
      </w:pPr>
    </w:p>
    <w:p w14:paraId="2D2FCC73">
      <w:pPr>
        <w:rPr>
          <w:sz w:val="52"/>
          <w:szCs w:val="52"/>
          <w:highlight w:val="none"/>
        </w:rPr>
      </w:pPr>
    </w:p>
    <w:p w14:paraId="27AAFE1F">
      <w:pPr>
        <w:pStyle w:val="4"/>
        <w:numPr>
          <w:ilvl w:val="0"/>
          <w:numId w:val="0"/>
        </w:numPr>
        <w:jc w:val="both"/>
        <w:outlineLvl w:val="9"/>
        <w:rPr>
          <w:highlight w:val="none"/>
        </w:rPr>
      </w:pPr>
    </w:p>
    <w:p w14:paraId="6E243278">
      <w:pPr>
        <w:jc w:val="center"/>
        <w:rPr>
          <w:sz w:val="52"/>
          <w:szCs w:val="52"/>
          <w:highlight w:val="none"/>
        </w:rPr>
      </w:pPr>
    </w:p>
    <w:p w14:paraId="561C72C8">
      <w:pPr>
        <w:pStyle w:val="4"/>
        <w:numPr>
          <w:ilvl w:val="0"/>
          <w:numId w:val="0"/>
        </w:numPr>
        <w:ind w:left="425"/>
        <w:jc w:val="both"/>
        <w:outlineLvl w:val="9"/>
        <w:rPr>
          <w:highlight w:val="none"/>
        </w:rPr>
      </w:pPr>
    </w:p>
    <w:p w14:paraId="52163402">
      <w:pPr>
        <w:rPr>
          <w:highlight w:val="none"/>
        </w:rPr>
      </w:pPr>
    </w:p>
    <w:bookmarkEnd w:id="49"/>
    <w:bookmarkEnd w:id="50"/>
    <w:bookmarkEnd w:id="51"/>
    <w:p w14:paraId="3738561C">
      <w:pPr>
        <w:jc w:val="center"/>
        <w:rPr>
          <w:highlight w:val="none"/>
        </w:rPr>
      </w:pPr>
    </w:p>
    <w:p w14:paraId="767D059A">
      <w:pPr>
        <w:rPr>
          <w:rFonts w:hint="eastAsia" w:ascii="宋体" w:hAnsi="宋体"/>
          <w:sz w:val="44"/>
          <w:szCs w:val="44"/>
          <w:highlight w:val="none"/>
        </w:rPr>
      </w:pPr>
      <w:r>
        <w:rPr>
          <w:rFonts w:hint="eastAsia" w:ascii="宋体" w:hAnsi="宋体"/>
          <w:sz w:val="44"/>
          <w:szCs w:val="44"/>
          <w:highlight w:val="none"/>
        </w:rPr>
        <w:br w:type="page"/>
      </w:r>
    </w:p>
    <w:p w14:paraId="1E9F7F01">
      <w:pPr>
        <w:spacing w:before="312" w:beforeLines="100" w:line="360" w:lineRule="auto"/>
        <w:ind w:right="-108"/>
        <w:jc w:val="center"/>
        <w:rPr>
          <w:rFonts w:hint="eastAsia" w:ascii="宋体" w:hAnsi="宋体" w:eastAsia="宋体"/>
          <w:sz w:val="44"/>
          <w:szCs w:val="44"/>
          <w:highlight w:val="none"/>
          <w:lang w:eastAsia="zh-CN"/>
        </w:rPr>
      </w:pPr>
      <w:r>
        <w:rPr>
          <w:rFonts w:hint="eastAsia" w:ascii="宋体" w:hAnsi="宋体"/>
          <w:sz w:val="44"/>
          <w:szCs w:val="44"/>
          <w:highlight w:val="none"/>
          <w:lang w:eastAsia="zh-CN"/>
        </w:rPr>
        <w:t>台州市文华小学食堂委托管理服务项目</w:t>
      </w:r>
    </w:p>
    <w:p w14:paraId="46A62ED2">
      <w:pPr>
        <w:spacing w:before="312" w:beforeLines="100" w:line="360" w:lineRule="auto"/>
        <w:ind w:right="-108"/>
        <w:jc w:val="center"/>
        <w:rPr>
          <w:rFonts w:hint="eastAsia" w:ascii="宋体" w:hAnsi="宋体" w:eastAsia="宋体"/>
          <w:sz w:val="36"/>
          <w:szCs w:val="36"/>
          <w:highlight w:val="none"/>
          <w:lang w:eastAsia="zh-CN"/>
        </w:rPr>
      </w:pPr>
      <w:r>
        <w:rPr>
          <w:rFonts w:hint="eastAsia" w:ascii="宋体" w:hAnsi="宋体"/>
          <w:sz w:val="36"/>
          <w:szCs w:val="36"/>
          <w:highlight w:val="none"/>
        </w:rPr>
        <w:t>项目编号：</w:t>
      </w:r>
      <w:r>
        <w:rPr>
          <w:rFonts w:hint="eastAsia" w:ascii="宋体" w:hAnsi="宋体"/>
          <w:sz w:val="36"/>
          <w:szCs w:val="36"/>
          <w:highlight w:val="none"/>
          <w:lang w:eastAsia="zh-CN"/>
        </w:rPr>
        <w:t>TZYY-2507-008号</w:t>
      </w:r>
    </w:p>
    <w:p w14:paraId="4310B253">
      <w:pPr>
        <w:autoSpaceDE w:val="0"/>
        <w:autoSpaceDN w:val="0"/>
        <w:adjustRightInd w:val="0"/>
        <w:spacing w:line="360" w:lineRule="auto"/>
        <w:jc w:val="center"/>
        <w:rPr>
          <w:rFonts w:ascii="宋体" w:hAnsi="宋体" w:cs="宋体"/>
          <w:sz w:val="24"/>
          <w:highlight w:val="none"/>
          <w:lang w:val="zh-CN"/>
        </w:rPr>
      </w:pPr>
    </w:p>
    <w:p w14:paraId="2E4AD3CE">
      <w:pPr>
        <w:jc w:val="center"/>
        <w:rPr>
          <w:sz w:val="84"/>
          <w:szCs w:val="84"/>
          <w:highlight w:val="none"/>
          <w:lang w:val="zh-CN"/>
        </w:rPr>
      </w:pPr>
      <w:r>
        <w:rPr>
          <w:rFonts w:hint="eastAsia"/>
          <w:sz w:val="84"/>
          <w:szCs w:val="84"/>
          <w:highlight w:val="none"/>
          <w:lang w:val="zh-CN"/>
        </w:rPr>
        <w:t>投</w:t>
      </w:r>
    </w:p>
    <w:p w14:paraId="3C8B7D19">
      <w:pPr>
        <w:jc w:val="center"/>
        <w:rPr>
          <w:sz w:val="84"/>
          <w:szCs w:val="84"/>
          <w:highlight w:val="none"/>
          <w:lang w:val="zh-CN"/>
        </w:rPr>
      </w:pPr>
      <w:r>
        <w:rPr>
          <w:rFonts w:hint="eastAsia"/>
          <w:sz w:val="84"/>
          <w:szCs w:val="84"/>
          <w:highlight w:val="none"/>
          <w:lang w:val="zh-CN"/>
        </w:rPr>
        <w:t>标</w:t>
      </w:r>
    </w:p>
    <w:p w14:paraId="7D88D23E">
      <w:pPr>
        <w:jc w:val="center"/>
        <w:rPr>
          <w:sz w:val="84"/>
          <w:szCs w:val="84"/>
          <w:highlight w:val="none"/>
        </w:rPr>
      </w:pPr>
      <w:r>
        <w:rPr>
          <w:rFonts w:hint="eastAsia"/>
          <w:sz w:val="84"/>
          <w:szCs w:val="84"/>
          <w:highlight w:val="none"/>
          <w:lang w:val="zh-CN"/>
        </w:rPr>
        <w:t>文</w:t>
      </w:r>
    </w:p>
    <w:p w14:paraId="697D29C3">
      <w:pPr>
        <w:jc w:val="center"/>
        <w:rPr>
          <w:sz w:val="84"/>
          <w:szCs w:val="84"/>
          <w:highlight w:val="none"/>
          <w:lang w:val="zh-CN"/>
        </w:rPr>
      </w:pPr>
      <w:r>
        <w:rPr>
          <w:rFonts w:hint="eastAsia"/>
          <w:sz w:val="84"/>
          <w:szCs w:val="84"/>
          <w:highlight w:val="none"/>
          <w:lang w:val="zh-CN"/>
        </w:rPr>
        <w:t>件</w:t>
      </w:r>
    </w:p>
    <w:p w14:paraId="07FB1061">
      <w:pPr>
        <w:spacing w:after="100" w:afterAutospacing="1" w:line="360" w:lineRule="auto"/>
        <w:ind w:right="-108"/>
        <w:jc w:val="center"/>
        <w:rPr>
          <w:rFonts w:ascii="宋体" w:hAnsi="宋体"/>
          <w:b/>
          <w:bCs/>
          <w:sz w:val="28"/>
          <w:szCs w:val="28"/>
          <w:highlight w:val="none"/>
        </w:rPr>
      </w:pPr>
      <w:r>
        <w:rPr>
          <w:rFonts w:hint="eastAsia" w:ascii="宋体" w:hAnsi="宋体" w:cs="宋体"/>
          <w:b/>
          <w:bCs/>
          <w:sz w:val="28"/>
          <w:szCs w:val="28"/>
          <w:highlight w:val="none"/>
          <w:lang w:val="zh-CN"/>
        </w:rPr>
        <w:t>（</w:t>
      </w:r>
      <w:r>
        <w:rPr>
          <w:rFonts w:hint="eastAsia" w:ascii="宋体" w:hAnsi="宋体"/>
          <w:b/>
          <w:bCs/>
          <w:sz w:val="28"/>
          <w:szCs w:val="28"/>
          <w:highlight w:val="none"/>
        </w:rPr>
        <w:t>技术标）</w:t>
      </w:r>
    </w:p>
    <w:p w14:paraId="48D102CD">
      <w:pPr>
        <w:pStyle w:val="2"/>
        <w:rPr>
          <w:highlight w:val="none"/>
        </w:rPr>
      </w:pPr>
    </w:p>
    <w:p w14:paraId="08E86447">
      <w:pPr>
        <w:spacing w:line="360" w:lineRule="auto"/>
        <w:ind w:right="532" w:firstLine="720" w:firstLineChars="200"/>
        <w:rPr>
          <w:rFonts w:ascii="宋体" w:hAnsi="宋体"/>
          <w:sz w:val="36"/>
          <w:szCs w:val="36"/>
          <w:highlight w:val="none"/>
        </w:rPr>
      </w:pPr>
      <w:r>
        <w:rPr>
          <w:rFonts w:hint="eastAsia" w:ascii="宋体" w:hAnsi="宋体"/>
          <w:sz w:val="36"/>
          <w:szCs w:val="36"/>
          <w:highlight w:val="none"/>
        </w:rPr>
        <w:t>投标人全称：</w:t>
      </w:r>
    </w:p>
    <w:p w14:paraId="1CF4EEE0">
      <w:pPr>
        <w:spacing w:line="360" w:lineRule="auto"/>
        <w:ind w:right="532" w:firstLine="720" w:firstLineChars="200"/>
        <w:rPr>
          <w:rFonts w:ascii="宋体" w:hAnsi="宋体"/>
          <w:sz w:val="36"/>
          <w:szCs w:val="36"/>
          <w:highlight w:val="none"/>
        </w:rPr>
      </w:pPr>
    </w:p>
    <w:p w14:paraId="102FFCD2">
      <w:pPr>
        <w:snapToGrid w:val="0"/>
        <w:spacing w:before="50" w:after="50" w:line="360" w:lineRule="auto"/>
        <w:rPr>
          <w:rFonts w:ascii="仿宋_GB2312" w:hAnsi="宋体" w:eastAsia="仿宋_GB2312"/>
          <w:b/>
          <w:sz w:val="36"/>
          <w:szCs w:val="36"/>
          <w:highlight w:val="none"/>
        </w:rPr>
      </w:pPr>
    </w:p>
    <w:p w14:paraId="3672760C">
      <w:pPr>
        <w:pStyle w:val="7"/>
        <w:rPr>
          <w:rFonts w:ascii="仿宋_GB2312" w:hAnsi="宋体" w:eastAsia="仿宋_GB2312"/>
          <w:b/>
          <w:sz w:val="36"/>
          <w:szCs w:val="36"/>
          <w:highlight w:val="none"/>
        </w:rPr>
      </w:pPr>
    </w:p>
    <w:p w14:paraId="244D2B6C">
      <w:pPr>
        <w:rPr>
          <w:b/>
          <w:bCs/>
          <w:sz w:val="32"/>
          <w:szCs w:val="32"/>
          <w:highlight w:val="none"/>
          <w:lang w:val="zh-CN"/>
        </w:rPr>
      </w:pPr>
      <w:bookmarkStart w:id="52" w:name="_Toc11308_WPSOffice_Level1"/>
      <w:bookmarkStart w:id="53" w:name="_Toc5889_WPSOffice_Level1"/>
    </w:p>
    <w:p w14:paraId="0EB028DA">
      <w:pPr>
        <w:jc w:val="center"/>
        <w:rPr>
          <w:b/>
          <w:bCs/>
          <w:sz w:val="36"/>
          <w:szCs w:val="36"/>
          <w:highlight w:val="none"/>
          <w:lang w:val="zh-CN"/>
        </w:rPr>
      </w:pPr>
    </w:p>
    <w:p w14:paraId="5A54FAD3">
      <w:pPr>
        <w:jc w:val="center"/>
        <w:rPr>
          <w:b/>
          <w:bCs/>
          <w:sz w:val="36"/>
          <w:szCs w:val="36"/>
          <w:highlight w:val="none"/>
          <w:lang w:val="zh-CN"/>
        </w:rPr>
      </w:pPr>
    </w:p>
    <w:p w14:paraId="083B0FBF">
      <w:pPr>
        <w:jc w:val="center"/>
        <w:rPr>
          <w:b/>
          <w:bCs/>
          <w:sz w:val="36"/>
          <w:szCs w:val="36"/>
          <w:highlight w:val="none"/>
          <w:lang w:val="zh-CN"/>
        </w:rPr>
      </w:pPr>
    </w:p>
    <w:p w14:paraId="0676FF7C">
      <w:pPr>
        <w:jc w:val="center"/>
        <w:rPr>
          <w:b/>
          <w:bCs/>
          <w:sz w:val="36"/>
          <w:szCs w:val="36"/>
          <w:highlight w:val="none"/>
          <w:lang w:val="zh-CN"/>
        </w:rPr>
      </w:pPr>
    </w:p>
    <w:p w14:paraId="01B49AB6">
      <w:pPr>
        <w:jc w:val="center"/>
        <w:rPr>
          <w:b/>
          <w:bCs/>
          <w:sz w:val="36"/>
          <w:szCs w:val="36"/>
          <w:highlight w:val="none"/>
        </w:rPr>
      </w:pPr>
      <w:r>
        <w:rPr>
          <w:rFonts w:hint="eastAsia"/>
          <w:b/>
          <w:bCs/>
          <w:sz w:val="36"/>
          <w:szCs w:val="36"/>
          <w:highlight w:val="none"/>
        </w:rPr>
        <w:t>技术标目录</w:t>
      </w:r>
      <w:bookmarkEnd w:id="52"/>
      <w:bookmarkEnd w:id="53"/>
    </w:p>
    <w:p w14:paraId="21DF4C7B">
      <w:pPr>
        <w:spacing w:line="360" w:lineRule="auto"/>
        <w:rPr>
          <w:sz w:val="24"/>
          <w:highlight w:val="none"/>
        </w:rPr>
      </w:pPr>
    </w:p>
    <w:p w14:paraId="6A181348">
      <w:pPr>
        <w:numPr>
          <w:ilvl w:val="0"/>
          <w:numId w:val="73"/>
        </w:numPr>
        <w:bidi w:val="0"/>
        <w:spacing w:line="360" w:lineRule="auto"/>
        <w:ind w:left="0" w:leftChars="0" w:firstLine="480" w:firstLineChars="200"/>
        <w:rPr>
          <w:rFonts w:hint="eastAsia"/>
          <w:sz w:val="24"/>
          <w:szCs w:val="24"/>
          <w:highlight w:val="none"/>
          <w:lang w:val="en-US" w:eastAsia="zh-CN"/>
        </w:rPr>
      </w:pPr>
      <w:r>
        <w:rPr>
          <w:rFonts w:hint="eastAsia"/>
          <w:sz w:val="24"/>
          <w:szCs w:val="24"/>
          <w:highlight w:val="none"/>
          <w:lang w:val="en-US" w:eastAsia="zh-CN"/>
        </w:rPr>
        <w:t>需求响应表（附件6）；</w:t>
      </w:r>
    </w:p>
    <w:p w14:paraId="53EA1FD2">
      <w:pPr>
        <w:numPr>
          <w:ilvl w:val="0"/>
          <w:numId w:val="73"/>
        </w:numPr>
        <w:bidi w:val="0"/>
        <w:spacing w:line="360" w:lineRule="auto"/>
        <w:ind w:left="0" w:leftChars="0" w:firstLine="480" w:firstLineChars="200"/>
        <w:rPr>
          <w:sz w:val="24"/>
          <w:szCs w:val="24"/>
          <w:highlight w:val="none"/>
        </w:rPr>
      </w:pPr>
      <w:r>
        <w:rPr>
          <w:rFonts w:hint="eastAsia"/>
          <w:sz w:val="24"/>
          <w:szCs w:val="24"/>
          <w:highlight w:val="none"/>
          <w:lang w:val="en-US" w:eastAsia="zh-CN"/>
        </w:rPr>
        <w:t>其余内容根据评标办法自拟</w:t>
      </w:r>
      <w:r>
        <w:rPr>
          <w:rFonts w:hint="eastAsia" w:ascii="宋体" w:hAnsi="宋体"/>
          <w:bCs/>
          <w:sz w:val="24"/>
          <w:szCs w:val="24"/>
          <w:highlight w:val="none"/>
        </w:rPr>
        <w:t>。</w:t>
      </w:r>
    </w:p>
    <w:p w14:paraId="67674204">
      <w:pPr>
        <w:pStyle w:val="7"/>
        <w:spacing w:line="360" w:lineRule="auto"/>
        <w:ind w:firstLine="0"/>
        <w:rPr>
          <w:rFonts w:ascii="宋体" w:hAnsi="宋体"/>
          <w:bCs/>
          <w:sz w:val="24"/>
          <w:highlight w:val="none"/>
        </w:rPr>
      </w:pPr>
    </w:p>
    <w:p w14:paraId="543BD7F4">
      <w:pPr>
        <w:pStyle w:val="7"/>
        <w:spacing w:line="360" w:lineRule="auto"/>
        <w:ind w:firstLine="0"/>
        <w:rPr>
          <w:rFonts w:ascii="宋体" w:hAnsi="宋体"/>
          <w:bCs/>
          <w:sz w:val="24"/>
          <w:highlight w:val="none"/>
        </w:rPr>
      </w:pPr>
    </w:p>
    <w:p w14:paraId="12384970">
      <w:pPr>
        <w:pStyle w:val="7"/>
        <w:spacing w:line="360" w:lineRule="auto"/>
        <w:ind w:firstLine="0"/>
        <w:rPr>
          <w:rFonts w:ascii="宋体" w:hAnsi="宋体"/>
          <w:bCs/>
          <w:sz w:val="24"/>
          <w:highlight w:val="none"/>
        </w:rPr>
      </w:pPr>
    </w:p>
    <w:p w14:paraId="570A677F">
      <w:pPr>
        <w:pStyle w:val="7"/>
        <w:spacing w:line="360" w:lineRule="auto"/>
        <w:ind w:firstLine="0"/>
        <w:rPr>
          <w:rFonts w:ascii="宋体" w:hAnsi="宋体"/>
          <w:bCs/>
          <w:sz w:val="24"/>
          <w:highlight w:val="none"/>
        </w:rPr>
      </w:pPr>
    </w:p>
    <w:p w14:paraId="2B1E7BF7">
      <w:pPr>
        <w:pStyle w:val="7"/>
        <w:spacing w:line="360" w:lineRule="auto"/>
        <w:ind w:firstLine="0"/>
        <w:rPr>
          <w:rFonts w:ascii="宋体" w:hAnsi="宋体"/>
          <w:bCs/>
          <w:sz w:val="24"/>
          <w:highlight w:val="none"/>
        </w:rPr>
      </w:pPr>
    </w:p>
    <w:p w14:paraId="5F0005A9">
      <w:pPr>
        <w:pStyle w:val="7"/>
        <w:spacing w:line="360" w:lineRule="auto"/>
        <w:ind w:firstLine="0"/>
        <w:rPr>
          <w:rFonts w:ascii="宋体" w:hAnsi="宋体"/>
          <w:bCs/>
          <w:sz w:val="24"/>
          <w:highlight w:val="none"/>
        </w:rPr>
      </w:pPr>
    </w:p>
    <w:p w14:paraId="14EAF528">
      <w:pPr>
        <w:pStyle w:val="7"/>
        <w:spacing w:line="360" w:lineRule="auto"/>
        <w:ind w:firstLine="0"/>
        <w:rPr>
          <w:rFonts w:ascii="宋体" w:hAnsi="宋体"/>
          <w:bCs/>
          <w:sz w:val="24"/>
          <w:highlight w:val="none"/>
        </w:rPr>
      </w:pPr>
    </w:p>
    <w:p w14:paraId="5DCC4E21">
      <w:pPr>
        <w:pStyle w:val="7"/>
        <w:spacing w:line="360" w:lineRule="auto"/>
        <w:ind w:firstLine="0"/>
        <w:rPr>
          <w:rFonts w:ascii="宋体" w:hAnsi="宋体"/>
          <w:bCs/>
          <w:sz w:val="24"/>
          <w:highlight w:val="none"/>
        </w:rPr>
      </w:pPr>
    </w:p>
    <w:p w14:paraId="38EB16FC">
      <w:pPr>
        <w:rPr>
          <w:highlight w:val="none"/>
        </w:rPr>
      </w:pPr>
    </w:p>
    <w:p w14:paraId="5ECA8869">
      <w:pPr>
        <w:pStyle w:val="40"/>
        <w:shd w:val="clear" w:color="auto" w:fill="FFFFFF"/>
        <w:spacing w:before="0" w:beforeAutospacing="0" w:after="0" w:afterAutospacing="0" w:line="360" w:lineRule="auto"/>
        <w:rPr>
          <w:b/>
          <w:sz w:val="28"/>
          <w:highlight w:val="none"/>
        </w:rPr>
      </w:pPr>
    </w:p>
    <w:p w14:paraId="01364A99">
      <w:pPr>
        <w:pStyle w:val="40"/>
        <w:shd w:val="clear" w:color="auto" w:fill="FFFFFF"/>
        <w:spacing w:before="0" w:beforeAutospacing="0" w:after="0" w:afterAutospacing="0" w:line="360" w:lineRule="auto"/>
        <w:rPr>
          <w:b/>
          <w:sz w:val="28"/>
          <w:highlight w:val="none"/>
        </w:rPr>
      </w:pPr>
    </w:p>
    <w:p w14:paraId="387D0E63">
      <w:pPr>
        <w:pStyle w:val="40"/>
        <w:shd w:val="clear" w:color="auto" w:fill="FFFFFF"/>
        <w:spacing w:before="0" w:beforeAutospacing="0" w:after="0" w:afterAutospacing="0" w:line="360" w:lineRule="auto"/>
        <w:rPr>
          <w:b/>
          <w:sz w:val="28"/>
          <w:highlight w:val="none"/>
        </w:rPr>
      </w:pPr>
    </w:p>
    <w:p w14:paraId="02579406">
      <w:pPr>
        <w:pStyle w:val="40"/>
        <w:shd w:val="clear" w:color="auto" w:fill="FFFFFF"/>
        <w:spacing w:before="0" w:beforeAutospacing="0" w:after="0" w:afterAutospacing="0" w:line="360" w:lineRule="auto"/>
        <w:rPr>
          <w:b/>
          <w:sz w:val="28"/>
          <w:highlight w:val="none"/>
        </w:rPr>
      </w:pPr>
    </w:p>
    <w:p w14:paraId="496FC427">
      <w:pPr>
        <w:rPr>
          <w:rFonts w:hint="eastAsia"/>
          <w:b/>
          <w:sz w:val="28"/>
          <w:highlight w:val="none"/>
        </w:rPr>
      </w:pPr>
      <w:r>
        <w:rPr>
          <w:rFonts w:hint="eastAsia"/>
          <w:b/>
          <w:sz w:val="28"/>
          <w:highlight w:val="none"/>
        </w:rPr>
        <w:br w:type="page"/>
      </w:r>
    </w:p>
    <w:p w14:paraId="62FA9ADA">
      <w:pPr>
        <w:pStyle w:val="40"/>
        <w:shd w:val="clear" w:color="auto" w:fill="FFFFFF"/>
        <w:spacing w:before="0" w:beforeAutospacing="0" w:after="0" w:afterAutospacing="0" w:line="360" w:lineRule="auto"/>
        <w:rPr>
          <w:rFonts w:hint="eastAsia"/>
          <w:b/>
          <w:sz w:val="28"/>
          <w:highlight w:val="none"/>
        </w:rPr>
        <w:sectPr>
          <w:headerReference r:id="rId10" w:type="default"/>
          <w:footerReference r:id="rId11" w:type="default"/>
          <w:pgSz w:w="11906" w:h="16838"/>
          <w:pgMar w:top="1247" w:right="1361" w:bottom="1247" w:left="1361" w:header="851" w:footer="850" w:gutter="0"/>
          <w:pgNumType w:fmt="decimal"/>
          <w:cols w:space="0" w:num="1"/>
          <w:rtlGutter w:val="0"/>
          <w:docGrid w:type="lines" w:linePitch="316" w:charSpace="0"/>
        </w:sectPr>
      </w:pPr>
    </w:p>
    <w:p w14:paraId="5D14CAAB">
      <w:pPr>
        <w:pStyle w:val="40"/>
        <w:shd w:val="clear" w:color="auto" w:fill="FFFFFF"/>
        <w:spacing w:before="0" w:beforeAutospacing="0" w:after="0" w:afterAutospacing="0" w:line="360" w:lineRule="auto"/>
        <w:rPr>
          <w:rFonts w:hint="eastAsia" w:eastAsia="宋体"/>
          <w:b/>
          <w:sz w:val="28"/>
          <w:highlight w:val="none"/>
          <w:lang w:eastAsia="zh-CN"/>
        </w:rPr>
      </w:pPr>
      <w:r>
        <w:rPr>
          <w:rFonts w:hint="eastAsia"/>
          <w:b/>
          <w:sz w:val="28"/>
          <w:highlight w:val="none"/>
        </w:rPr>
        <w:t>附件</w:t>
      </w:r>
      <w:r>
        <w:rPr>
          <w:rFonts w:hint="eastAsia"/>
          <w:b/>
          <w:sz w:val="28"/>
          <w:highlight w:val="none"/>
          <w:lang w:val="en-US" w:eastAsia="zh-CN"/>
        </w:rPr>
        <w:t>六</w:t>
      </w:r>
    </w:p>
    <w:p w14:paraId="23D6EC06">
      <w:pPr>
        <w:spacing w:line="360" w:lineRule="auto"/>
        <w:jc w:val="center"/>
        <w:rPr>
          <w:rFonts w:ascii="宋体" w:hAnsi="宋体"/>
          <w:b/>
          <w:kern w:val="0"/>
          <w:sz w:val="32"/>
          <w:szCs w:val="32"/>
          <w:highlight w:val="none"/>
        </w:rPr>
      </w:pPr>
      <w:bookmarkStart w:id="54" w:name="_Toc26601_WPSOffice_Level1"/>
      <w:bookmarkStart w:id="55" w:name="_Toc12856_WPSOffice_Level1"/>
      <w:r>
        <w:rPr>
          <w:rFonts w:hint="eastAsia" w:ascii="宋体" w:hAnsi="宋体"/>
          <w:b/>
          <w:kern w:val="0"/>
          <w:sz w:val="32"/>
          <w:szCs w:val="32"/>
          <w:highlight w:val="none"/>
          <w:lang w:val="en-US" w:eastAsia="zh-CN"/>
        </w:rPr>
        <w:t>需求</w:t>
      </w:r>
      <w:r>
        <w:rPr>
          <w:rFonts w:ascii="宋体" w:hAnsi="宋体"/>
          <w:b/>
          <w:kern w:val="0"/>
          <w:sz w:val="32"/>
          <w:szCs w:val="32"/>
          <w:highlight w:val="none"/>
        </w:rPr>
        <w:t>响应表</w:t>
      </w:r>
    </w:p>
    <w:tbl>
      <w:tblPr>
        <w:tblStyle w:val="26"/>
        <w:tblpPr w:leftFromText="180" w:rightFromText="180" w:vertAnchor="text" w:horzAnchor="page" w:tblpX="1309" w:tblpY="235"/>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108" w:type="dxa"/>
          <w:bottom w:w="0" w:type="dxa"/>
          <w:right w:w="108" w:type="dxa"/>
        </w:tblCellMar>
      </w:tblPr>
      <w:tblGrid>
        <w:gridCol w:w="1514"/>
        <w:gridCol w:w="5875"/>
        <w:gridCol w:w="1076"/>
        <w:gridCol w:w="935"/>
      </w:tblGrid>
      <w:tr w14:paraId="7EFAD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514" w:type="dxa"/>
            <w:tcBorders>
              <w:tl2br w:val="nil"/>
              <w:tr2bl w:val="nil"/>
            </w:tcBorders>
            <w:shd w:val="clear" w:color="auto" w:fill="FFFFFF" w:themeFill="background1"/>
            <w:vAlign w:val="center"/>
          </w:tcPr>
          <w:p w14:paraId="6BF56FE3">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b/>
                <w:bCs/>
                <w:sz w:val="24"/>
                <w:highlight w:val="none"/>
                <w:lang w:val="en-US" w:eastAsia="zh-CN"/>
              </w:rPr>
              <w:t>内容</w:t>
            </w:r>
          </w:p>
        </w:tc>
        <w:tc>
          <w:tcPr>
            <w:tcW w:w="5875" w:type="dxa"/>
            <w:tcBorders>
              <w:tl2br w:val="nil"/>
              <w:tr2bl w:val="nil"/>
            </w:tcBorders>
            <w:shd w:val="clear" w:color="auto" w:fill="FFFFFF" w:themeFill="background1"/>
            <w:vAlign w:val="center"/>
          </w:tcPr>
          <w:p w14:paraId="17E691AF">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r>
              <w:rPr>
                <w:rFonts w:ascii="宋体" w:hAnsi="宋体"/>
                <w:b/>
                <w:bCs/>
                <w:sz w:val="24"/>
                <w:highlight w:val="none"/>
                <w:u w:val="thick" w:color="FFFFFF"/>
              </w:rPr>
              <w:t>招标文件</w:t>
            </w:r>
            <w:r>
              <w:rPr>
                <w:rFonts w:ascii="宋体" w:hAnsi="宋体"/>
                <w:b/>
                <w:bCs/>
                <w:sz w:val="24"/>
                <w:highlight w:val="none"/>
              </w:rPr>
              <w:t>要求</w:t>
            </w:r>
          </w:p>
        </w:tc>
        <w:tc>
          <w:tcPr>
            <w:tcW w:w="1076" w:type="dxa"/>
            <w:tcBorders>
              <w:tl2br w:val="nil"/>
              <w:tr2bl w:val="nil"/>
            </w:tcBorders>
            <w:shd w:val="clear" w:color="auto" w:fill="FFFFFF" w:themeFill="background1"/>
            <w:noWrap/>
            <w:vAlign w:val="center"/>
          </w:tcPr>
          <w:p w14:paraId="4B70820A">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r>
              <w:rPr>
                <w:rFonts w:ascii="宋体" w:hAnsi="宋体"/>
                <w:b/>
                <w:bCs/>
                <w:sz w:val="24"/>
                <w:highlight w:val="none"/>
              </w:rPr>
              <w:t>投标响应内容</w:t>
            </w:r>
          </w:p>
        </w:tc>
        <w:tc>
          <w:tcPr>
            <w:tcW w:w="935" w:type="dxa"/>
            <w:tcBorders>
              <w:tl2br w:val="nil"/>
              <w:tr2bl w:val="nil"/>
            </w:tcBorders>
            <w:shd w:val="clear" w:color="auto" w:fill="FFFFFF" w:themeFill="background1"/>
            <w:noWrap/>
            <w:vAlign w:val="center"/>
          </w:tcPr>
          <w:p w14:paraId="6A632118">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b/>
                <w:bCs/>
                <w:sz w:val="24"/>
                <w:highlight w:val="none"/>
                <w:lang w:val="en-US" w:eastAsia="zh-CN"/>
              </w:rPr>
              <w:t>是否响应</w:t>
            </w:r>
          </w:p>
        </w:tc>
      </w:tr>
      <w:tr w14:paraId="64DF1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trPr>
        <w:tc>
          <w:tcPr>
            <w:tcW w:w="1514" w:type="dxa"/>
            <w:tcBorders>
              <w:tl2br w:val="nil"/>
              <w:tr2bl w:val="nil"/>
            </w:tcBorders>
            <w:shd w:val="clear" w:color="auto" w:fill="FFFFFF" w:themeFill="background1"/>
            <w:vAlign w:val="center"/>
          </w:tcPr>
          <w:p w14:paraId="69BFA300">
            <w:pPr>
              <w:bidi w:val="0"/>
              <w:jc w:val="center"/>
              <w:rPr>
                <w:rFonts w:hint="eastAsia"/>
                <w:b/>
                <w:bCs/>
                <w:lang w:val="en-US" w:eastAsia="zh-CN"/>
              </w:rPr>
            </w:pPr>
            <w:r>
              <w:rPr>
                <w:rFonts w:hint="eastAsia"/>
                <w:b/>
                <w:bCs/>
              </w:rPr>
              <w:t>▲</w:t>
            </w:r>
            <w:r>
              <w:rPr>
                <w:b/>
                <w:bCs/>
              </w:rPr>
              <w:t>工作人员总人数</w:t>
            </w:r>
          </w:p>
        </w:tc>
        <w:tc>
          <w:tcPr>
            <w:tcW w:w="5875" w:type="dxa"/>
            <w:tcBorders>
              <w:tl2br w:val="nil"/>
              <w:tr2bl w:val="nil"/>
            </w:tcBorders>
            <w:shd w:val="clear" w:color="auto" w:fill="FFFFFF" w:themeFill="background1"/>
            <w:vAlign w:val="center"/>
          </w:tcPr>
          <w:p w14:paraId="13FFE067">
            <w:pPr>
              <w:bidi w:val="0"/>
              <w:rPr>
                <w:b/>
                <w:bCs/>
              </w:rPr>
            </w:pPr>
            <w:r>
              <w:rPr>
                <w:rFonts w:hint="eastAsia"/>
                <w:b/>
                <w:bCs/>
                <w:lang w:val="en-US"/>
              </w:rPr>
              <w:t>不少于1</w:t>
            </w:r>
            <w:r>
              <w:rPr>
                <w:rFonts w:hint="eastAsia"/>
                <w:b/>
                <w:bCs/>
                <w:lang w:val="en-US" w:eastAsia="zh-CN"/>
              </w:rPr>
              <w:t>3</w:t>
            </w:r>
            <w:r>
              <w:rPr>
                <w:rFonts w:hint="eastAsia"/>
                <w:b/>
                <w:bCs/>
                <w:lang w:val="en-US"/>
              </w:rPr>
              <w:t>人。其中，</w:t>
            </w:r>
            <w:r>
              <w:rPr>
                <w:b/>
                <w:bCs/>
              </w:rPr>
              <w:t>项目经理1名，厨师</w:t>
            </w:r>
            <w:r>
              <w:rPr>
                <w:rFonts w:hint="eastAsia"/>
                <w:b/>
                <w:bCs/>
                <w:lang w:val="en-US"/>
              </w:rPr>
              <w:t>1</w:t>
            </w:r>
            <w:r>
              <w:rPr>
                <w:b/>
                <w:bCs/>
              </w:rPr>
              <w:t>名</w:t>
            </w:r>
            <w:r>
              <w:rPr>
                <w:rFonts w:hint="eastAsia"/>
                <w:b/>
                <w:bCs/>
              </w:rPr>
              <w:t>，</w:t>
            </w:r>
            <w:r>
              <w:rPr>
                <w:rFonts w:hint="eastAsia"/>
                <w:b/>
                <w:bCs/>
                <w:lang w:val="en-US"/>
              </w:rPr>
              <w:t>面点师1人</w:t>
            </w:r>
            <w:r>
              <w:rPr>
                <w:rFonts w:hint="eastAsia"/>
                <w:b/>
                <w:bCs/>
              </w:rPr>
              <w:t>。</w:t>
            </w:r>
          </w:p>
          <w:p w14:paraId="3BFE44AE">
            <w:pPr>
              <w:bidi w:val="0"/>
              <w:rPr>
                <w:rFonts w:hint="default"/>
                <w:b/>
                <w:bCs/>
                <w:lang w:val="en-US" w:eastAsia="zh-CN"/>
              </w:rPr>
            </w:pPr>
          </w:p>
        </w:tc>
        <w:tc>
          <w:tcPr>
            <w:tcW w:w="1076" w:type="dxa"/>
            <w:tcBorders>
              <w:tl2br w:val="nil"/>
              <w:tr2bl w:val="nil"/>
            </w:tcBorders>
            <w:shd w:val="clear" w:color="auto" w:fill="FFFFFF" w:themeFill="background1"/>
            <w:noWrap/>
            <w:vAlign w:val="center"/>
          </w:tcPr>
          <w:p w14:paraId="742B105D">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935" w:type="dxa"/>
            <w:tcBorders>
              <w:tl2br w:val="nil"/>
              <w:tr2bl w:val="nil"/>
            </w:tcBorders>
            <w:shd w:val="clear" w:color="auto" w:fill="FFFFFF" w:themeFill="background1"/>
            <w:noWrap/>
            <w:vAlign w:val="center"/>
          </w:tcPr>
          <w:p w14:paraId="2779A470">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14:paraId="6358E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trPr>
        <w:tc>
          <w:tcPr>
            <w:tcW w:w="1514" w:type="dxa"/>
            <w:tcBorders>
              <w:tl2br w:val="nil"/>
              <w:tr2bl w:val="nil"/>
            </w:tcBorders>
            <w:shd w:val="clear" w:color="auto" w:fill="FFFFFF" w:themeFill="background1"/>
            <w:vAlign w:val="center"/>
          </w:tcPr>
          <w:p w14:paraId="5D5E677A">
            <w:pPr>
              <w:bidi w:val="0"/>
              <w:jc w:val="center"/>
              <w:rPr>
                <w:rFonts w:hint="default"/>
                <w:b/>
                <w:bCs/>
                <w:lang w:val="en-US" w:eastAsia="zh-CN"/>
              </w:rPr>
            </w:pPr>
            <w:r>
              <w:rPr>
                <w:rFonts w:hint="eastAsia"/>
                <w:b/>
                <w:bCs/>
              </w:rPr>
              <w:t>▲</w:t>
            </w:r>
            <w:r>
              <w:rPr>
                <w:rFonts w:hint="eastAsia"/>
                <w:b/>
                <w:bCs/>
                <w:lang w:val="en-US" w:eastAsia="zh-CN"/>
              </w:rPr>
              <w:t>服务期</w:t>
            </w:r>
          </w:p>
        </w:tc>
        <w:tc>
          <w:tcPr>
            <w:tcW w:w="5875" w:type="dxa"/>
            <w:tcBorders>
              <w:tl2br w:val="nil"/>
              <w:tr2bl w:val="nil"/>
            </w:tcBorders>
            <w:shd w:val="clear" w:color="auto" w:fill="FFFFFF" w:themeFill="background1"/>
            <w:vAlign w:val="center"/>
          </w:tcPr>
          <w:p w14:paraId="00B12D7C">
            <w:pPr>
              <w:bidi w:val="0"/>
              <w:rPr>
                <w:rFonts w:hint="eastAsia"/>
                <w:b/>
                <w:bCs/>
                <w:lang w:val="en-US" w:eastAsia="zh-CN"/>
              </w:rPr>
            </w:pPr>
            <w:r>
              <w:rPr>
                <w:rFonts w:hint="eastAsia"/>
                <w:b/>
                <w:bCs/>
                <w:lang w:val="en-US" w:eastAsia="zh-CN"/>
              </w:rPr>
              <w:t>2025-2026学年。服务期满后，满意度达到80%及以上，并经校行政会议研究通过的，续签合同。续签时的合同金额不变，供应商不得有异议或拒绝。续签期限为一学年，续签2次。</w:t>
            </w:r>
          </w:p>
        </w:tc>
        <w:tc>
          <w:tcPr>
            <w:tcW w:w="1076" w:type="dxa"/>
            <w:tcBorders>
              <w:tl2br w:val="nil"/>
              <w:tr2bl w:val="nil"/>
            </w:tcBorders>
            <w:shd w:val="clear" w:color="auto" w:fill="FFFFFF" w:themeFill="background1"/>
            <w:noWrap/>
            <w:vAlign w:val="center"/>
          </w:tcPr>
          <w:p w14:paraId="22A9147B">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935" w:type="dxa"/>
            <w:tcBorders>
              <w:tl2br w:val="nil"/>
              <w:tr2bl w:val="nil"/>
            </w:tcBorders>
            <w:shd w:val="clear" w:color="auto" w:fill="FFFFFF" w:themeFill="background1"/>
            <w:noWrap/>
            <w:vAlign w:val="center"/>
          </w:tcPr>
          <w:p w14:paraId="38A00DD7">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14:paraId="0A073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trPr>
        <w:tc>
          <w:tcPr>
            <w:tcW w:w="1514" w:type="dxa"/>
            <w:tcBorders>
              <w:tl2br w:val="nil"/>
              <w:tr2bl w:val="nil"/>
            </w:tcBorders>
            <w:shd w:val="clear" w:color="auto" w:fill="FFFFFF" w:themeFill="background1"/>
            <w:vAlign w:val="center"/>
          </w:tcPr>
          <w:p w14:paraId="660ED626">
            <w:pPr>
              <w:bidi w:val="0"/>
              <w:jc w:val="center"/>
              <w:rPr>
                <w:rFonts w:hint="default"/>
                <w:b/>
                <w:bCs/>
                <w:lang w:val="en-US" w:eastAsia="zh-CN"/>
              </w:rPr>
            </w:pPr>
            <w:r>
              <w:rPr>
                <w:rFonts w:hint="eastAsia"/>
                <w:b/>
                <w:bCs/>
              </w:rPr>
              <w:t>▲</w:t>
            </w:r>
            <w:r>
              <w:rPr>
                <w:rFonts w:hint="eastAsia"/>
                <w:b/>
                <w:bCs/>
                <w:lang w:val="en-US" w:eastAsia="zh-CN"/>
              </w:rPr>
              <w:t>付款条件</w:t>
            </w:r>
          </w:p>
        </w:tc>
        <w:tc>
          <w:tcPr>
            <w:tcW w:w="5875" w:type="dxa"/>
            <w:tcBorders>
              <w:tl2br w:val="nil"/>
              <w:tr2bl w:val="nil"/>
            </w:tcBorders>
            <w:shd w:val="clear" w:color="auto" w:fill="FFFFFF" w:themeFill="background1"/>
            <w:vAlign w:val="center"/>
          </w:tcPr>
          <w:p w14:paraId="24ED494C">
            <w:pPr>
              <w:bidi w:val="0"/>
              <w:rPr>
                <w:rFonts w:hint="eastAsia"/>
                <w:b/>
                <w:bCs/>
                <w:lang w:val="en-US" w:eastAsia="zh-CN"/>
              </w:rPr>
            </w:pPr>
            <w:r>
              <w:rPr>
                <w:rFonts w:hint="eastAsia"/>
                <w:b/>
                <w:bCs/>
                <w:lang w:val="en-US" w:eastAsia="zh-CN"/>
              </w:rPr>
              <w:t>每月10日前，由中标人提供正式票据后支付，采购人每月支付上月服务费用的90%。一学年按10个月计，每月服务费=师生餐费总额*中标价/10。采购人每月提取的10%服务费用作为考核经费，根据每学期测评结果支付。</w:t>
            </w:r>
          </w:p>
          <w:p w14:paraId="53C4DC58">
            <w:pPr>
              <w:bidi w:val="0"/>
              <w:rPr>
                <w:rFonts w:hint="eastAsia"/>
                <w:b/>
                <w:bCs/>
                <w:lang w:val="en-US" w:eastAsia="zh-CN"/>
              </w:rPr>
            </w:pPr>
            <w:r>
              <w:rPr>
                <w:rFonts w:hint="eastAsia"/>
                <w:b/>
                <w:bCs/>
                <w:lang w:val="en-US" w:eastAsia="zh-CN"/>
              </w:rPr>
              <w:t>每学期末结算服务费余额（即最后一次按经校方审定的实际师生餐费总额作为基数，其余月份按预收取的师生餐费总额作为基准）</w:t>
            </w:r>
          </w:p>
          <w:p w14:paraId="22C57749">
            <w:pPr>
              <w:bidi w:val="0"/>
              <w:rPr>
                <w:rFonts w:hint="eastAsia"/>
                <w:b/>
                <w:bCs/>
                <w:lang w:val="en-US" w:eastAsia="zh-CN"/>
              </w:rPr>
            </w:pPr>
            <w:r>
              <w:rPr>
                <w:rFonts w:hint="eastAsia"/>
                <w:b/>
                <w:bCs/>
              </w:rPr>
              <w:t>若遇特殊情况有服务人员临时不能到位或岗位不符的，按其岗位平均每月人员开支的标准扣除服务费。</w:t>
            </w:r>
          </w:p>
        </w:tc>
        <w:tc>
          <w:tcPr>
            <w:tcW w:w="1076" w:type="dxa"/>
            <w:tcBorders>
              <w:tl2br w:val="nil"/>
              <w:tr2bl w:val="nil"/>
            </w:tcBorders>
            <w:shd w:val="clear" w:color="auto" w:fill="FFFFFF" w:themeFill="background1"/>
            <w:noWrap/>
            <w:vAlign w:val="center"/>
          </w:tcPr>
          <w:p w14:paraId="1A5E19D7">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935" w:type="dxa"/>
            <w:tcBorders>
              <w:tl2br w:val="nil"/>
              <w:tr2bl w:val="nil"/>
            </w:tcBorders>
            <w:shd w:val="clear" w:color="auto" w:fill="FFFFFF" w:themeFill="background1"/>
            <w:noWrap/>
            <w:vAlign w:val="center"/>
          </w:tcPr>
          <w:p w14:paraId="7F19A063">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r>
    </w:tbl>
    <w:p w14:paraId="6F45BEDE">
      <w:pPr>
        <w:adjustRightInd w:val="0"/>
        <w:snapToGrid w:val="0"/>
        <w:jc w:val="left"/>
        <w:rPr>
          <w:highlight w:val="none"/>
        </w:rPr>
      </w:pPr>
      <w:r>
        <w:rPr>
          <w:rFonts w:hAnsi="宋体"/>
          <w:b/>
          <w:szCs w:val="21"/>
          <w:highlight w:val="none"/>
        </w:rPr>
        <w:t>说明：</w:t>
      </w:r>
      <w:r>
        <w:rPr>
          <w:rFonts w:hint="eastAsia" w:ascii="宋体" w:hAnsi="宋体" w:eastAsia="宋体" w:cs="宋体"/>
          <w:b/>
          <w:bCs/>
          <w:kern w:val="0"/>
          <w:sz w:val="21"/>
          <w:szCs w:val="21"/>
          <w:highlight w:val="none"/>
          <w:lang w:val="en-US" w:eastAsia="zh-CN"/>
        </w:rPr>
        <w:t>任意一项标“</w:t>
      </w:r>
      <w:r>
        <w:rPr>
          <w:rFonts w:hint="eastAsia" w:ascii="宋体" w:hAnsi="宋体" w:eastAsia="宋体" w:cs="宋体"/>
          <w:b/>
          <w:bCs/>
          <w:kern w:val="0"/>
          <w:sz w:val="21"/>
          <w:szCs w:val="21"/>
          <w:highlight w:val="none"/>
        </w:rPr>
        <w:t>▲</w:t>
      </w:r>
      <w:r>
        <w:rPr>
          <w:rFonts w:hint="eastAsia" w:ascii="宋体" w:hAnsi="宋体" w:eastAsia="宋体" w:cs="宋体"/>
          <w:b/>
          <w:bCs/>
          <w:kern w:val="0"/>
          <w:sz w:val="21"/>
          <w:szCs w:val="21"/>
          <w:highlight w:val="none"/>
          <w:lang w:eastAsia="zh-CN"/>
        </w:rPr>
        <w:t>”</w:t>
      </w:r>
      <w:r>
        <w:rPr>
          <w:rFonts w:hint="eastAsia" w:ascii="宋体" w:hAnsi="宋体" w:eastAsia="宋体" w:cs="宋体"/>
          <w:b/>
          <w:bCs/>
          <w:kern w:val="0"/>
          <w:sz w:val="21"/>
          <w:szCs w:val="21"/>
          <w:highlight w:val="none"/>
          <w:lang w:val="en-US" w:eastAsia="zh-CN"/>
        </w:rPr>
        <w:t>条款不满足的，均按投标无效处理。</w:t>
      </w:r>
    </w:p>
    <w:bookmarkEnd w:id="54"/>
    <w:bookmarkEnd w:id="55"/>
    <w:p w14:paraId="48587DEC">
      <w:pPr>
        <w:spacing w:line="360" w:lineRule="auto"/>
        <w:rPr>
          <w:rFonts w:ascii="宋体" w:hAnsi="宋体"/>
          <w:sz w:val="24"/>
          <w:highlight w:val="none"/>
        </w:rPr>
      </w:pPr>
    </w:p>
    <w:p w14:paraId="034F5E85">
      <w:pPr>
        <w:pStyle w:val="2"/>
        <w:rPr>
          <w:highlight w:val="none"/>
        </w:rPr>
      </w:pPr>
    </w:p>
    <w:p w14:paraId="7F4FFD8D">
      <w:pPr>
        <w:adjustRightInd w:val="0"/>
        <w:snapToGrid w:val="0"/>
        <w:spacing w:line="360" w:lineRule="auto"/>
        <w:jc w:val="left"/>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14:paraId="7D222FE1">
      <w:pPr>
        <w:adjustRightInd w:val="0"/>
        <w:snapToGrid w:val="0"/>
        <w:spacing w:line="360" w:lineRule="auto"/>
        <w:jc w:val="left"/>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14:paraId="37F98CBD">
      <w:pPr>
        <w:spacing w:line="360" w:lineRule="auto"/>
        <w:jc w:val="left"/>
        <w:rPr>
          <w:rFonts w:hint="eastAsia" w:ascii="宋体" w:hAnsi="宋体" w:cs="仿宋_GB2312"/>
          <w:color w:val="FF0000"/>
          <w:kern w:val="0"/>
          <w:sz w:val="24"/>
          <w:highlight w:val="none"/>
          <w:lang w:val="zh-CN"/>
        </w:rPr>
        <w:sectPr>
          <w:pgSz w:w="11906" w:h="16838"/>
          <w:pgMar w:top="1247" w:right="1361" w:bottom="1247" w:left="1361" w:header="851" w:footer="850" w:gutter="0"/>
          <w:pgNumType w:fmt="decimal"/>
          <w:cols w:space="0" w:num="1"/>
          <w:rtlGutter w:val="0"/>
          <w:docGrid w:type="lines" w:linePitch="316" w:charSpace="0"/>
        </w:sectPr>
      </w:pPr>
      <w:r>
        <w:rPr>
          <w:rFonts w:hint="eastAsia" w:ascii="宋体" w:hAnsi="宋体" w:cs="仿宋_GB2312"/>
          <w:color w:val="FF0000"/>
          <w:kern w:val="0"/>
          <w:sz w:val="24"/>
          <w:highlight w:val="none"/>
          <w:lang w:val="zh-CN"/>
        </w:rPr>
        <w:t>日期：    年   月   日</w:t>
      </w:r>
    </w:p>
    <w:p w14:paraId="2A44DC20">
      <w:pPr>
        <w:rPr>
          <w:rFonts w:hint="eastAsia"/>
          <w:sz w:val="44"/>
          <w:szCs w:val="44"/>
          <w:highlight w:val="none"/>
          <w:lang w:eastAsia="zh-CN"/>
        </w:rPr>
      </w:pPr>
    </w:p>
    <w:p w14:paraId="584F61C9">
      <w:pPr>
        <w:jc w:val="center"/>
        <w:rPr>
          <w:rFonts w:hint="eastAsia" w:eastAsia="宋体"/>
          <w:sz w:val="44"/>
          <w:szCs w:val="44"/>
          <w:highlight w:val="none"/>
          <w:lang w:eastAsia="zh-CN"/>
        </w:rPr>
      </w:pPr>
      <w:r>
        <w:rPr>
          <w:rFonts w:hint="eastAsia"/>
          <w:sz w:val="44"/>
          <w:szCs w:val="44"/>
          <w:highlight w:val="none"/>
          <w:lang w:eastAsia="zh-CN"/>
        </w:rPr>
        <w:t>台州市文华小学食堂委托管理服务项目</w:t>
      </w:r>
    </w:p>
    <w:p w14:paraId="063973D6">
      <w:pPr>
        <w:pStyle w:val="2"/>
        <w:jc w:val="center"/>
        <w:rPr>
          <w:rFonts w:hint="eastAsia" w:ascii="宋体" w:hAnsi="宋体"/>
          <w:sz w:val="36"/>
          <w:szCs w:val="36"/>
          <w:highlight w:val="none"/>
        </w:rPr>
      </w:pPr>
    </w:p>
    <w:p w14:paraId="432419B4">
      <w:pPr>
        <w:pStyle w:val="2"/>
        <w:jc w:val="center"/>
        <w:rPr>
          <w:rFonts w:hint="eastAsia" w:eastAsia="宋体"/>
          <w:highlight w:val="none"/>
          <w:lang w:eastAsia="zh-CN"/>
        </w:rPr>
      </w:pPr>
      <w:r>
        <w:rPr>
          <w:rFonts w:hint="eastAsia" w:ascii="宋体" w:hAnsi="宋体"/>
          <w:sz w:val="36"/>
          <w:szCs w:val="36"/>
          <w:highlight w:val="none"/>
        </w:rPr>
        <w:t>项目编号：</w:t>
      </w:r>
      <w:r>
        <w:rPr>
          <w:rFonts w:hint="eastAsia" w:ascii="宋体" w:hAnsi="宋体"/>
          <w:sz w:val="36"/>
          <w:szCs w:val="36"/>
          <w:highlight w:val="none"/>
          <w:lang w:eastAsia="zh-CN"/>
        </w:rPr>
        <w:t>TZYY-2507-008号</w:t>
      </w:r>
    </w:p>
    <w:p w14:paraId="1867C923">
      <w:pPr>
        <w:jc w:val="center"/>
        <w:rPr>
          <w:sz w:val="84"/>
          <w:szCs w:val="84"/>
          <w:highlight w:val="none"/>
        </w:rPr>
      </w:pPr>
      <w:bookmarkStart w:id="56" w:name="_Toc14572_WPSOffice_Level1"/>
      <w:bookmarkStart w:id="57" w:name="_Toc3932_WPSOffice_Level1"/>
      <w:r>
        <w:rPr>
          <w:rFonts w:hint="eastAsia"/>
          <w:sz w:val="84"/>
          <w:szCs w:val="84"/>
          <w:highlight w:val="none"/>
        </w:rPr>
        <w:t>商</w:t>
      </w:r>
    </w:p>
    <w:p w14:paraId="1B72827E">
      <w:pPr>
        <w:jc w:val="center"/>
        <w:rPr>
          <w:sz w:val="84"/>
          <w:szCs w:val="84"/>
          <w:highlight w:val="none"/>
        </w:rPr>
      </w:pPr>
      <w:r>
        <w:rPr>
          <w:rFonts w:hint="eastAsia"/>
          <w:sz w:val="84"/>
          <w:szCs w:val="84"/>
          <w:highlight w:val="none"/>
        </w:rPr>
        <w:t>务</w:t>
      </w:r>
    </w:p>
    <w:p w14:paraId="7559516D">
      <w:pPr>
        <w:jc w:val="center"/>
        <w:rPr>
          <w:sz w:val="84"/>
          <w:szCs w:val="84"/>
          <w:highlight w:val="none"/>
        </w:rPr>
      </w:pPr>
      <w:r>
        <w:rPr>
          <w:rFonts w:hint="eastAsia"/>
          <w:sz w:val="84"/>
          <w:szCs w:val="84"/>
          <w:highlight w:val="none"/>
        </w:rPr>
        <w:t>文</w:t>
      </w:r>
      <w:bookmarkEnd w:id="56"/>
      <w:bookmarkEnd w:id="57"/>
    </w:p>
    <w:p w14:paraId="1C4A48B2">
      <w:pPr>
        <w:jc w:val="center"/>
        <w:rPr>
          <w:sz w:val="84"/>
          <w:szCs w:val="84"/>
          <w:highlight w:val="none"/>
        </w:rPr>
      </w:pPr>
      <w:bookmarkStart w:id="58" w:name="_Toc7562_WPSOffice_Level1"/>
      <w:bookmarkStart w:id="59" w:name="_Toc16973_WPSOffice_Level1"/>
      <w:r>
        <w:rPr>
          <w:rFonts w:hint="eastAsia"/>
          <w:sz w:val="84"/>
          <w:szCs w:val="84"/>
          <w:highlight w:val="none"/>
        </w:rPr>
        <w:t>件</w:t>
      </w:r>
      <w:bookmarkEnd w:id="58"/>
      <w:bookmarkEnd w:id="59"/>
    </w:p>
    <w:p w14:paraId="23E27EC1">
      <w:pPr>
        <w:spacing w:line="360" w:lineRule="auto"/>
        <w:ind w:right="532"/>
        <w:jc w:val="center"/>
        <w:rPr>
          <w:rFonts w:hint="eastAsia" w:ascii="宋体" w:hAnsi="宋体" w:eastAsia="宋体"/>
          <w:sz w:val="36"/>
          <w:szCs w:val="36"/>
          <w:highlight w:val="none"/>
          <w:lang w:eastAsia="zh-CN"/>
        </w:rPr>
      </w:pPr>
      <w:r>
        <w:rPr>
          <w:rFonts w:hint="eastAsia" w:ascii="宋体" w:hAnsi="宋体"/>
          <w:b/>
          <w:bCs/>
          <w:sz w:val="36"/>
          <w:szCs w:val="36"/>
          <w:highlight w:val="none"/>
          <w:lang w:eastAsia="zh-CN"/>
        </w:rPr>
        <w:t>（</w:t>
      </w:r>
      <w:r>
        <w:rPr>
          <w:rFonts w:hint="eastAsia" w:ascii="宋体" w:hAnsi="宋体"/>
          <w:b/>
          <w:bCs/>
          <w:sz w:val="36"/>
          <w:szCs w:val="36"/>
          <w:highlight w:val="none"/>
        </w:rPr>
        <w:t>商务标</w:t>
      </w:r>
      <w:r>
        <w:rPr>
          <w:rFonts w:hint="eastAsia" w:ascii="宋体" w:hAnsi="宋体"/>
          <w:b/>
          <w:bCs/>
          <w:sz w:val="36"/>
          <w:szCs w:val="36"/>
          <w:highlight w:val="none"/>
          <w:lang w:eastAsia="zh-CN"/>
        </w:rPr>
        <w:t>）</w:t>
      </w:r>
    </w:p>
    <w:p w14:paraId="18BC6D6A">
      <w:pPr>
        <w:spacing w:line="360" w:lineRule="auto"/>
        <w:ind w:right="532"/>
        <w:jc w:val="center"/>
        <w:rPr>
          <w:rFonts w:ascii="宋体" w:hAnsi="宋体"/>
          <w:sz w:val="36"/>
          <w:szCs w:val="36"/>
          <w:highlight w:val="none"/>
        </w:rPr>
      </w:pPr>
    </w:p>
    <w:p w14:paraId="77CDB592">
      <w:pPr>
        <w:spacing w:line="360" w:lineRule="auto"/>
        <w:ind w:right="532" w:firstLine="720" w:firstLineChars="200"/>
        <w:rPr>
          <w:rFonts w:ascii="宋体" w:hAnsi="宋体"/>
          <w:sz w:val="36"/>
          <w:szCs w:val="36"/>
          <w:highlight w:val="none"/>
        </w:rPr>
      </w:pPr>
      <w:bookmarkStart w:id="60" w:name="_Toc26700_WPSOffice_Level1"/>
      <w:bookmarkStart w:id="61" w:name="_Toc4603_WPSOffice_Level1"/>
      <w:r>
        <w:rPr>
          <w:rFonts w:hint="eastAsia" w:ascii="宋体" w:hAnsi="宋体"/>
          <w:sz w:val="36"/>
          <w:szCs w:val="36"/>
          <w:highlight w:val="none"/>
        </w:rPr>
        <w:t>投标人全称：</w:t>
      </w:r>
      <w:bookmarkEnd w:id="60"/>
      <w:bookmarkEnd w:id="61"/>
    </w:p>
    <w:p w14:paraId="34CEFE2C">
      <w:pPr>
        <w:spacing w:line="360" w:lineRule="auto"/>
        <w:ind w:right="-108"/>
        <w:jc w:val="center"/>
        <w:rPr>
          <w:rFonts w:ascii="仿宋_GB2312" w:hAnsi="宋体" w:eastAsia="仿宋_GB2312"/>
          <w:b/>
          <w:sz w:val="36"/>
          <w:szCs w:val="36"/>
          <w:highlight w:val="none"/>
        </w:rPr>
      </w:pPr>
    </w:p>
    <w:p w14:paraId="1495D9F2">
      <w:pPr>
        <w:pStyle w:val="2"/>
        <w:rPr>
          <w:highlight w:val="none"/>
        </w:rPr>
      </w:pPr>
    </w:p>
    <w:p w14:paraId="1791A229">
      <w:pPr>
        <w:pStyle w:val="2"/>
        <w:rPr>
          <w:highlight w:val="none"/>
        </w:rPr>
      </w:pPr>
    </w:p>
    <w:p w14:paraId="21C8B1DE">
      <w:pPr>
        <w:pStyle w:val="2"/>
        <w:rPr>
          <w:highlight w:val="none"/>
        </w:rPr>
      </w:pPr>
    </w:p>
    <w:p w14:paraId="4E04469E">
      <w:pPr>
        <w:pStyle w:val="2"/>
        <w:rPr>
          <w:highlight w:val="none"/>
        </w:rPr>
      </w:pPr>
    </w:p>
    <w:p w14:paraId="79645B97">
      <w:pPr>
        <w:pStyle w:val="2"/>
        <w:rPr>
          <w:highlight w:val="none"/>
        </w:rPr>
      </w:pPr>
    </w:p>
    <w:p w14:paraId="3FE0E64B">
      <w:pPr>
        <w:pStyle w:val="2"/>
        <w:rPr>
          <w:highlight w:val="none"/>
        </w:rPr>
      </w:pPr>
    </w:p>
    <w:p w14:paraId="191DF76C">
      <w:pPr>
        <w:pStyle w:val="2"/>
        <w:rPr>
          <w:highlight w:val="none"/>
        </w:rPr>
      </w:pPr>
    </w:p>
    <w:p w14:paraId="1421392E">
      <w:pPr>
        <w:pStyle w:val="7"/>
        <w:rPr>
          <w:rFonts w:ascii="仿宋_GB2312" w:hAnsi="宋体" w:eastAsia="仿宋_GB2312"/>
          <w:b/>
          <w:sz w:val="36"/>
          <w:szCs w:val="36"/>
          <w:highlight w:val="none"/>
        </w:rPr>
      </w:pPr>
    </w:p>
    <w:p w14:paraId="7C8D9250">
      <w:pPr>
        <w:spacing w:line="480" w:lineRule="auto"/>
        <w:jc w:val="center"/>
        <w:rPr>
          <w:highlight w:val="none"/>
        </w:rPr>
      </w:pPr>
      <w:bookmarkStart w:id="62" w:name="_Toc19972_WPSOffice_Level1"/>
      <w:bookmarkStart w:id="63" w:name="_Toc29537_WPSOffice_Level1"/>
      <w:r>
        <w:rPr>
          <w:rFonts w:hint="eastAsia" w:ascii="宋体" w:hAnsi="宋体"/>
          <w:b/>
          <w:bCs/>
          <w:sz w:val="36"/>
          <w:szCs w:val="36"/>
          <w:highlight w:val="none"/>
        </w:rPr>
        <w:t>商务标目录</w:t>
      </w:r>
      <w:bookmarkEnd w:id="62"/>
      <w:bookmarkEnd w:id="63"/>
    </w:p>
    <w:p w14:paraId="0A0E0D22">
      <w:pPr>
        <w:rPr>
          <w:rFonts w:asciiTheme="minorEastAsia" w:hAnsiTheme="minorEastAsia" w:eastAsiaTheme="minorEastAsia" w:cstheme="minorEastAsia"/>
          <w:sz w:val="28"/>
          <w:szCs w:val="28"/>
          <w:highlight w:val="none"/>
        </w:rPr>
      </w:pPr>
    </w:p>
    <w:p w14:paraId="7732E561">
      <w:pPr>
        <w:numPr>
          <w:ilvl w:val="0"/>
          <w:numId w:val="74"/>
        </w:numPr>
        <w:autoSpaceDE w:val="0"/>
        <w:autoSpaceDN w:val="0"/>
        <w:adjustRightInd w:val="0"/>
        <w:spacing w:line="360" w:lineRule="auto"/>
        <w:ind w:left="0" w:leftChars="0" w:firstLine="480" w:firstLineChars="200"/>
        <w:rPr>
          <w:rFonts w:asciiTheme="minorEastAsia" w:hAnsiTheme="minorEastAsia" w:eastAsiaTheme="minorEastAsia"/>
          <w:kern w:val="0"/>
          <w:sz w:val="24"/>
          <w:highlight w:val="none"/>
        </w:rPr>
      </w:pPr>
      <w:bookmarkStart w:id="64" w:name="_Toc6778_WPSOffice_Level1"/>
      <w:bookmarkStart w:id="65" w:name="_Toc29988_WPSOffice_Level1"/>
      <w:r>
        <w:rPr>
          <w:rFonts w:hint="eastAsia" w:asciiTheme="minorEastAsia" w:hAnsiTheme="minorEastAsia" w:eastAsiaTheme="minorEastAsia"/>
          <w:kern w:val="0"/>
          <w:sz w:val="24"/>
          <w:highlight w:val="none"/>
        </w:rPr>
        <w:t>开标一览表（附件</w:t>
      </w:r>
      <w:r>
        <w:rPr>
          <w:rFonts w:hint="eastAsia" w:asciiTheme="minorEastAsia" w:hAnsiTheme="minorEastAsia" w:eastAsiaTheme="minorEastAsia"/>
          <w:kern w:val="0"/>
          <w:sz w:val="24"/>
          <w:highlight w:val="none"/>
          <w:lang w:val="en-US" w:eastAsia="zh-CN"/>
        </w:rPr>
        <w:t>7</w:t>
      </w:r>
      <w:r>
        <w:rPr>
          <w:rFonts w:hint="eastAsia" w:asciiTheme="minorEastAsia" w:hAnsiTheme="minorEastAsia" w:eastAsiaTheme="minorEastAsia"/>
          <w:kern w:val="0"/>
          <w:sz w:val="24"/>
          <w:highlight w:val="none"/>
        </w:rPr>
        <w:t>）；</w:t>
      </w:r>
    </w:p>
    <w:p w14:paraId="295D7C6E">
      <w:pPr>
        <w:numPr>
          <w:ilvl w:val="0"/>
          <w:numId w:val="74"/>
        </w:numPr>
        <w:autoSpaceDE w:val="0"/>
        <w:autoSpaceDN w:val="0"/>
        <w:adjustRightInd w:val="0"/>
        <w:spacing w:line="360" w:lineRule="auto"/>
        <w:ind w:left="0" w:leftChars="0"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针对报价投标人认为其他需要说明的。</w:t>
      </w:r>
    </w:p>
    <w:bookmarkEnd w:id="64"/>
    <w:bookmarkEnd w:id="65"/>
    <w:p w14:paraId="6A72663E">
      <w:pPr>
        <w:spacing w:line="360" w:lineRule="auto"/>
        <w:ind w:firstLine="480" w:firstLineChars="200"/>
        <w:rPr>
          <w:sz w:val="24"/>
          <w:highlight w:val="none"/>
        </w:rPr>
      </w:pPr>
    </w:p>
    <w:p w14:paraId="7FF7F726">
      <w:pPr>
        <w:spacing w:line="360" w:lineRule="auto"/>
        <w:ind w:firstLine="482" w:firstLineChars="200"/>
        <w:rPr>
          <w:rFonts w:ascii="宋体" w:hAnsi="宋体"/>
          <w:b/>
          <w:sz w:val="24"/>
          <w:highlight w:val="none"/>
        </w:rPr>
      </w:pPr>
    </w:p>
    <w:p w14:paraId="6B510992">
      <w:pPr>
        <w:spacing w:line="360" w:lineRule="auto"/>
        <w:ind w:left="480"/>
        <w:rPr>
          <w:rFonts w:ascii="宋体" w:hAnsi="宋体"/>
          <w:b/>
          <w:sz w:val="28"/>
          <w:highlight w:val="none"/>
        </w:rPr>
      </w:pPr>
    </w:p>
    <w:p w14:paraId="6C312BED">
      <w:pPr>
        <w:spacing w:line="360" w:lineRule="auto"/>
        <w:ind w:left="480"/>
        <w:rPr>
          <w:rFonts w:ascii="宋体" w:hAnsi="宋体"/>
          <w:b/>
          <w:sz w:val="28"/>
          <w:highlight w:val="none"/>
        </w:rPr>
      </w:pPr>
    </w:p>
    <w:p w14:paraId="7BAC0F01">
      <w:pPr>
        <w:spacing w:line="360" w:lineRule="auto"/>
        <w:ind w:left="480"/>
        <w:rPr>
          <w:rFonts w:ascii="宋体" w:hAnsi="宋体"/>
          <w:b/>
          <w:sz w:val="28"/>
          <w:highlight w:val="none"/>
        </w:rPr>
      </w:pPr>
    </w:p>
    <w:p w14:paraId="1426C34B">
      <w:pPr>
        <w:spacing w:line="360" w:lineRule="auto"/>
        <w:ind w:left="480"/>
        <w:rPr>
          <w:rFonts w:ascii="宋体" w:hAnsi="宋体"/>
          <w:b/>
          <w:sz w:val="28"/>
          <w:highlight w:val="none"/>
        </w:rPr>
      </w:pPr>
    </w:p>
    <w:p w14:paraId="17E00DA4">
      <w:pPr>
        <w:spacing w:line="360" w:lineRule="auto"/>
        <w:ind w:left="480"/>
        <w:rPr>
          <w:rFonts w:ascii="宋体" w:hAnsi="宋体"/>
          <w:b/>
          <w:sz w:val="28"/>
          <w:highlight w:val="none"/>
        </w:rPr>
      </w:pPr>
    </w:p>
    <w:p w14:paraId="0001082C">
      <w:pPr>
        <w:spacing w:line="360" w:lineRule="auto"/>
        <w:ind w:left="480"/>
        <w:rPr>
          <w:rFonts w:ascii="宋体" w:hAnsi="宋体"/>
          <w:b/>
          <w:sz w:val="28"/>
          <w:highlight w:val="none"/>
        </w:rPr>
      </w:pPr>
    </w:p>
    <w:p w14:paraId="0E7F9017">
      <w:pPr>
        <w:spacing w:line="360" w:lineRule="auto"/>
        <w:ind w:left="480"/>
        <w:rPr>
          <w:rFonts w:ascii="宋体" w:hAnsi="宋体"/>
          <w:b/>
          <w:sz w:val="28"/>
          <w:highlight w:val="none"/>
        </w:rPr>
      </w:pPr>
    </w:p>
    <w:p w14:paraId="0369131F">
      <w:pPr>
        <w:spacing w:line="360" w:lineRule="auto"/>
        <w:ind w:left="480"/>
        <w:rPr>
          <w:rFonts w:ascii="宋体" w:hAnsi="宋体"/>
          <w:b/>
          <w:sz w:val="28"/>
          <w:highlight w:val="none"/>
        </w:rPr>
      </w:pPr>
    </w:p>
    <w:p w14:paraId="0793283B">
      <w:pPr>
        <w:spacing w:line="360" w:lineRule="auto"/>
        <w:ind w:left="480"/>
        <w:rPr>
          <w:rFonts w:ascii="宋体" w:hAnsi="宋体"/>
          <w:b/>
          <w:sz w:val="28"/>
          <w:highlight w:val="none"/>
        </w:rPr>
      </w:pPr>
    </w:p>
    <w:p w14:paraId="4D9E0C36">
      <w:pPr>
        <w:spacing w:line="360" w:lineRule="auto"/>
        <w:ind w:left="480"/>
        <w:rPr>
          <w:rFonts w:ascii="宋体" w:hAnsi="宋体"/>
          <w:b/>
          <w:sz w:val="28"/>
          <w:highlight w:val="none"/>
        </w:rPr>
      </w:pPr>
    </w:p>
    <w:p w14:paraId="351C2DC2">
      <w:pPr>
        <w:spacing w:line="360" w:lineRule="auto"/>
        <w:ind w:left="480"/>
        <w:rPr>
          <w:rFonts w:ascii="宋体" w:hAnsi="宋体"/>
          <w:b/>
          <w:sz w:val="28"/>
          <w:highlight w:val="none"/>
        </w:rPr>
      </w:pPr>
    </w:p>
    <w:p w14:paraId="39B12FB2">
      <w:pPr>
        <w:spacing w:line="360" w:lineRule="auto"/>
        <w:ind w:left="480"/>
        <w:rPr>
          <w:rFonts w:ascii="宋体" w:hAnsi="宋体"/>
          <w:b/>
          <w:sz w:val="28"/>
          <w:highlight w:val="none"/>
        </w:rPr>
      </w:pPr>
    </w:p>
    <w:p w14:paraId="79E6C71A">
      <w:pPr>
        <w:rPr>
          <w:rFonts w:ascii="宋体" w:hAnsi="宋体"/>
          <w:b/>
          <w:sz w:val="28"/>
          <w:highlight w:val="none"/>
        </w:rPr>
      </w:pPr>
      <w:r>
        <w:rPr>
          <w:rFonts w:hint="eastAsia" w:ascii="宋体" w:hAnsi="宋体"/>
          <w:b/>
          <w:sz w:val="28"/>
          <w:highlight w:val="none"/>
        </w:rPr>
        <w:br w:type="page"/>
      </w:r>
    </w:p>
    <w:p w14:paraId="4A587560">
      <w:pPr>
        <w:spacing w:line="360" w:lineRule="auto"/>
        <w:rPr>
          <w:rFonts w:hint="eastAsia" w:ascii="宋体" w:hAnsi="宋体" w:eastAsia="宋体"/>
          <w:b/>
          <w:sz w:val="28"/>
          <w:highlight w:val="none"/>
          <w:lang w:val="en-US" w:eastAsia="zh-CN"/>
        </w:rPr>
      </w:pPr>
      <w:r>
        <w:rPr>
          <w:rFonts w:hint="eastAsia" w:ascii="宋体" w:hAnsi="宋体"/>
          <w:b/>
          <w:sz w:val="28"/>
          <w:highlight w:val="none"/>
        </w:rPr>
        <w:t>附件</w:t>
      </w:r>
      <w:r>
        <w:rPr>
          <w:rFonts w:hint="eastAsia" w:ascii="宋体" w:hAnsi="宋体"/>
          <w:b/>
          <w:sz w:val="28"/>
          <w:highlight w:val="none"/>
          <w:lang w:val="en-US" w:eastAsia="zh-CN"/>
        </w:rPr>
        <w:t>七</w:t>
      </w:r>
    </w:p>
    <w:p w14:paraId="1BF91D9A">
      <w:pPr>
        <w:spacing w:line="360" w:lineRule="auto"/>
        <w:ind w:left="-2" w:hanging="2"/>
        <w:jc w:val="center"/>
        <w:rPr>
          <w:rFonts w:ascii="宋体" w:hAnsi="宋体"/>
          <w:b/>
          <w:sz w:val="32"/>
          <w:szCs w:val="32"/>
          <w:highlight w:val="none"/>
        </w:rPr>
      </w:pPr>
      <w:bookmarkStart w:id="66" w:name="_Toc16144_WPSOffice_Level1"/>
      <w:bookmarkStart w:id="67" w:name="_Toc30363_WPSOffice_Level1"/>
      <w:r>
        <w:rPr>
          <w:rFonts w:hint="eastAsia" w:ascii="宋体" w:hAnsi="宋体"/>
          <w:b/>
          <w:sz w:val="32"/>
          <w:szCs w:val="32"/>
          <w:highlight w:val="none"/>
        </w:rPr>
        <w:t xml:space="preserve">开标一览表 </w:t>
      </w:r>
      <w:bookmarkEnd w:id="66"/>
      <w:bookmarkEnd w:id="67"/>
    </w:p>
    <w:p w14:paraId="0F85E952">
      <w:pPr>
        <w:pStyle w:val="13"/>
        <w:spacing w:line="360" w:lineRule="auto"/>
        <w:ind w:firstLine="482" w:firstLineChars="200"/>
        <w:rPr>
          <w:rFonts w:hint="eastAsia" w:hAnsi="宋体" w:eastAsia="宋体"/>
          <w:b/>
          <w:sz w:val="24"/>
          <w:highlight w:val="none"/>
          <w:lang w:eastAsia="zh-CN"/>
        </w:rPr>
      </w:pPr>
      <w:r>
        <w:rPr>
          <w:rFonts w:hAnsi="宋体"/>
          <w:b/>
          <w:sz w:val="24"/>
          <w:highlight w:val="none"/>
        </w:rPr>
        <w:t>项目编号：</w:t>
      </w:r>
      <w:r>
        <w:rPr>
          <w:rFonts w:hint="eastAsia" w:hAnsi="宋体"/>
          <w:b w:val="0"/>
          <w:bCs/>
          <w:sz w:val="24"/>
          <w:highlight w:val="none"/>
          <w:lang w:eastAsia="zh-CN"/>
        </w:rPr>
        <w:t>TZYY-2507-008号</w:t>
      </w:r>
    </w:p>
    <w:p w14:paraId="11EC2483">
      <w:pPr>
        <w:pStyle w:val="49"/>
        <w:spacing w:line="360" w:lineRule="auto"/>
        <w:ind w:right="480" w:firstLine="482" w:firstLineChars="200"/>
        <w:jc w:val="left"/>
        <w:rPr>
          <w:rFonts w:hint="eastAsia" w:ascii="宋体" w:hAnsi="宋体"/>
          <w:sz w:val="24"/>
          <w:highlight w:val="none"/>
        </w:rPr>
      </w:pPr>
      <w:r>
        <w:rPr>
          <w:rFonts w:hAnsi="宋体"/>
          <w:b/>
          <w:sz w:val="24"/>
          <w:highlight w:val="none"/>
        </w:rPr>
        <w:t>项目名称：</w:t>
      </w:r>
      <w:r>
        <w:rPr>
          <w:rFonts w:hint="eastAsia" w:ascii="宋体" w:hAnsi="宋体"/>
          <w:sz w:val="24"/>
          <w:highlight w:val="none"/>
          <w:lang w:eastAsia="zh-CN"/>
        </w:rPr>
        <w:t>台州市文华小学食堂委托管理服务项目</w:t>
      </w:r>
      <w:r>
        <w:rPr>
          <w:rFonts w:hint="eastAsia" w:ascii="宋体" w:hAnsi="宋体"/>
          <w:sz w:val="24"/>
          <w:highlight w:val="none"/>
        </w:rPr>
        <w:t xml:space="preserve"> </w:t>
      </w:r>
    </w:p>
    <w:p w14:paraId="4FFF3DD8">
      <w:pPr>
        <w:pStyle w:val="49"/>
        <w:spacing w:line="360" w:lineRule="auto"/>
        <w:ind w:right="480" w:firstLine="480" w:firstLineChars="200"/>
        <w:jc w:val="right"/>
        <w:rPr>
          <w:rFonts w:hAnsi="宋体"/>
          <w:sz w:val="24"/>
          <w:highlight w:val="none"/>
        </w:rPr>
      </w:pPr>
      <w:r>
        <w:rPr>
          <w:rFonts w:hint="eastAsia" w:ascii="宋体" w:hAnsi="宋体"/>
          <w:sz w:val="24"/>
          <w:highlight w:val="none"/>
        </w:rPr>
        <w:t xml:space="preserve">                             [货币单位：人民币元]</w:t>
      </w:r>
    </w:p>
    <w:p w14:paraId="557B0084">
      <w:pPr>
        <w:snapToGrid w:val="0"/>
        <w:spacing w:before="50" w:after="50"/>
        <w:jc w:val="left"/>
        <w:rPr>
          <w:rFonts w:hint="eastAsia" w:ascii="Arial" w:hAnsi="Arial" w:eastAsia="宋体" w:cs="Arial"/>
          <w:sz w:val="22"/>
          <w:szCs w:val="22"/>
          <w:highlight w:val="none"/>
          <w:lang w:eastAsia="zh-CN"/>
        </w:rPr>
      </w:pPr>
      <w:r>
        <w:rPr>
          <w:rFonts w:hint="eastAsia" w:ascii="Arial" w:hAnsi="Arial" w:cs="宋体"/>
          <w:sz w:val="22"/>
          <w:szCs w:val="22"/>
          <w:highlight w:val="none"/>
        </w:rPr>
        <w:t>致：</w:t>
      </w:r>
      <w:r>
        <w:rPr>
          <w:rFonts w:hint="eastAsia" w:ascii="Arial" w:hAnsi="Arial" w:cs="宋体"/>
          <w:sz w:val="22"/>
          <w:szCs w:val="22"/>
          <w:highlight w:val="none"/>
          <w:lang w:eastAsia="zh-CN"/>
        </w:rPr>
        <w:t>台州市文华小学</w:t>
      </w:r>
    </w:p>
    <w:p w14:paraId="087E862A">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ascii="新宋体" w:hAnsi="新宋体" w:eastAsia="新宋体"/>
          <w:szCs w:val="21"/>
          <w:highlight w:val="none"/>
        </w:rPr>
      </w:pPr>
      <w:r>
        <w:rPr>
          <w:rFonts w:ascii="Arial" w:hAnsi="Arial" w:cs="Arial"/>
          <w:sz w:val="22"/>
          <w:szCs w:val="22"/>
          <w:highlight w:val="none"/>
        </w:rPr>
        <w:t>经研究，我们决定参加</w:t>
      </w:r>
      <w:r>
        <w:rPr>
          <w:rFonts w:hint="eastAsia" w:ascii="Arial" w:hAnsi="Arial" w:cs="Arial"/>
          <w:sz w:val="22"/>
          <w:szCs w:val="22"/>
          <w:highlight w:val="none"/>
        </w:rPr>
        <w:t>你单位的</w:t>
      </w:r>
      <w:r>
        <w:rPr>
          <w:rFonts w:hint="eastAsia" w:ascii="宋体" w:hAnsi="宋体"/>
          <w:sz w:val="22"/>
          <w:szCs w:val="22"/>
          <w:highlight w:val="none"/>
          <w:u w:val="single"/>
          <w:lang w:eastAsia="zh-CN"/>
        </w:rPr>
        <w:t>台州市文华小学食堂委托管理服务项目</w:t>
      </w:r>
      <w:r>
        <w:rPr>
          <w:rFonts w:ascii="Arial" w:hAnsi="Arial" w:cs="Arial"/>
          <w:sz w:val="22"/>
          <w:szCs w:val="22"/>
          <w:highlight w:val="none"/>
        </w:rPr>
        <w:t>的</w:t>
      </w:r>
      <w:r>
        <w:rPr>
          <w:rFonts w:hint="eastAsia" w:ascii="Arial" w:hAnsi="Arial" w:cs="Arial"/>
          <w:sz w:val="22"/>
          <w:highlight w:val="none"/>
        </w:rPr>
        <w:t>招标</w:t>
      </w:r>
      <w:r>
        <w:rPr>
          <w:rFonts w:ascii="Arial" w:hAnsi="Arial" w:cs="Arial"/>
          <w:sz w:val="22"/>
          <w:highlight w:val="none"/>
        </w:rPr>
        <w:t>采购活动并提交</w:t>
      </w:r>
      <w:r>
        <w:rPr>
          <w:rFonts w:hint="eastAsia" w:ascii="Arial" w:hAnsi="Arial" w:cs="Arial"/>
          <w:sz w:val="22"/>
          <w:highlight w:val="none"/>
        </w:rPr>
        <w:t>投标</w:t>
      </w:r>
      <w:r>
        <w:rPr>
          <w:rFonts w:ascii="Arial" w:hAnsi="Arial" w:cs="Arial"/>
          <w:sz w:val="22"/>
          <w:highlight w:val="none"/>
        </w:rPr>
        <w:t>文件。为此，我方郑重声明以下诸点，并负法律责任。</w:t>
      </w:r>
    </w:p>
    <w:p w14:paraId="1B6CBCC3">
      <w:pPr>
        <w:pStyle w:val="3"/>
        <w:keepNext w:val="0"/>
        <w:keepLines w:val="0"/>
        <w:pageBreakBefore w:val="0"/>
        <w:widowControl w:val="0"/>
        <w:numPr>
          <w:ilvl w:val="0"/>
          <w:numId w:val="75"/>
        </w:numPr>
        <w:kinsoku/>
        <w:wordWrap/>
        <w:overflowPunct/>
        <w:topLinePunct w:val="0"/>
        <w:autoSpaceDE/>
        <w:autoSpaceDN/>
        <w:bidi w:val="0"/>
        <w:adjustRightInd/>
        <w:snapToGrid/>
        <w:spacing w:after="0" w:line="360" w:lineRule="auto"/>
        <w:ind w:left="0" w:leftChars="0" w:firstLine="440" w:firstLineChars="200"/>
        <w:textAlignment w:val="auto"/>
        <w:rPr>
          <w:rFonts w:ascii="Arial" w:hAnsi="Arial" w:cs="Arial"/>
          <w:sz w:val="22"/>
          <w:szCs w:val="22"/>
          <w:highlight w:val="none"/>
        </w:rPr>
      </w:pPr>
      <w:r>
        <w:rPr>
          <w:rFonts w:ascii="Arial" w:hAnsi="Arial" w:cs="Arial"/>
          <w:sz w:val="22"/>
          <w:szCs w:val="22"/>
          <w:highlight w:val="none"/>
        </w:rPr>
        <w:t>如果我们的招标文件被接受，我们将履行招标文件中规定的每一项要求，并按我们投标文件中的承诺按期、按质、按量提供服务。</w:t>
      </w:r>
    </w:p>
    <w:p w14:paraId="6186C41E">
      <w:pPr>
        <w:pStyle w:val="3"/>
        <w:keepNext w:val="0"/>
        <w:keepLines w:val="0"/>
        <w:pageBreakBefore w:val="0"/>
        <w:widowControl w:val="0"/>
        <w:numPr>
          <w:ilvl w:val="0"/>
          <w:numId w:val="75"/>
        </w:numPr>
        <w:kinsoku/>
        <w:wordWrap/>
        <w:overflowPunct/>
        <w:topLinePunct w:val="0"/>
        <w:autoSpaceDE/>
        <w:autoSpaceDN/>
        <w:bidi w:val="0"/>
        <w:adjustRightInd/>
        <w:snapToGrid/>
        <w:spacing w:after="0" w:line="360" w:lineRule="auto"/>
        <w:ind w:left="0" w:leftChars="0" w:firstLine="440" w:firstLineChars="200"/>
        <w:textAlignment w:val="auto"/>
        <w:rPr>
          <w:rFonts w:ascii="Arial" w:hAnsi="Arial" w:cs="Arial"/>
          <w:sz w:val="22"/>
          <w:szCs w:val="22"/>
          <w:highlight w:val="none"/>
        </w:rPr>
      </w:pPr>
      <w:r>
        <w:rPr>
          <w:rFonts w:ascii="Arial" w:hAnsi="Arial" w:cs="Arial"/>
          <w:sz w:val="22"/>
          <w:szCs w:val="22"/>
          <w:highlight w:val="none"/>
        </w:rPr>
        <w:t>我们同意按</w:t>
      </w:r>
      <w:r>
        <w:rPr>
          <w:rFonts w:hint="eastAsia" w:ascii="Arial" w:hAnsi="Arial" w:cs="Arial"/>
          <w:sz w:val="22"/>
          <w:szCs w:val="22"/>
          <w:highlight w:val="none"/>
          <w:lang w:eastAsia="zh-CN"/>
        </w:rPr>
        <w:t>招标文件</w:t>
      </w:r>
      <w:r>
        <w:rPr>
          <w:rFonts w:ascii="Arial" w:hAnsi="Arial" w:cs="Arial"/>
          <w:sz w:val="22"/>
          <w:szCs w:val="22"/>
          <w:highlight w:val="none"/>
        </w:rPr>
        <w:t>规定遵守采购人有关采购的各项规定。</w:t>
      </w:r>
    </w:p>
    <w:p w14:paraId="5B3F7411">
      <w:pPr>
        <w:pStyle w:val="3"/>
        <w:keepNext w:val="0"/>
        <w:keepLines w:val="0"/>
        <w:pageBreakBefore w:val="0"/>
        <w:widowControl w:val="0"/>
        <w:numPr>
          <w:ilvl w:val="0"/>
          <w:numId w:val="75"/>
        </w:numPr>
        <w:kinsoku/>
        <w:wordWrap/>
        <w:overflowPunct/>
        <w:topLinePunct w:val="0"/>
        <w:autoSpaceDE/>
        <w:autoSpaceDN/>
        <w:bidi w:val="0"/>
        <w:adjustRightInd/>
        <w:snapToGrid/>
        <w:spacing w:after="0" w:line="360" w:lineRule="auto"/>
        <w:ind w:left="0" w:leftChars="0" w:firstLine="440" w:firstLineChars="200"/>
        <w:textAlignment w:val="auto"/>
        <w:rPr>
          <w:rFonts w:ascii="Arial" w:hAnsi="Arial" w:cs="Arial"/>
          <w:sz w:val="22"/>
          <w:szCs w:val="22"/>
          <w:highlight w:val="none"/>
        </w:rPr>
      </w:pPr>
      <w:r>
        <w:rPr>
          <w:rFonts w:ascii="Arial" w:hAnsi="Arial" w:cs="Arial"/>
          <w:sz w:val="22"/>
          <w:szCs w:val="22"/>
          <w:highlight w:val="none"/>
        </w:rPr>
        <w:t>我方同意提供按照贵方可能要求的与投标有关的一切数据或资料，我方若未成为成交投标人，采购人有权</w:t>
      </w:r>
      <w:r>
        <w:rPr>
          <w:rFonts w:hint="eastAsia" w:ascii="Arial" w:hAnsi="Arial" w:cs="Arial"/>
          <w:sz w:val="22"/>
          <w:szCs w:val="22"/>
          <w:highlight w:val="none"/>
          <w:lang w:eastAsia="zh-CN"/>
        </w:rPr>
        <w:t>不作</w:t>
      </w:r>
      <w:r>
        <w:rPr>
          <w:rFonts w:ascii="Arial" w:hAnsi="Arial" w:cs="Arial"/>
          <w:sz w:val="22"/>
          <w:szCs w:val="22"/>
          <w:highlight w:val="none"/>
        </w:rPr>
        <w:t>任何解释。</w:t>
      </w:r>
    </w:p>
    <w:p w14:paraId="1C0DCBF4">
      <w:pPr>
        <w:keepNext w:val="0"/>
        <w:keepLines w:val="0"/>
        <w:pageBreakBefore w:val="0"/>
        <w:widowControl w:val="0"/>
        <w:numPr>
          <w:ilvl w:val="0"/>
          <w:numId w:val="75"/>
        </w:numPr>
        <w:kinsoku/>
        <w:wordWrap/>
        <w:overflowPunct/>
        <w:topLinePunct w:val="0"/>
        <w:autoSpaceDE/>
        <w:autoSpaceDN/>
        <w:bidi w:val="0"/>
        <w:adjustRightInd/>
        <w:snapToGrid/>
        <w:spacing w:line="360" w:lineRule="auto"/>
        <w:ind w:left="0" w:leftChars="0" w:firstLine="440" w:firstLineChars="200"/>
        <w:textAlignment w:val="auto"/>
        <w:rPr>
          <w:rFonts w:ascii="宋体" w:hAnsi="宋体"/>
          <w:sz w:val="22"/>
          <w:szCs w:val="22"/>
          <w:highlight w:val="none"/>
        </w:rPr>
      </w:pPr>
      <w:r>
        <w:rPr>
          <w:rFonts w:hint="eastAsia" w:ascii="Arial" w:hAnsi="Arial" w:cs="Arial"/>
          <w:sz w:val="22"/>
          <w:szCs w:val="22"/>
          <w:highlight w:val="none"/>
        </w:rPr>
        <w:t>我方如果中标，将保证履行招标文件以及招标文件修改书（如有）中的全部责任和义务，按质、按量、按期完成全部任务。</w:t>
      </w:r>
    </w:p>
    <w:tbl>
      <w:tblPr>
        <w:tblStyle w:val="26"/>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5978"/>
      </w:tblGrid>
      <w:tr w14:paraId="716EDFD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96" w:hRule="atLeast"/>
          <w:jc w:val="center"/>
        </w:trPr>
        <w:tc>
          <w:tcPr>
            <w:tcW w:w="2694" w:type="dxa"/>
            <w:tcBorders>
              <w:top w:val="single" w:color="auto" w:sz="12" w:space="0"/>
              <w:left w:val="single" w:color="auto" w:sz="12" w:space="0"/>
              <w:bottom w:val="single" w:color="auto" w:sz="4" w:space="0"/>
              <w:right w:val="single" w:color="auto" w:sz="4" w:space="0"/>
            </w:tcBorders>
            <w:vAlign w:val="center"/>
          </w:tcPr>
          <w:p w14:paraId="541C8983">
            <w:pPr>
              <w:autoSpaceDE w:val="0"/>
              <w:autoSpaceDN w:val="0"/>
              <w:spacing w:line="450" w:lineRule="exact"/>
              <w:jc w:val="center"/>
              <w:textAlignment w:val="bottom"/>
              <w:rPr>
                <w:rFonts w:hint="eastAsia" w:ascii="宋体" w:hAnsi="宋体" w:eastAsia="宋体"/>
                <w:sz w:val="24"/>
                <w:highlight w:val="none"/>
                <w:lang w:eastAsia="zh-CN"/>
              </w:rPr>
            </w:pPr>
            <w:r>
              <w:rPr>
                <w:rFonts w:hint="eastAsia" w:ascii="宋体" w:hAnsi="宋体"/>
                <w:sz w:val="24"/>
                <w:highlight w:val="none"/>
              </w:rPr>
              <w:t>投标报价</w:t>
            </w:r>
            <w:r>
              <w:rPr>
                <w:rFonts w:hint="eastAsia" w:ascii="宋体" w:hAnsi="宋体"/>
                <w:sz w:val="24"/>
                <w:highlight w:val="none"/>
                <w:lang w:eastAsia="zh-CN"/>
              </w:rPr>
              <w:t>（</w:t>
            </w:r>
            <w:r>
              <w:rPr>
                <w:rFonts w:hint="eastAsia" w:ascii="宋体" w:hAnsi="宋体"/>
                <w:sz w:val="24"/>
                <w:highlight w:val="none"/>
                <w:lang w:val="en-US" w:eastAsia="zh-CN"/>
              </w:rPr>
              <w:t>费率</w:t>
            </w:r>
            <w:r>
              <w:rPr>
                <w:rFonts w:hint="eastAsia" w:ascii="宋体" w:hAnsi="宋体"/>
                <w:sz w:val="24"/>
                <w:highlight w:val="none"/>
                <w:lang w:eastAsia="zh-CN"/>
              </w:rPr>
              <w:t>）</w:t>
            </w:r>
          </w:p>
        </w:tc>
        <w:tc>
          <w:tcPr>
            <w:tcW w:w="5978" w:type="dxa"/>
            <w:tcBorders>
              <w:top w:val="single" w:color="auto" w:sz="12" w:space="0"/>
              <w:left w:val="single" w:color="auto" w:sz="4" w:space="0"/>
              <w:bottom w:val="single" w:color="auto" w:sz="4" w:space="0"/>
              <w:right w:val="single" w:color="auto" w:sz="12" w:space="0"/>
            </w:tcBorders>
            <w:vAlign w:val="center"/>
          </w:tcPr>
          <w:p w14:paraId="0EFE98C3">
            <w:pPr>
              <w:autoSpaceDE w:val="0"/>
              <w:autoSpaceDN w:val="0"/>
              <w:spacing w:line="450" w:lineRule="exact"/>
              <w:jc w:val="center"/>
              <w:textAlignment w:val="bottom"/>
              <w:rPr>
                <w:rFonts w:ascii="宋体" w:hAnsi="宋体"/>
                <w:szCs w:val="21"/>
                <w:highlight w:val="none"/>
              </w:rPr>
            </w:pPr>
            <w:r>
              <w:rPr>
                <w:rFonts w:hint="eastAsia" w:ascii="宋体" w:hAnsi="宋体"/>
                <w:color w:val="000000"/>
                <w:sz w:val="24"/>
                <w:highlight w:val="none"/>
                <w:lang w:val="en-US" w:eastAsia="zh-CN"/>
              </w:rPr>
              <w:t>%（小数点后保留一位）</w:t>
            </w:r>
          </w:p>
        </w:tc>
      </w:tr>
    </w:tbl>
    <w:p w14:paraId="76473AC9">
      <w:pPr>
        <w:spacing w:line="360" w:lineRule="auto"/>
        <w:rPr>
          <w:rFonts w:hint="eastAsia" w:ascii="宋体" w:hAnsi="宋体"/>
          <w:b/>
          <w:sz w:val="22"/>
          <w:szCs w:val="22"/>
          <w:highlight w:val="none"/>
        </w:rPr>
      </w:pPr>
      <w:r>
        <w:rPr>
          <w:rFonts w:hint="eastAsia" w:ascii="宋体" w:hAnsi="宋体"/>
          <w:b/>
          <w:sz w:val="22"/>
          <w:szCs w:val="22"/>
          <w:highlight w:val="none"/>
        </w:rPr>
        <w:t>填报要求：</w:t>
      </w:r>
    </w:p>
    <w:p w14:paraId="18EDC7E9">
      <w:pPr>
        <w:numPr>
          <w:ilvl w:val="0"/>
          <w:numId w:val="76"/>
        </w:numPr>
        <w:spacing w:line="360" w:lineRule="auto"/>
        <w:ind w:left="0" w:leftChars="0" w:firstLine="440" w:firstLineChars="200"/>
        <w:rPr>
          <w:rFonts w:hint="eastAsia" w:ascii="宋体" w:hAnsi="宋体"/>
          <w:sz w:val="22"/>
          <w:szCs w:val="22"/>
          <w:highlight w:val="none"/>
        </w:rPr>
      </w:pPr>
      <w:r>
        <w:rPr>
          <w:rFonts w:hint="eastAsia" w:ascii="宋体" w:hAnsi="宋体"/>
          <w:sz w:val="22"/>
          <w:szCs w:val="22"/>
          <w:highlight w:val="none"/>
        </w:rPr>
        <w:t>报价：有关本项目实施所需的所有费用（含税费）均计入报价。</w:t>
      </w:r>
    </w:p>
    <w:p w14:paraId="494754F7">
      <w:pPr>
        <w:numPr>
          <w:ilvl w:val="0"/>
          <w:numId w:val="76"/>
        </w:numPr>
        <w:spacing w:line="360" w:lineRule="auto"/>
        <w:ind w:left="0" w:leftChars="0" w:firstLine="440" w:firstLineChars="200"/>
        <w:rPr>
          <w:rFonts w:hint="eastAsia" w:ascii="宋体" w:hAnsi="宋体"/>
          <w:sz w:val="22"/>
          <w:szCs w:val="22"/>
          <w:highlight w:val="none"/>
        </w:rPr>
      </w:pPr>
      <w:r>
        <w:rPr>
          <w:rFonts w:hint="eastAsia" w:ascii="宋体" w:hAnsi="宋体"/>
          <w:sz w:val="22"/>
          <w:szCs w:val="22"/>
          <w:highlight w:val="none"/>
        </w:rPr>
        <w:t>报价一经涂改，应在涂改处加盖单位公章，</w:t>
      </w:r>
      <w:r>
        <w:rPr>
          <w:rFonts w:hint="eastAsia" w:ascii="宋体" w:hAnsi="宋体"/>
          <w:sz w:val="22"/>
          <w:szCs w:val="22"/>
          <w:highlight w:val="none"/>
          <w:lang w:eastAsia="zh-CN"/>
        </w:rPr>
        <w:t>或</w:t>
      </w:r>
      <w:r>
        <w:rPr>
          <w:rFonts w:hint="eastAsia" w:ascii="宋体" w:hAnsi="宋体"/>
          <w:sz w:val="22"/>
          <w:szCs w:val="22"/>
          <w:highlight w:val="none"/>
        </w:rPr>
        <w:t>由法定代表人或全权代表签字或盖章，否则其投标作无效标处理。</w:t>
      </w:r>
    </w:p>
    <w:p w14:paraId="6DCAA722">
      <w:pPr>
        <w:numPr>
          <w:ilvl w:val="0"/>
          <w:numId w:val="76"/>
        </w:numPr>
        <w:spacing w:line="360" w:lineRule="auto"/>
        <w:ind w:left="0" w:leftChars="0" w:firstLine="422" w:firstLineChars="200"/>
        <w:rPr>
          <w:rFonts w:ascii="宋体" w:hAnsi="宋体"/>
          <w:b/>
          <w:bCs/>
          <w:sz w:val="22"/>
          <w:szCs w:val="22"/>
          <w:highlight w:val="none"/>
        </w:rPr>
      </w:pPr>
      <w:r>
        <w:rPr>
          <w:rFonts w:hint="eastAsia" w:ascii="宋体" w:hAnsi="宋体" w:eastAsia="宋体" w:cs="宋体"/>
          <w:b/>
          <w:bCs/>
          <w:highlight w:val="none"/>
        </w:rPr>
        <w:t>▲</w:t>
      </w:r>
      <w:r>
        <w:rPr>
          <w:rFonts w:hint="eastAsia" w:ascii="宋体" w:hAnsi="宋体" w:eastAsia="宋体" w:cs="宋体"/>
          <w:b/>
          <w:bCs/>
          <w:highlight w:val="none"/>
          <w:lang w:val="en-US" w:eastAsia="zh-CN"/>
        </w:rPr>
        <w:t>上限价</w:t>
      </w:r>
      <w:r>
        <w:rPr>
          <w:rFonts w:hint="eastAsia" w:ascii="宋体" w:hAnsi="宋体" w:eastAsia="宋体" w:cs="宋体"/>
          <w:b/>
          <w:bCs/>
          <w:highlight w:val="none"/>
        </w:rPr>
        <w:t>：</w:t>
      </w:r>
      <w:r>
        <w:rPr>
          <w:rFonts w:hint="eastAsia" w:ascii="宋体" w:hAnsi="宋体" w:cs="宋体"/>
          <w:b/>
          <w:bCs/>
          <w:highlight w:val="none"/>
          <w:lang w:val="en-US" w:eastAsia="zh-CN"/>
        </w:rPr>
        <w:t>20%</w:t>
      </w:r>
      <w:r>
        <w:rPr>
          <w:rFonts w:hint="eastAsia" w:ascii="宋体" w:hAnsi="宋体" w:eastAsia="宋体" w:cs="宋体"/>
          <w:b/>
          <w:bCs/>
          <w:highlight w:val="none"/>
        </w:rPr>
        <w:t>。超范围报价的，均按投标无效处理</w:t>
      </w:r>
      <w:r>
        <w:rPr>
          <w:rFonts w:hint="eastAsia" w:ascii="宋体" w:hAnsi="宋体"/>
          <w:b/>
          <w:bCs/>
          <w:sz w:val="22"/>
          <w:szCs w:val="22"/>
          <w:highlight w:val="none"/>
        </w:rPr>
        <w:t>。</w:t>
      </w:r>
    </w:p>
    <w:p w14:paraId="722A234D">
      <w:pPr>
        <w:adjustRightInd w:val="0"/>
        <w:snapToGrid w:val="0"/>
        <w:spacing w:line="360" w:lineRule="auto"/>
        <w:rPr>
          <w:rFonts w:hint="eastAsia" w:ascii="宋体" w:hAnsi="宋体" w:cs="仿宋_GB2312"/>
          <w:color w:val="FF0000"/>
          <w:kern w:val="0"/>
          <w:sz w:val="24"/>
          <w:highlight w:val="none"/>
          <w:lang w:val="zh-CN"/>
        </w:rPr>
      </w:pPr>
    </w:p>
    <w:p w14:paraId="7418CB82">
      <w:pPr>
        <w:adjustRightInd w:val="0"/>
        <w:snapToGrid w:val="0"/>
        <w:spacing w:line="360" w:lineRule="auto"/>
        <w:rPr>
          <w:rFonts w:hint="eastAsia" w:ascii="宋体" w:hAnsi="宋体" w:cs="仿宋_GB2312"/>
          <w:color w:val="FF0000"/>
          <w:kern w:val="0"/>
          <w:sz w:val="24"/>
          <w:highlight w:val="none"/>
          <w:lang w:val="zh-CN"/>
        </w:rPr>
      </w:pPr>
    </w:p>
    <w:p w14:paraId="058B655B">
      <w:pPr>
        <w:adjustRightInd w:val="0"/>
        <w:snapToGrid w:val="0"/>
        <w:spacing w:line="360" w:lineRule="auto"/>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14:paraId="49DD69D9">
      <w:pPr>
        <w:adjustRightInd w:val="0"/>
        <w:snapToGrid w:val="0"/>
        <w:spacing w:line="360" w:lineRule="auto"/>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14:paraId="7567640B">
      <w:pPr>
        <w:spacing w:line="360" w:lineRule="auto"/>
        <w:rPr>
          <w:rFonts w:hint="default"/>
          <w:highlight w:val="none"/>
          <w:lang w:val="en-US" w:eastAsia="zh-CN"/>
        </w:rPr>
      </w:pPr>
      <w:r>
        <w:rPr>
          <w:rFonts w:hint="eastAsia" w:ascii="宋体" w:hAnsi="宋体" w:cs="仿宋_GB2312"/>
          <w:color w:val="FF0000"/>
          <w:kern w:val="0"/>
          <w:sz w:val="24"/>
          <w:highlight w:val="none"/>
          <w:lang w:val="zh-CN"/>
        </w:rPr>
        <w:t>日期：    年   月   日</w:t>
      </w:r>
    </w:p>
    <w:sectPr>
      <w:pgSz w:w="11906" w:h="16838"/>
      <w:pgMar w:top="1247" w:right="1361" w:bottom="1247" w:left="1361" w:header="851" w:footer="850"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
    <w:altName w:val="黑体"/>
    <w:panose1 w:val="00000000000000000000"/>
    <w:charset w:val="00"/>
    <w:family w:val="auto"/>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0C92A">
    <w:pPr>
      <w:pStyle w:val="8"/>
      <w:numPr>
        <w:ilvl w:val="0"/>
        <w:numId w:val="0"/>
      </w:numPr>
      <w:tabs>
        <w:tab w:val="left" w:pos="454"/>
        <w:tab w:val="left" w:pos="720"/>
        <w:tab w:val="left" w:pos="1200"/>
        <w:tab w:val="clear" w:pos="360"/>
      </w:tabs>
      <w:spacing w:after="120"/>
      <w:ind w:left="48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E165D">
    <w:pPr>
      <w:pStyle w:val="8"/>
      <w:framePr w:wrap="around" w:vAnchor="text" w:hAnchor="margin" w:xAlign="center" w:y="1"/>
      <w:tabs>
        <w:tab w:val="left" w:pos="454"/>
        <w:tab w:val="left" w:pos="720"/>
        <w:tab w:val="left" w:pos="1200"/>
      </w:tabs>
      <w:spacing w:after="120"/>
      <w:rPr>
        <w:rStyle w:val="29"/>
      </w:rPr>
    </w:pPr>
    <w:r>
      <w:fldChar w:fldCharType="begin"/>
    </w:r>
    <w:r>
      <w:rPr>
        <w:rStyle w:val="29"/>
      </w:rPr>
      <w:instrText xml:space="preserve">PAGE  </w:instrText>
    </w:r>
    <w:r>
      <w:fldChar w:fldCharType="separate"/>
    </w:r>
    <w:r>
      <w:rPr>
        <w:rStyle w:val="29"/>
      </w:rPr>
      <w:t>10</w:t>
    </w:r>
    <w:r>
      <w:fldChar w:fldCharType="end"/>
    </w:r>
  </w:p>
  <w:p w14:paraId="00DAD1E8">
    <w:pPr>
      <w:pStyle w:val="8"/>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EDC25">
    <w:pPr>
      <w:pStyle w:val="8"/>
      <w:numPr>
        <w:ilvl w:val="0"/>
        <w:numId w:val="0"/>
      </w:numPr>
      <w:tabs>
        <w:tab w:val="left" w:pos="454"/>
        <w:tab w:val="left" w:pos="720"/>
        <w:tab w:val="left" w:pos="1200"/>
        <w:tab w:val="clear" w:pos="360"/>
      </w:tabs>
      <w:spacing w:after="120"/>
      <w:ind w:left="480"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86A52">
    <w:pPr>
      <w:pStyle w:val="8"/>
      <w:numPr>
        <w:ilvl w:val="0"/>
        <w:numId w:val="0"/>
      </w:numPr>
      <w:tabs>
        <w:tab w:val="left" w:pos="454"/>
        <w:tab w:val="left" w:pos="720"/>
        <w:tab w:val="left" w:pos="1200"/>
        <w:tab w:val="clear" w:pos="360"/>
      </w:tabs>
      <w:spacing w:after="120"/>
      <w:ind w:left="480" w:right="36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C0A1D">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7C0A1D">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A98AF">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15655">
                          <w:pPr>
                            <w:pStyle w:val="16"/>
                          </w:pPr>
                          <w:r>
                            <w:t xml:space="preserve">第 </w:t>
                          </w:r>
                          <w:r>
                            <w:fldChar w:fldCharType="begin"/>
                          </w:r>
                          <w:r>
                            <w:instrText xml:space="preserve"> PAGE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3A15655">
                    <w:pPr>
                      <w:pStyle w:val="16"/>
                    </w:pPr>
                    <w:r>
                      <w:t xml:space="preserve">第 </w:t>
                    </w:r>
                    <w:r>
                      <w:fldChar w:fldCharType="begin"/>
                    </w:r>
                    <w:r>
                      <w:instrText xml:space="preserve"> PAGE  \* MERGEFORMAT </w:instrText>
                    </w:r>
                    <w:r>
                      <w:fldChar w:fldCharType="separate"/>
                    </w:r>
                    <w:r>
                      <w:t>20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E9CB">
    <w:pPr>
      <w:pStyle w:val="8"/>
      <w:numPr>
        <w:ilvl w:val="0"/>
        <w:numId w:val="0"/>
      </w:numPr>
      <w:tabs>
        <w:tab w:val="left" w:pos="454"/>
        <w:tab w:val="left" w:pos="720"/>
        <w:tab w:val="left" w:pos="1200"/>
        <w:tab w:val="clear" w:pos="360"/>
      </w:tabs>
      <w:spacing w:after="120"/>
      <w:ind w:left="480" w:right="360"/>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BEEA6">
                          <w:pPr>
                            <w:pStyle w:val="16"/>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D6BEEA6">
                    <w:pPr>
                      <w:pStyle w:val="16"/>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812D0">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2CBB6">
                          <w:pPr>
                            <w:pStyle w:val="16"/>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FF2CBB6">
                    <w:pPr>
                      <w:pStyle w:val="16"/>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9C5DE">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64FFD">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BFF4D"/>
    <w:multiLevelType w:val="singleLevel"/>
    <w:tmpl w:val="819BFF4D"/>
    <w:lvl w:ilvl="0" w:tentative="0">
      <w:start w:val="1"/>
      <w:numFmt w:val="decimal"/>
      <w:suff w:val="nothing"/>
      <w:lvlText w:val="%1．"/>
      <w:lvlJc w:val="left"/>
      <w:pPr>
        <w:ind w:left="0" w:firstLine="400"/>
      </w:pPr>
      <w:rPr>
        <w:rFonts w:hint="default"/>
      </w:rPr>
    </w:lvl>
  </w:abstractNum>
  <w:abstractNum w:abstractNumId="1">
    <w:nsid w:val="8D802EEE"/>
    <w:multiLevelType w:val="singleLevel"/>
    <w:tmpl w:val="8D802EEE"/>
    <w:lvl w:ilvl="0" w:tentative="0">
      <w:start w:val="1"/>
      <w:numFmt w:val="decimal"/>
      <w:suff w:val="nothing"/>
      <w:lvlText w:val="(%1)"/>
      <w:lvlJc w:val="left"/>
      <w:pPr>
        <w:ind w:left="0" w:leftChars="0" w:firstLine="40" w:firstLineChars="0"/>
      </w:pPr>
      <w:rPr>
        <w:rFonts w:hint="default"/>
      </w:rPr>
    </w:lvl>
  </w:abstractNum>
  <w:abstractNum w:abstractNumId="2">
    <w:nsid w:val="963CBFC0"/>
    <w:multiLevelType w:val="singleLevel"/>
    <w:tmpl w:val="963CBFC0"/>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3">
    <w:nsid w:val="9CE01A59"/>
    <w:multiLevelType w:val="singleLevel"/>
    <w:tmpl w:val="9CE01A59"/>
    <w:lvl w:ilvl="0" w:tentative="0">
      <w:start w:val="1"/>
      <w:numFmt w:val="decimal"/>
      <w:suff w:val="nothing"/>
      <w:lvlText w:val="%1．"/>
      <w:lvlJc w:val="left"/>
      <w:pPr>
        <w:ind w:left="0" w:firstLine="400"/>
      </w:pPr>
      <w:rPr>
        <w:rFonts w:hint="default"/>
      </w:rPr>
    </w:lvl>
  </w:abstractNum>
  <w:abstractNum w:abstractNumId="4">
    <w:nsid w:val="A0263502"/>
    <w:multiLevelType w:val="singleLevel"/>
    <w:tmpl w:val="A0263502"/>
    <w:lvl w:ilvl="0" w:tentative="0">
      <w:start w:val="1"/>
      <w:numFmt w:val="decimal"/>
      <w:suff w:val="nothing"/>
      <w:lvlText w:val="%1．"/>
      <w:lvlJc w:val="left"/>
      <w:pPr>
        <w:ind w:left="0" w:firstLine="400"/>
      </w:pPr>
      <w:rPr>
        <w:rFonts w:hint="default"/>
      </w:rPr>
    </w:lvl>
  </w:abstractNum>
  <w:abstractNum w:abstractNumId="5">
    <w:nsid w:val="A0D36AA4"/>
    <w:multiLevelType w:val="singleLevel"/>
    <w:tmpl w:val="A0D36AA4"/>
    <w:lvl w:ilvl="0" w:tentative="0">
      <w:start w:val="1"/>
      <w:numFmt w:val="decimal"/>
      <w:suff w:val="nothing"/>
      <w:lvlText w:val="%1．"/>
      <w:lvlJc w:val="left"/>
      <w:pPr>
        <w:ind w:left="0" w:firstLine="400"/>
      </w:pPr>
      <w:rPr>
        <w:rFonts w:hint="default"/>
      </w:rPr>
    </w:lvl>
  </w:abstractNum>
  <w:abstractNum w:abstractNumId="6">
    <w:nsid w:val="A0F7CB26"/>
    <w:multiLevelType w:val="singleLevel"/>
    <w:tmpl w:val="A0F7CB26"/>
    <w:lvl w:ilvl="0" w:tentative="0">
      <w:start w:val="1"/>
      <w:numFmt w:val="decimal"/>
      <w:suff w:val="nothing"/>
      <w:lvlText w:val="%1．"/>
      <w:lvlJc w:val="left"/>
      <w:pPr>
        <w:ind w:left="0" w:firstLine="400"/>
      </w:pPr>
      <w:rPr>
        <w:rFonts w:hint="default"/>
      </w:rPr>
    </w:lvl>
  </w:abstractNum>
  <w:abstractNum w:abstractNumId="7">
    <w:nsid w:val="A0FF2CFA"/>
    <w:multiLevelType w:val="singleLevel"/>
    <w:tmpl w:val="A0FF2CFA"/>
    <w:lvl w:ilvl="0" w:tentative="0">
      <w:start w:val="1"/>
      <w:numFmt w:val="decimal"/>
      <w:suff w:val="nothing"/>
      <w:lvlText w:val="%1．"/>
      <w:lvlJc w:val="left"/>
      <w:pPr>
        <w:ind w:left="0" w:firstLine="400"/>
      </w:pPr>
      <w:rPr>
        <w:rFonts w:hint="default"/>
      </w:rPr>
    </w:lvl>
  </w:abstractNum>
  <w:abstractNum w:abstractNumId="8">
    <w:nsid w:val="A1E7AD11"/>
    <w:multiLevelType w:val="singleLevel"/>
    <w:tmpl w:val="A1E7AD11"/>
    <w:lvl w:ilvl="0" w:tentative="0">
      <w:start w:val="1"/>
      <w:numFmt w:val="chineseCounting"/>
      <w:suff w:val="nothing"/>
      <w:lvlText w:val="（%1）"/>
      <w:lvlJc w:val="left"/>
      <w:pPr>
        <w:ind w:left="0" w:firstLine="420"/>
      </w:pPr>
      <w:rPr>
        <w:rFonts w:hint="eastAsia"/>
      </w:rPr>
    </w:lvl>
  </w:abstractNum>
  <w:abstractNum w:abstractNumId="9">
    <w:nsid w:val="A37367D0"/>
    <w:multiLevelType w:val="singleLevel"/>
    <w:tmpl w:val="A37367D0"/>
    <w:lvl w:ilvl="0" w:tentative="0">
      <w:start w:val="1"/>
      <w:numFmt w:val="chineseCounting"/>
      <w:suff w:val="nothing"/>
      <w:lvlText w:val="（%1）"/>
      <w:lvlJc w:val="left"/>
      <w:pPr>
        <w:ind w:left="0" w:firstLine="420"/>
      </w:pPr>
      <w:rPr>
        <w:rFonts w:hint="eastAsia"/>
      </w:rPr>
    </w:lvl>
  </w:abstractNum>
  <w:abstractNum w:abstractNumId="10">
    <w:nsid w:val="A7D446B1"/>
    <w:multiLevelType w:val="singleLevel"/>
    <w:tmpl w:val="A7D446B1"/>
    <w:lvl w:ilvl="0" w:tentative="0">
      <w:start w:val="1"/>
      <w:numFmt w:val="chineseCounting"/>
      <w:suff w:val="nothing"/>
      <w:lvlText w:val="（%1）"/>
      <w:lvlJc w:val="left"/>
      <w:pPr>
        <w:ind w:left="0" w:firstLine="420"/>
      </w:pPr>
      <w:rPr>
        <w:rFonts w:hint="eastAsia"/>
      </w:rPr>
    </w:lvl>
  </w:abstractNum>
  <w:abstractNum w:abstractNumId="11">
    <w:nsid w:val="A98A76F2"/>
    <w:multiLevelType w:val="singleLevel"/>
    <w:tmpl w:val="A98A76F2"/>
    <w:lvl w:ilvl="0" w:tentative="0">
      <w:start w:val="1"/>
      <w:numFmt w:val="chineseCounting"/>
      <w:suff w:val="nothing"/>
      <w:lvlText w:val="（%1）"/>
      <w:lvlJc w:val="left"/>
      <w:pPr>
        <w:ind w:left="0" w:firstLine="420"/>
      </w:pPr>
      <w:rPr>
        <w:rFonts w:hint="eastAsia"/>
      </w:rPr>
    </w:lvl>
  </w:abstractNum>
  <w:abstractNum w:abstractNumId="12">
    <w:nsid w:val="AD86A6BB"/>
    <w:multiLevelType w:val="singleLevel"/>
    <w:tmpl w:val="AD86A6BB"/>
    <w:lvl w:ilvl="0" w:tentative="0">
      <w:start w:val="1"/>
      <w:numFmt w:val="decimal"/>
      <w:suff w:val="nothing"/>
      <w:lvlText w:val="%1．"/>
      <w:lvlJc w:val="left"/>
      <w:pPr>
        <w:ind w:left="0" w:firstLine="400"/>
      </w:pPr>
      <w:rPr>
        <w:rFonts w:hint="default"/>
      </w:rPr>
    </w:lvl>
  </w:abstractNum>
  <w:abstractNum w:abstractNumId="13">
    <w:nsid w:val="ADAC7E09"/>
    <w:multiLevelType w:val="singleLevel"/>
    <w:tmpl w:val="ADAC7E09"/>
    <w:lvl w:ilvl="0" w:tentative="0">
      <w:start w:val="1"/>
      <w:numFmt w:val="chineseCounting"/>
      <w:suff w:val="nothing"/>
      <w:lvlText w:val="（%1）"/>
      <w:lvlJc w:val="left"/>
      <w:pPr>
        <w:ind w:left="0" w:firstLine="420"/>
      </w:pPr>
      <w:rPr>
        <w:rFonts w:hint="eastAsia"/>
      </w:rPr>
    </w:lvl>
  </w:abstractNum>
  <w:abstractNum w:abstractNumId="14">
    <w:nsid w:val="ADFE71E5"/>
    <w:multiLevelType w:val="singleLevel"/>
    <w:tmpl w:val="ADFE71E5"/>
    <w:lvl w:ilvl="0" w:tentative="0">
      <w:start w:val="1"/>
      <w:numFmt w:val="decimal"/>
      <w:suff w:val="nothing"/>
      <w:lvlText w:val="%1．"/>
      <w:lvlJc w:val="left"/>
      <w:pPr>
        <w:ind w:left="0" w:firstLine="400"/>
      </w:pPr>
      <w:rPr>
        <w:rFonts w:hint="default"/>
      </w:rPr>
    </w:lvl>
  </w:abstractNum>
  <w:abstractNum w:abstractNumId="15">
    <w:nsid w:val="B845DBDF"/>
    <w:multiLevelType w:val="singleLevel"/>
    <w:tmpl w:val="B845DBDF"/>
    <w:lvl w:ilvl="0" w:tentative="0">
      <w:start w:val="1"/>
      <w:numFmt w:val="decimal"/>
      <w:suff w:val="nothing"/>
      <w:lvlText w:val="%1．"/>
      <w:lvlJc w:val="left"/>
      <w:pPr>
        <w:ind w:left="0" w:firstLine="400"/>
      </w:pPr>
      <w:rPr>
        <w:rFonts w:hint="default"/>
      </w:rPr>
    </w:lvl>
  </w:abstractNum>
  <w:abstractNum w:abstractNumId="16">
    <w:nsid w:val="BC925506"/>
    <w:multiLevelType w:val="singleLevel"/>
    <w:tmpl w:val="BC925506"/>
    <w:lvl w:ilvl="0" w:tentative="0">
      <w:start w:val="1"/>
      <w:numFmt w:val="chineseCounting"/>
      <w:suff w:val="nothing"/>
      <w:lvlText w:val="（%1）"/>
      <w:lvlJc w:val="left"/>
      <w:pPr>
        <w:ind w:left="0" w:firstLine="420"/>
      </w:pPr>
      <w:rPr>
        <w:rFonts w:hint="eastAsia"/>
      </w:rPr>
    </w:lvl>
  </w:abstractNum>
  <w:abstractNum w:abstractNumId="17">
    <w:nsid w:val="C0E2DE5D"/>
    <w:multiLevelType w:val="singleLevel"/>
    <w:tmpl w:val="C0E2DE5D"/>
    <w:lvl w:ilvl="0" w:tentative="0">
      <w:start w:val="1"/>
      <w:numFmt w:val="chineseCounting"/>
      <w:suff w:val="nothing"/>
      <w:lvlText w:val="（%1）"/>
      <w:lvlJc w:val="left"/>
      <w:pPr>
        <w:ind w:left="0" w:firstLine="420"/>
      </w:pPr>
      <w:rPr>
        <w:rFonts w:hint="eastAsia"/>
      </w:rPr>
    </w:lvl>
  </w:abstractNum>
  <w:abstractNum w:abstractNumId="18">
    <w:nsid w:val="CAFA28A2"/>
    <w:multiLevelType w:val="singleLevel"/>
    <w:tmpl w:val="CAFA28A2"/>
    <w:lvl w:ilvl="0" w:tentative="0">
      <w:start w:val="1"/>
      <w:numFmt w:val="chineseCounting"/>
      <w:suff w:val="nothing"/>
      <w:lvlText w:val="（%1）"/>
      <w:lvlJc w:val="left"/>
      <w:pPr>
        <w:ind w:left="0" w:firstLine="420"/>
      </w:pPr>
      <w:rPr>
        <w:rFonts w:hint="eastAsia"/>
      </w:rPr>
    </w:lvl>
  </w:abstractNum>
  <w:abstractNum w:abstractNumId="19">
    <w:nsid w:val="CBFEC2C1"/>
    <w:multiLevelType w:val="singleLevel"/>
    <w:tmpl w:val="CBFEC2C1"/>
    <w:lvl w:ilvl="0" w:tentative="0">
      <w:start w:val="1"/>
      <w:numFmt w:val="decimal"/>
      <w:suff w:val="nothing"/>
      <w:lvlText w:val="%1．"/>
      <w:lvlJc w:val="left"/>
      <w:pPr>
        <w:ind w:left="0" w:firstLine="400"/>
      </w:pPr>
      <w:rPr>
        <w:rFonts w:hint="default"/>
      </w:rPr>
    </w:lvl>
  </w:abstractNum>
  <w:abstractNum w:abstractNumId="20">
    <w:nsid w:val="CC4F6965"/>
    <w:multiLevelType w:val="singleLevel"/>
    <w:tmpl w:val="CC4F6965"/>
    <w:lvl w:ilvl="0" w:tentative="0">
      <w:start w:val="1"/>
      <w:numFmt w:val="chineseCounting"/>
      <w:suff w:val="nothing"/>
      <w:lvlText w:val="（%1）"/>
      <w:lvlJc w:val="left"/>
      <w:pPr>
        <w:ind w:left="0" w:firstLine="420"/>
      </w:pPr>
      <w:rPr>
        <w:rFonts w:hint="eastAsia"/>
      </w:rPr>
    </w:lvl>
  </w:abstractNum>
  <w:abstractNum w:abstractNumId="21">
    <w:nsid w:val="DF3B772E"/>
    <w:multiLevelType w:val="singleLevel"/>
    <w:tmpl w:val="DF3B772E"/>
    <w:lvl w:ilvl="0" w:tentative="0">
      <w:start w:val="1"/>
      <w:numFmt w:val="decimalEnclosedCircleChinese"/>
      <w:suff w:val="nothing"/>
      <w:lvlText w:val="%1　"/>
      <w:lvlJc w:val="left"/>
      <w:pPr>
        <w:ind w:left="0" w:firstLine="400"/>
      </w:pPr>
      <w:rPr>
        <w:rFonts w:hint="eastAsia"/>
      </w:rPr>
    </w:lvl>
  </w:abstractNum>
  <w:abstractNum w:abstractNumId="22">
    <w:nsid w:val="DF57C412"/>
    <w:multiLevelType w:val="singleLevel"/>
    <w:tmpl w:val="DF57C412"/>
    <w:lvl w:ilvl="0" w:tentative="0">
      <w:start w:val="1"/>
      <w:numFmt w:val="decimal"/>
      <w:suff w:val="nothing"/>
      <w:lvlText w:val="%1．"/>
      <w:lvlJc w:val="left"/>
      <w:pPr>
        <w:ind w:left="0" w:firstLine="400"/>
      </w:pPr>
      <w:rPr>
        <w:rFonts w:hint="default"/>
      </w:rPr>
    </w:lvl>
  </w:abstractNum>
  <w:abstractNum w:abstractNumId="23">
    <w:nsid w:val="E017C207"/>
    <w:multiLevelType w:val="singleLevel"/>
    <w:tmpl w:val="E017C207"/>
    <w:lvl w:ilvl="0" w:tentative="0">
      <w:start w:val="1"/>
      <w:numFmt w:val="decimal"/>
      <w:lvlText w:val="%1)"/>
      <w:lvlJc w:val="left"/>
      <w:pPr>
        <w:tabs>
          <w:tab w:val="left" w:pos="420"/>
        </w:tabs>
        <w:ind w:left="845" w:hanging="425"/>
      </w:pPr>
      <w:rPr>
        <w:rFonts w:hint="default"/>
      </w:rPr>
    </w:lvl>
  </w:abstractNum>
  <w:abstractNum w:abstractNumId="24">
    <w:nsid w:val="E07D8D03"/>
    <w:multiLevelType w:val="singleLevel"/>
    <w:tmpl w:val="E07D8D03"/>
    <w:lvl w:ilvl="0" w:tentative="0">
      <w:start w:val="1"/>
      <w:numFmt w:val="chineseCounting"/>
      <w:suff w:val="nothing"/>
      <w:lvlText w:val="%1、"/>
      <w:lvlJc w:val="left"/>
      <w:pPr>
        <w:ind w:left="0" w:firstLine="420"/>
      </w:pPr>
      <w:rPr>
        <w:rFonts w:hint="eastAsia"/>
      </w:rPr>
    </w:lvl>
  </w:abstractNum>
  <w:abstractNum w:abstractNumId="25">
    <w:nsid w:val="E60EC428"/>
    <w:multiLevelType w:val="singleLevel"/>
    <w:tmpl w:val="E60EC428"/>
    <w:lvl w:ilvl="0" w:tentative="0">
      <w:start w:val="1"/>
      <w:numFmt w:val="decimal"/>
      <w:suff w:val="nothing"/>
      <w:lvlText w:val="%1．"/>
      <w:lvlJc w:val="left"/>
      <w:pPr>
        <w:ind w:left="0" w:firstLine="400"/>
      </w:pPr>
      <w:rPr>
        <w:rFonts w:hint="default"/>
      </w:rPr>
    </w:lvl>
  </w:abstractNum>
  <w:abstractNum w:abstractNumId="26">
    <w:nsid w:val="E7171C12"/>
    <w:multiLevelType w:val="singleLevel"/>
    <w:tmpl w:val="E7171C12"/>
    <w:lvl w:ilvl="0" w:tentative="0">
      <w:start w:val="1"/>
      <w:numFmt w:val="bullet"/>
      <w:pStyle w:val="9"/>
      <w:lvlText w:val=""/>
      <w:lvlJc w:val="left"/>
      <w:pPr>
        <w:tabs>
          <w:tab w:val="left" w:pos="360"/>
        </w:tabs>
        <w:ind w:left="360" w:hanging="360"/>
      </w:pPr>
      <w:rPr>
        <w:rFonts w:hint="default" w:ascii="Wingdings" w:hAnsi="Wingdings"/>
      </w:rPr>
    </w:lvl>
  </w:abstractNum>
  <w:abstractNum w:abstractNumId="27">
    <w:nsid w:val="E9D66787"/>
    <w:multiLevelType w:val="singleLevel"/>
    <w:tmpl w:val="E9D66787"/>
    <w:lvl w:ilvl="0" w:tentative="0">
      <w:start w:val="1"/>
      <w:numFmt w:val="chineseCounting"/>
      <w:suff w:val="nothing"/>
      <w:lvlText w:val="（%1）"/>
      <w:lvlJc w:val="left"/>
      <w:pPr>
        <w:ind w:left="0" w:firstLine="420"/>
      </w:pPr>
      <w:rPr>
        <w:rFonts w:hint="eastAsia"/>
      </w:rPr>
    </w:lvl>
  </w:abstractNum>
  <w:abstractNum w:abstractNumId="28">
    <w:nsid w:val="EA117F7F"/>
    <w:multiLevelType w:val="singleLevel"/>
    <w:tmpl w:val="EA117F7F"/>
    <w:lvl w:ilvl="0" w:tentative="0">
      <w:start w:val="1"/>
      <w:numFmt w:val="decimal"/>
      <w:suff w:val="nothing"/>
      <w:lvlText w:val="%1．"/>
      <w:lvlJc w:val="left"/>
      <w:pPr>
        <w:ind w:left="0" w:firstLine="400"/>
      </w:pPr>
      <w:rPr>
        <w:rFonts w:hint="default"/>
      </w:rPr>
    </w:lvl>
  </w:abstractNum>
  <w:abstractNum w:abstractNumId="29">
    <w:nsid w:val="ECE34819"/>
    <w:multiLevelType w:val="singleLevel"/>
    <w:tmpl w:val="ECE34819"/>
    <w:lvl w:ilvl="0" w:tentative="0">
      <w:start w:val="1"/>
      <w:numFmt w:val="decimal"/>
      <w:suff w:val="nothing"/>
      <w:lvlText w:val="%1．"/>
      <w:lvlJc w:val="left"/>
      <w:pPr>
        <w:ind w:left="0" w:firstLine="400"/>
      </w:pPr>
      <w:rPr>
        <w:rFonts w:hint="default"/>
      </w:rPr>
    </w:lvl>
  </w:abstractNum>
  <w:abstractNum w:abstractNumId="30">
    <w:nsid w:val="EDF71254"/>
    <w:multiLevelType w:val="singleLevel"/>
    <w:tmpl w:val="EDF71254"/>
    <w:lvl w:ilvl="0" w:tentative="0">
      <w:start w:val="1"/>
      <w:numFmt w:val="chineseCounting"/>
      <w:suff w:val="nothing"/>
      <w:lvlText w:val="%1、"/>
      <w:lvlJc w:val="left"/>
      <w:pPr>
        <w:ind w:left="0" w:firstLine="420"/>
      </w:pPr>
      <w:rPr>
        <w:rFonts w:hint="eastAsia"/>
      </w:rPr>
    </w:lvl>
  </w:abstractNum>
  <w:abstractNum w:abstractNumId="31">
    <w:nsid w:val="F5530398"/>
    <w:multiLevelType w:val="singleLevel"/>
    <w:tmpl w:val="F5530398"/>
    <w:lvl w:ilvl="0" w:tentative="0">
      <w:start w:val="1"/>
      <w:numFmt w:val="decimal"/>
      <w:suff w:val="nothing"/>
      <w:lvlText w:val="%1．"/>
      <w:lvlJc w:val="left"/>
      <w:pPr>
        <w:ind w:left="0" w:firstLine="400"/>
      </w:pPr>
      <w:rPr>
        <w:rFonts w:hint="default"/>
      </w:rPr>
    </w:lvl>
  </w:abstractNum>
  <w:abstractNum w:abstractNumId="32">
    <w:nsid w:val="F5B787D2"/>
    <w:multiLevelType w:val="singleLevel"/>
    <w:tmpl w:val="F5B787D2"/>
    <w:lvl w:ilvl="0" w:tentative="0">
      <w:start w:val="1"/>
      <w:numFmt w:val="decimal"/>
      <w:suff w:val="nothing"/>
      <w:lvlText w:val="%1．"/>
      <w:lvlJc w:val="left"/>
      <w:pPr>
        <w:ind w:left="0" w:firstLine="400"/>
      </w:pPr>
      <w:rPr>
        <w:rFonts w:hint="default"/>
      </w:rPr>
    </w:lvl>
  </w:abstractNum>
  <w:abstractNum w:abstractNumId="33">
    <w:nsid w:val="F71EEF14"/>
    <w:multiLevelType w:val="singleLevel"/>
    <w:tmpl w:val="F71EEF14"/>
    <w:lvl w:ilvl="0" w:tentative="0">
      <w:start w:val="1"/>
      <w:numFmt w:val="chineseCounting"/>
      <w:suff w:val="nothing"/>
      <w:lvlText w:val="%1、"/>
      <w:lvlJc w:val="left"/>
      <w:pPr>
        <w:ind w:left="0" w:firstLine="420"/>
      </w:pPr>
      <w:rPr>
        <w:rFonts w:hint="eastAsia"/>
      </w:rPr>
    </w:lvl>
  </w:abstractNum>
  <w:abstractNum w:abstractNumId="34">
    <w:nsid w:val="F7E0D11C"/>
    <w:multiLevelType w:val="singleLevel"/>
    <w:tmpl w:val="F7E0D11C"/>
    <w:lvl w:ilvl="0" w:tentative="0">
      <w:start w:val="1"/>
      <w:numFmt w:val="decimal"/>
      <w:suff w:val="nothing"/>
      <w:lvlText w:val="%1．"/>
      <w:lvlJc w:val="left"/>
      <w:pPr>
        <w:ind w:left="0" w:firstLine="400"/>
      </w:pPr>
      <w:rPr>
        <w:rFonts w:hint="default"/>
      </w:rPr>
    </w:lvl>
  </w:abstractNum>
  <w:abstractNum w:abstractNumId="35">
    <w:nsid w:val="FB57CA79"/>
    <w:multiLevelType w:val="singleLevel"/>
    <w:tmpl w:val="FB57CA79"/>
    <w:lvl w:ilvl="0" w:tentative="0">
      <w:start w:val="1"/>
      <w:numFmt w:val="decimal"/>
      <w:lvlText w:val="%1)"/>
      <w:lvlJc w:val="left"/>
      <w:pPr>
        <w:tabs>
          <w:tab w:val="left" w:pos="420"/>
        </w:tabs>
        <w:ind w:left="845" w:hanging="425"/>
      </w:pPr>
      <w:rPr>
        <w:rFonts w:hint="default"/>
      </w:rPr>
    </w:lvl>
  </w:abstractNum>
  <w:abstractNum w:abstractNumId="36">
    <w:nsid w:val="FCE6C46F"/>
    <w:multiLevelType w:val="singleLevel"/>
    <w:tmpl w:val="FCE6C46F"/>
    <w:lvl w:ilvl="0" w:tentative="0">
      <w:start w:val="1"/>
      <w:numFmt w:val="decimal"/>
      <w:suff w:val="nothing"/>
      <w:lvlText w:val="%1．"/>
      <w:lvlJc w:val="left"/>
      <w:pPr>
        <w:ind w:left="0" w:firstLine="400"/>
      </w:pPr>
      <w:rPr>
        <w:rFonts w:hint="default"/>
      </w:rPr>
    </w:lvl>
  </w:abstractNum>
  <w:abstractNum w:abstractNumId="37">
    <w:nsid w:val="FE8FAF44"/>
    <w:multiLevelType w:val="singleLevel"/>
    <w:tmpl w:val="FE8FAF44"/>
    <w:lvl w:ilvl="0" w:tentative="0">
      <w:start w:val="1"/>
      <w:numFmt w:val="chineseCounting"/>
      <w:suff w:val="nothing"/>
      <w:lvlText w:val="（%1）"/>
      <w:lvlJc w:val="left"/>
      <w:pPr>
        <w:ind w:left="0" w:firstLine="420"/>
      </w:pPr>
      <w:rPr>
        <w:rFonts w:hint="eastAsia"/>
      </w:rPr>
    </w:lvl>
  </w:abstractNum>
  <w:abstractNum w:abstractNumId="38">
    <w:nsid w:val="00000020"/>
    <w:multiLevelType w:val="singleLevel"/>
    <w:tmpl w:val="00000020"/>
    <w:lvl w:ilvl="0" w:tentative="0">
      <w:start w:val="1"/>
      <w:numFmt w:val="chineseCounting"/>
      <w:suff w:val="nothing"/>
      <w:lvlText w:val="%1、"/>
      <w:lvlJc w:val="left"/>
      <w:pPr>
        <w:ind w:left="0" w:firstLine="420"/>
      </w:pPr>
      <w:rPr>
        <w:rFonts w:hint="eastAsia"/>
      </w:rPr>
    </w:lvl>
  </w:abstractNum>
  <w:abstractNum w:abstractNumId="39">
    <w:nsid w:val="0456069E"/>
    <w:multiLevelType w:val="singleLevel"/>
    <w:tmpl w:val="0456069E"/>
    <w:lvl w:ilvl="0" w:tentative="0">
      <w:start w:val="1"/>
      <w:numFmt w:val="decimalEnclosedCircleChinese"/>
      <w:suff w:val="nothing"/>
      <w:lvlText w:val="%1　"/>
      <w:lvlJc w:val="left"/>
      <w:pPr>
        <w:ind w:left="0" w:firstLine="400"/>
      </w:pPr>
      <w:rPr>
        <w:rFonts w:hint="eastAsia"/>
      </w:rPr>
    </w:lvl>
  </w:abstractNum>
  <w:abstractNum w:abstractNumId="40">
    <w:nsid w:val="04A5EB8F"/>
    <w:multiLevelType w:val="singleLevel"/>
    <w:tmpl w:val="04A5EB8F"/>
    <w:lvl w:ilvl="0" w:tentative="0">
      <w:start w:val="1"/>
      <w:numFmt w:val="decimal"/>
      <w:suff w:val="nothing"/>
      <w:lvlText w:val="%1．"/>
      <w:lvlJc w:val="left"/>
      <w:pPr>
        <w:ind w:left="0" w:firstLine="400"/>
      </w:pPr>
      <w:rPr>
        <w:rFonts w:hint="default"/>
      </w:rPr>
    </w:lvl>
  </w:abstractNum>
  <w:abstractNum w:abstractNumId="41">
    <w:nsid w:val="0645AE4C"/>
    <w:multiLevelType w:val="singleLevel"/>
    <w:tmpl w:val="0645AE4C"/>
    <w:lvl w:ilvl="0" w:tentative="0">
      <w:start w:val="1"/>
      <w:numFmt w:val="decimal"/>
      <w:suff w:val="nothing"/>
      <w:lvlText w:val="%1．"/>
      <w:lvlJc w:val="left"/>
      <w:pPr>
        <w:ind w:left="0" w:firstLine="400"/>
      </w:pPr>
      <w:rPr>
        <w:rFonts w:hint="default"/>
      </w:rPr>
    </w:lvl>
  </w:abstractNum>
  <w:abstractNum w:abstractNumId="42">
    <w:nsid w:val="091C3C3D"/>
    <w:multiLevelType w:val="singleLevel"/>
    <w:tmpl w:val="091C3C3D"/>
    <w:lvl w:ilvl="0" w:tentative="0">
      <w:start w:val="1"/>
      <w:numFmt w:val="chineseCounting"/>
      <w:suff w:val="nothing"/>
      <w:lvlText w:val="（%1）"/>
      <w:lvlJc w:val="left"/>
      <w:pPr>
        <w:ind w:left="0" w:firstLine="420"/>
      </w:pPr>
      <w:rPr>
        <w:rFonts w:hint="eastAsia"/>
      </w:rPr>
    </w:lvl>
  </w:abstractNum>
  <w:abstractNum w:abstractNumId="43">
    <w:nsid w:val="0ED2C79B"/>
    <w:multiLevelType w:val="singleLevel"/>
    <w:tmpl w:val="0ED2C79B"/>
    <w:lvl w:ilvl="0" w:tentative="0">
      <w:start w:val="1"/>
      <w:numFmt w:val="decimal"/>
      <w:pStyle w:val="8"/>
      <w:lvlText w:val="%1."/>
      <w:lvlJc w:val="left"/>
      <w:pPr>
        <w:tabs>
          <w:tab w:val="left" w:pos="360"/>
        </w:tabs>
        <w:ind w:left="360" w:hanging="360"/>
      </w:pPr>
    </w:lvl>
  </w:abstractNum>
  <w:abstractNum w:abstractNumId="44">
    <w:nsid w:val="0F7EBE18"/>
    <w:multiLevelType w:val="singleLevel"/>
    <w:tmpl w:val="0F7EBE18"/>
    <w:lvl w:ilvl="0" w:tentative="0">
      <w:start w:val="1"/>
      <w:numFmt w:val="decimal"/>
      <w:suff w:val="nothing"/>
      <w:lvlText w:val="(%1)"/>
      <w:lvlJc w:val="left"/>
      <w:pPr>
        <w:ind w:left="0" w:leftChars="0" w:firstLine="40" w:firstLineChars="0"/>
      </w:pPr>
      <w:rPr>
        <w:rFonts w:hint="default"/>
      </w:rPr>
    </w:lvl>
  </w:abstractNum>
  <w:abstractNum w:abstractNumId="45">
    <w:nsid w:val="1455207D"/>
    <w:multiLevelType w:val="singleLevel"/>
    <w:tmpl w:val="1455207D"/>
    <w:lvl w:ilvl="0" w:tentative="0">
      <w:start w:val="1"/>
      <w:numFmt w:val="decimal"/>
      <w:suff w:val="nothing"/>
      <w:lvlText w:val="(%1)"/>
      <w:lvlJc w:val="left"/>
      <w:pPr>
        <w:ind w:left="0" w:leftChars="0" w:firstLine="40" w:firstLineChars="0"/>
      </w:pPr>
      <w:rPr>
        <w:rFonts w:hint="default"/>
      </w:rPr>
    </w:lvl>
  </w:abstractNum>
  <w:abstractNum w:abstractNumId="46">
    <w:nsid w:val="14F6629A"/>
    <w:multiLevelType w:val="singleLevel"/>
    <w:tmpl w:val="14F6629A"/>
    <w:lvl w:ilvl="0" w:tentative="0">
      <w:start w:val="1"/>
      <w:numFmt w:val="chineseCounting"/>
      <w:suff w:val="nothing"/>
      <w:lvlText w:val="（%1）"/>
      <w:lvlJc w:val="left"/>
      <w:pPr>
        <w:ind w:left="0" w:firstLine="420"/>
      </w:pPr>
      <w:rPr>
        <w:rFonts w:hint="eastAsia"/>
      </w:rPr>
    </w:lvl>
  </w:abstractNum>
  <w:abstractNum w:abstractNumId="47">
    <w:nsid w:val="191414F2"/>
    <w:multiLevelType w:val="singleLevel"/>
    <w:tmpl w:val="191414F2"/>
    <w:lvl w:ilvl="0" w:tentative="0">
      <w:start w:val="1"/>
      <w:numFmt w:val="chineseCounting"/>
      <w:suff w:val="nothing"/>
      <w:lvlText w:val="（%1）"/>
      <w:lvlJc w:val="left"/>
      <w:pPr>
        <w:ind w:left="0" w:firstLine="420"/>
      </w:pPr>
      <w:rPr>
        <w:rFonts w:hint="eastAsia"/>
      </w:rPr>
    </w:lvl>
  </w:abstractNum>
  <w:abstractNum w:abstractNumId="48">
    <w:nsid w:val="23BC29DC"/>
    <w:multiLevelType w:val="singleLevel"/>
    <w:tmpl w:val="23BC29DC"/>
    <w:lvl w:ilvl="0" w:tentative="0">
      <w:start w:val="1"/>
      <w:numFmt w:val="decimal"/>
      <w:suff w:val="nothing"/>
      <w:lvlText w:val="%1．"/>
      <w:lvlJc w:val="left"/>
      <w:pPr>
        <w:ind w:left="0" w:firstLine="400"/>
      </w:pPr>
      <w:rPr>
        <w:rFonts w:hint="default"/>
      </w:rPr>
    </w:lvl>
  </w:abstractNum>
  <w:abstractNum w:abstractNumId="49">
    <w:nsid w:val="27175640"/>
    <w:multiLevelType w:val="singleLevel"/>
    <w:tmpl w:val="27175640"/>
    <w:lvl w:ilvl="0" w:tentative="0">
      <w:start w:val="1"/>
      <w:numFmt w:val="decimal"/>
      <w:suff w:val="nothing"/>
      <w:lvlText w:val="%1．"/>
      <w:lvlJc w:val="left"/>
      <w:pPr>
        <w:ind w:left="0" w:firstLine="400"/>
      </w:pPr>
      <w:rPr>
        <w:rFonts w:hint="default"/>
      </w:rPr>
    </w:lvl>
  </w:abstractNum>
  <w:abstractNum w:abstractNumId="50">
    <w:nsid w:val="2858AF0A"/>
    <w:multiLevelType w:val="singleLevel"/>
    <w:tmpl w:val="2858AF0A"/>
    <w:lvl w:ilvl="0" w:tentative="0">
      <w:start w:val="1"/>
      <w:numFmt w:val="decimal"/>
      <w:suff w:val="nothing"/>
      <w:lvlText w:val="%1．"/>
      <w:lvlJc w:val="left"/>
      <w:pPr>
        <w:ind w:left="0" w:firstLine="400"/>
      </w:pPr>
      <w:rPr>
        <w:rFonts w:hint="default"/>
      </w:rPr>
    </w:lvl>
  </w:abstractNum>
  <w:abstractNum w:abstractNumId="51">
    <w:nsid w:val="28DE95A7"/>
    <w:multiLevelType w:val="singleLevel"/>
    <w:tmpl w:val="28DE95A7"/>
    <w:lvl w:ilvl="0" w:tentative="0">
      <w:start w:val="1"/>
      <w:numFmt w:val="decimal"/>
      <w:suff w:val="nothing"/>
      <w:lvlText w:val="(%1)"/>
      <w:lvlJc w:val="left"/>
      <w:pPr>
        <w:ind w:left="0" w:leftChars="0" w:firstLine="40" w:firstLineChars="0"/>
      </w:pPr>
      <w:rPr>
        <w:rFonts w:hint="default"/>
      </w:rPr>
    </w:lvl>
  </w:abstractNum>
  <w:abstractNum w:abstractNumId="52">
    <w:nsid w:val="32900E2B"/>
    <w:multiLevelType w:val="singleLevel"/>
    <w:tmpl w:val="32900E2B"/>
    <w:lvl w:ilvl="0" w:tentative="0">
      <w:start w:val="1"/>
      <w:numFmt w:val="decimal"/>
      <w:lvlText w:val="%1)"/>
      <w:lvlJc w:val="left"/>
      <w:pPr>
        <w:ind w:left="425" w:hanging="425"/>
      </w:pPr>
      <w:rPr>
        <w:rFonts w:hint="default"/>
      </w:rPr>
    </w:lvl>
  </w:abstractNum>
  <w:abstractNum w:abstractNumId="53">
    <w:nsid w:val="33A48DD8"/>
    <w:multiLevelType w:val="singleLevel"/>
    <w:tmpl w:val="33A48DD8"/>
    <w:lvl w:ilvl="0" w:tentative="0">
      <w:start w:val="1"/>
      <w:numFmt w:val="decimal"/>
      <w:suff w:val="nothing"/>
      <w:lvlText w:val="%1．"/>
      <w:lvlJc w:val="left"/>
      <w:pPr>
        <w:ind w:left="0" w:firstLine="400"/>
      </w:pPr>
      <w:rPr>
        <w:rFonts w:hint="default"/>
      </w:rPr>
    </w:lvl>
  </w:abstractNum>
  <w:abstractNum w:abstractNumId="54">
    <w:nsid w:val="34C23DC5"/>
    <w:multiLevelType w:val="singleLevel"/>
    <w:tmpl w:val="34C23DC5"/>
    <w:lvl w:ilvl="0" w:tentative="0">
      <w:start w:val="1"/>
      <w:numFmt w:val="chineseCounting"/>
      <w:suff w:val="nothing"/>
      <w:lvlText w:val="（%1）"/>
      <w:lvlJc w:val="left"/>
      <w:pPr>
        <w:ind w:left="0" w:firstLine="420"/>
      </w:pPr>
      <w:rPr>
        <w:rFonts w:hint="eastAsia"/>
      </w:rPr>
    </w:lvl>
  </w:abstractNum>
  <w:abstractNum w:abstractNumId="55">
    <w:nsid w:val="3555AA31"/>
    <w:multiLevelType w:val="singleLevel"/>
    <w:tmpl w:val="3555AA31"/>
    <w:lvl w:ilvl="0" w:tentative="0">
      <w:start w:val="1"/>
      <w:numFmt w:val="chineseCounting"/>
      <w:suff w:val="nothing"/>
      <w:lvlText w:val="（%1）"/>
      <w:lvlJc w:val="left"/>
      <w:pPr>
        <w:ind w:left="0" w:firstLine="420"/>
      </w:pPr>
      <w:rPr>
        <w:rFonts w:hint="eastAsia"/>
      </w:rPr>
    </w:lvl>
  </w:abstractNum>
  <w:abstractNum w:abstractNumId="56">
    <w:nsid w:val="36F86883"/>
    <w:multiLevelType w:val="singleLevel"/>
    <w:tmpl w:val="36F86883"/>
    <w:lvl w:ilvl="0" w:tentative="0">
      <w:start w:val="1"/>
      <w:numFmt w:val="decimal"/>
      <w:suff w:val="nothing"/>
      <w:lvlText w:val="%1．"/>
      <w:lvlJc w:val="left"/>
      <w:pPr>
        <w:ind w:left="0" w:firstLine="400"/>
      </w:pPr>
      <w:rPr>
        <w:rFonts w:hint="default"/>
      </w:rPr>
    </w:lvl>
  </w:abstractNum>
  <w:abstractNum w:abstractNumId="57">
    <w:nsid w:val="3CC18FCB"/>
    <w:multiLevelType w:val="singleLevel"/>
    <w:tmpl w:val="3CC18FCB"/>
    <w:lvl w:ilvl="0" w:tentative="0">
      <w:start w:val="1"/>
      <w:numFmt w:val="decimal"/>
      <w:suff w:val="nothing"/>
      <w:lvlText w:val="%1．"/>
      <w:lvlJc w:val="left"/>
      <w:pPr>
        <w:ind w:left="0" w:firstLine="400"/>
      </w:pPr>
      <w:rPr>
        <w:rFonts w:hint="default"/>
      </w:rPr>
    </w:lvl>
  </w:abstractNum>
  <w:abstractNum w:abstractNumId="58">
    <w:nsid w:val="42320B34"/>
    <w:multiLevelType w:val="singleLevel"/>
    <w:tmpl w:val="42320B34"/>
    <w:lvl w:ilvl="0" w:tentative="0">
      <w:start w:val="1"/>
      <w:numFmt w:val="decimal"/>
      <w:lvlText w:val="%1)"/>
      <w:lvlJc w:val="left"/>
      <w:pPr>
        <w:tabs>
          <w:tab w:val="left" w:pos="420"/>
        </w:tabs>
        <w:ind w:left="845" w:hanging="425"/>
      </w:pPr>
      <w:rPr>
        <w:rFonts w:hint="default"/>
      </w:rPr>
    </w:lvl>
  </w:abstractNum>
  <w:abstractNum w:abstractNumId="59">
    <w:nsid w:val="44169477"/>
    <w:multiLevelType w:val="singleLevel"/>
    <w:tmpl w:val="44169477"/>
    <w:lvl w:ilvl="0" w:tentative="0">
      <w:start w:val="1"/>
      <w:numFmt w:val="chineseCounting"/>
      <w:suff w:val="nothing"/>
      <w:lvlText w:val="（%1）"/>
      <w:lvlJc w:val="left"/>
      <w:pPr>
        <w:ind w:left="0" w:firstLine="420"/>
      </w:pPr>
      <w:rPr>
        <w:rFonts w:hint="eastAsia"/>
      </w:rPr>
    </w:lvl>
  </w:abstractNum>
  <w:abstractNum w:abstractNumId="60">
    <w:nsid w:val="461E5E94"/>
    <w:multiLevelType w:val="singleLevel"/>
    <w:tmpl w:val="461E5E94"/>
    <w:lvl w:ilvl="0" w:tentative="0">
      <w:start w:val="2"/>
      <w:numFmt w:val="chineseCounting"/>
      <w:suff w:val="space"/>
      <w:lvlText w:val="第%1章"/>
      <w:lvlJc w:val="left"/>
      <w:rPr>
        <w:rFonts w:hint="eastAsia"/>
      </w:rPr>
    </w:lvl>
  </w:abstractNum>
  <w:abstractNum w:abstractNumId="61">
    <w:nsid w:val="4A792D76"/>
    <w:multiLevelType w:val="singleLevel"/>
    <w:tmpl w:val="4A792D76"/>
    <w:lvl w:ilvl="0" w:tentative="0">
      <w:start w:val="1"/>
      <w:numFmt w:val="decimal"/>
      <w:suff w:val="nothing"/>
      <w:lvlText w:val="%1．"/>
      <w:lvlJc w:val="left"/>
      <w:pPr>
        <w:ind w:left="0" w:firstLine="400"/>
      </w:pPr>
      <w:rPr>
        <w:rFonts w:hint="default"/>
      </w:rPr>
    </w:lvl>
  </w:abstractNum>
  <w:abstractNum w:abstractNumId="62">
    <w:nsid w:val="5391F251"/>
    <w:multiLevelType w:val="singleLevel"/>
    <w:tmpl w:val="5391F251"/>
    <w:lvl w:ilvl="0" w:tentative="0">
      <w:start w:val="1"/>
      <w:numFmt w:val="decimal"/>
      <w:suff w:val="nothing"/>
      <w:lvlText w:val="%1．"/>
      <w:lvlJc w:val="left"/>
      <w:pPr>
        <w:ind w:left="0" w:firstLine="400"/>
      </w:pPr>
      <w:rPr>
        <w:rFonts w:hint="default"/>
      </w:rPr>
    </w:lvl>
  </w:abstractNum>
  <w:abstractNum w:abstractNumId="63">
    <w:nsid w:val="56E424EE"/>
    <w:multiLevelType w:val="singleLevel"/>
    <w:tmpl w:val="56E424EE"/>
    <w:lvl w:ilvl="0" w:tentative="0">
      <w:start w:val="1"/>
      <w:numFmt w:val="chineseCounting"/>
      <w:suff w:val="nothing"/>
      <w:lvlText w:val="（%1）"/>
      <w:lvlJc w:val="left"/>
      <w:pPr>
        <w:ind w:left="0" w:firstLine="420"/>
      </w:pPr>
      <w:rPr>
        <w:rFonts w:hint="eastAsia"/>
      </w:rPr>
    </w:lvl>
  </w:abstractNum>
  <w:abstractNum w:abstractNumId="64">
    <w:nsid w:val="59195A34"/>
    <w:multiLevelType w:val="singleLevel"/>
    <w:tmpl w:val="59195A34"/>
    <w:lvl w:ilvl="0" w:tentative="0">
      <w:start w:val="1"/>
      <w:numFmt w:val="decimal"/>
      <w:suff w:val="nothing"/>
      <w:lvlText w:val="%1．"/>
      <w:lvlJc w:val="left"/>
      <w:pPr>
        <w:ind w:left="0" w:firstLine="400"/>
      </w:pPr>
      <w:rPr>
        <w:rFonts w:hint="default"/>
      </w:rPr>
    </w:lvl>
  </w:abstractNum>
  <w:abstractNum w:abstractNumId="65">
    <w:nsid w:val="5BE338C7"/>
    <w:multiLevelType w:val="singleLevel"/>
    <w:tmpl w:val="5BE338C7"/>
    <w:lvl w:ilvl="0" w:tentative="0">
      <w:start w:val="1"/>
      <w:numFmt w:val="decimal"/>
      <w:lvlText w:val="%1."/>
      <w:lvlJc w:val="left"/>
      <w:pPr>
        <w:ind w:left="425" w:hanging="425"/>
      </w:pPr>
      <w:rPr>
        <w:rFonts w:hint="default"/>
      </w:rPr>
    </w:lvl>
  </w:abstractNum>
  <w:abstractNum w:abstractNumId="66">
    <w:nsid w:val="5C41548B"/>
    <w:multiLevelType w:val="singleLevel"/>
    <w:tmpl w:val="5C41548B"/>
    <w:lvl w:ilvl="0" w:tentative="0">
      <w:start w:val="1"/>
      <w:numFmt w:val="decimal"/>
      <w:suff w:val="nothing"/>
      <w:lvlText w:val="%1．"/>
      <w:lvlJc w:val="left"/>
      <w:pPr>
        <w:ind w:left="0" w:firstLine="400"/>
      </w:pPr>
      <w:rPr>
        <w:rFonts w:hint="default"/>
      </w:rPr>
    </w:lvl>
  </w:abstractNum>
  <w:abstractNum w:abstractNumId="67">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68">
    <w:nsid w:val="647D2A7E"/>
    <w:multiLevelType w:val="singleLevel"/>
    <w:tmpl w:val="647D2A7E"/>
    <w:lvl w:ilvl="0" w:tentative="0">
      <w:start w:val="1"/>
      <w:numFmt w:val="chineseCounting"/>
      <w:suff w:val="nothing"/>
      <w:lvlText w:val="（%1）"/>
      <w:lvlJc w:val="left"/>
      <w:pPr>
        <w:ind w:left="0" w:firstLine="420"/>
      </w:pPr>
      <w:rPr>
        <w:rFonts w:hint="eastAsia"/>
      </w:rPr>
    </w:lvl>
  </w:abstractNum>
  <w:abstractNum w:abstractNumId="69">
    <w:nsid w:val="65EADDB2"/>
    <w:multiLevelType w:val="singleLevel"/>
    <w:tmpl w:val="65EADDB2"/>
    <w:lvl w:ilvl="0" w:tentative="0">
      <w:start w:val="1"/>
      <w:numFmt w:val="decimal"/>
      <w:suff w:val="nothing"/>
      <w:lvlText w:val="%1．"/>
      <w:lvlJc w:val="left"/>
      <w:pPr>
        <w:ind w:left="0" w:firstLine="400"/>
      </w:pPr>
      <w:rPr>
        <w:rFonts w:hint="default"/>
      </w:rPr>
    </w:lvl>
  </w:abstractNum>
  <w:abstractNum w:abstractNumId="70">
    <w:nsid w:val="66DDD653"/>
    <w:multiLevelType w:val="singleLevel"/>
    <w:tmpl w:val="66DDD653"/>
    <w:lvl w:ilvl="0" w:tentative="0">
      <w:start w:val="1"/>
      <w:numFmt w:val="chineseCounting"/>
      <w:suff w:val="space"/>
      <w:lvlText w:val="第%1章"/>
      <w:lvlJc w:val="left"/>
      <w:rPr>
        <w:rFonts w:hint="eastAsia"/>
      </w:rPr>
    </w:lvl>
  </w:abstractNum>
  <w:abstractNum w:abstractNumId="71">
    <w:nsid w:val="69959515"/>
    <w:multiLevelType w:val="singleLevel"/>
    <w:tmpl w:val="69959515"/>
    <w:lvl w:ilvl="0" w:tentative="0">
      <w:start w:val="1"/>
      <w:numFmt w:val="decimal"/>
      <w:suff w:val="nothing"/>
      <w:lvlText w:val="%1．"/>
      <w:lvlJc w:val="left"/>
      <w:pPr>
        <w:ind w:left="0" w:firstLine="400"/>
      </w:pPr>
      <w:rPr>
        <w:rFonts w:hint="default"/>
      </w:rPr>
    </w:lvl>
  </w:abstractNum>
  <w:abstractNum w:abstractNumId="72">
    <w:nsid w:val="7499F99D"/>
    <w:multiLevelType w:val="singleLevel"/>
    <w:tmpl w:val="7499F99D"/>
    <w:lvl w:ilvl="0" w:tentative="0">
      <w:start w:val="1"/>
      <w:numFmt w:val="decimal"/>
      <w:suff w:val="nothing"/>
      <w:lvlText w:val="%1．"/>
      <w:lvlJc w:val="left"/>
      <w:pPr>
        <w:ind w:left="0" w:firstLine="400"/>
      </w:pPr>
      <w:rPr>
        <w:rFonts w:hint="default"/>
      </w:rPr>
    </w:lvl>
  </w:abstractNum>
  <w:abstractNum w:abstractNumId="73">
    <w:nsid w:val="7B0962F7"/>
    <w:multiLevelType w:val="singleLevel"/>
    <w:tmpl w:val="7B0962F7"/>
    <w:lvl w:ilvl="0" w:tentative="0">
      <w:start w:val="1"/>
      <w:numFmt w:val="chineseCounting"/>
      <w:suff w:val="nothing"/>
      <w:lvlText w:val="%1、"/>
      <w:lvlJc w:val="left"/>
      <w:pPr>
        <w:ind w:left="0" w:firstLine="420"/>
      </w:pPr>
      <w:rPr>
        <w:rFonts w:hint="eastAsia"/>
      </w:rPr>
    </w:lvl>
  </w:abstractNum>
  <w:abstractNum w:abstractNumId="74">
    <w:nsid w:val="7C2DBB70"/>
    <w:multiLevelType w:val="singleLevel"/>
    <w:tmpl w:val="7C2DBB70"/>
    <w:lvl w:ilvl="0" w:tentative="0">
      <w:start w:val="1"/>
      <w:numFmt w:val="decimal"/>
      <w:suff w:val="nothing"/>
      <w:lvlText w:val="%1．"/>
      <w:lvlJc w:val="left"/>
      <w:pPr>
        <w:ind w:left="0" w:firstLine="400"/>
      </w:pPr>
      <w:rPr>
        <w:rFonts w:hint="default"/>
      </w:rPr>
    </w:lvl>
  </w:abstractNum>
  <w:abstractNum w:abstractNumId="75">
    <w:nsid w:val="7F5DB43A"/>
    <w:multiLevelType w:val="singleLevel"/>
    <w:tmpl w:val="7F5DB43A"/>
    <w:lvl w:ilvl="0" w:tentative="0">
      <w:start w:val="1"/>
      <w:numFmt w:val="decimalEnclosedCircleChinese"/>
      <w:suff w:val="nothing"/>
      <w:lvlText w:val="%1　"/>
      <w:lvlJc w:val="left"/>
      <w:pPr>
        <w:ind w:left="0" w:firstLine="400"/>
      </w:pPr>
      <w:rPr>
        <w:rFonts w:hint="eastAsia"/>
      </w:rPr>
    </w:lvl>
  </w:abstractNum>
  <w:num w:numId="1">
    <w:abstractNumId w:val="67"/>
  </w:num>
  <w:num w:numId="2">
    <w:abstractNumId w:val="43"/>
  </w:num>
  <w:num w:numId="3">
    <w:abstractNumId w:val="26"/>
  </w:num>
  <w:num w:numId="4">
    <w:abstractNumId w:val="2"/>
  </w:num>
  <w:num w:numId="5">
    <w:abstractNumId w:val="70"/>
  </w:num>
  <w:num w:numId="6">
    <w:abstractNumId w:val="30"/>
  </w:num>
  <w:num w:numId="7">
    <w:abstractNumId w:val="68"/>
  </w:num>
  <w:num w:numId="8">
    <w:abstractNumId w:val="10"/>
  </w:num>
  <w:num w:numId="9">
    <w:abstractNumId w:val="54"/>
  </w:num>
  <w:num w:numId="10">
    <w:abstractNumId w:val="59"/>
  </w:num>
  <w:num w:numId="11">
    <w:abstractNumId w:val="37"/>
  </w:num>
  <w:num w:numId="12">
    <w:abstractNumId w:val="64"/>
  </w:num>
  <w:num w:numId="13">
    <w:abstractNumId w:val="39"/>
  </w:num>
  <w:num w:numId="14">
    <w:abstractNumId w:val="21"/>
  </w:num>
  <w:num w:numId="15">
    <w:abstractNumId w:val="61"/>
  </w:num>
  <w:num w:numId="16">
    <w:abstractNumId w:val="16"/>
  </w:num>
  <w:num w:numId="17">
    <w:abstractNumId w:val="60"/>
  </w:num>
  <w:num w:numId="18">
    <w:abstractNumId w:val="33"/>
  </w:num>
  <w:num w:numId="19">
    <w:abstractNumId w:val="11"/>
  </w:num>
  <w:num w:numId="20">
    <w:abstractNumId w:val="34"/>
  </w:num>
  <w:num w:numId="21">
    <w:abstractNumId w:val="74"/>
  </w:num>
  <w:num w:numId="22">
    <w:abstractNumId w:val="40"/>
  </w:num>
  <w:num w:numId="23">
    <w:abstractNumId w:val="49"/>
  </w:num>
  <w:num w:numId="24">
    <w:abstractNumId w:val="47"/>
  </w:num>
  <w:num w:numId="25">
    <w:abstractNumId w:val="55"/>
  </w:num>
  <w:num w:numId="26">
    <w:abstractNumId w:val="50"/>
  </w:num>
  <w:num w:numId="27">
    <w:abstractNumId w:val="45"/>
  </w:num>
  <w:num w:numId="28">
    <w:abstractNumId w:val="51"/>
  </w:num>
  <w:num w:numId="29">
    <w:abstractNumId w:val="1"/>
  </w:num>
  <w:num w:numId="30">
    <w:abstractNumId w:val="56"/>
  </w:num>
  <w:num w:numId="31">
    <w:abstractNumId w:val="28"/>
  </w:num>
  <w:num w:numId="32">
    <w:abstractNumId w:val="62"/>
  </w:num>
  <w:num w:numId="33">
    <w:abstractNumId w:val="42"/>
  </w:num>
  <w:num w:numId="34">
    <w:abstractNumId w:val="5"/>
  </w:num>
  <w:num w:numId="35">
    <w:abstractNumId w:val="58"/>
  </w:num>
  <w:num w:numId="36">
    <w:abstractNumId w:val="52"/>
  </w:num>
  <w:num w:numId="37">
    <w:abstractNumId w:val="31"/>
  </w:num>
  <w:num w:numId="38">
    <w:abstractNumId w:val="9"/>
  </w:num>
  <w:num w:numId="39">
    <w:abstractNumId w:val="71"/>
  </w:num>
  <w:num w:numId="40">
    <w:abstractNumId w:val="8"/>
  </w:num>
  <w:num w:numId="41">
    <w:abstractNumId w:val="72"/>
  </w:num>
  <w:num w:numId="42">
    <w:abstractNumId w:val="35"/>
  </w:num>
  <w:num w:numId="43">
    <w:abstractNumId w:val="24"/>
  </w:num>
  <w:num w:numId="44">
    <w:abstractNumId w:val="27"/>
  </w:num>
  <w:num w:numId="45">
    <w:abstractNumId w:val="19"/>
  </w:num>
  <w:num w:numId="46">
    <w:abstractNumId w:val="14"/>
  </w:num>
  <w:num w:numId="47">
    <w:abstractNumId w:val="69"/>
  </w:num>
  <w:num w:numId="48">
    <w:abstractNumId w:val="23"/>
  </w:num>
  <w:num w:numId="49">
    <w:abstractNumId w:val="15"/>
  </w:num>
  <w:num w:numId="50">
    <w:abstractNumId w:val="12"/>
  </w:num>
  <w:num w:numId="51">
    <w:abstractNumId w:val="4"/>
  </w:num>
  <w:num w:numId="52">
    <w:abstractNumId w:val="7"/>
  </w:num>
  <w:num w:numId="53">
    <w:abstractNumId w:val="29"/>
  </w:num>
  <w:num w:numId="54">
    <w:abstractNumId w:val="22"/>
  </w:num>
  <w:num w:numId="55">
    <w:abstractNumId w:val="3"/>
  </w:num>
  <w:num w:numId="56">
    <w:abstractNumId w:val="57"/>
  </w:num>
  <w:num w:numId="57">
    <w:abstractNumId w:val="38"/>
  </w:num>
  <w:num w:numId="58">
    <w:abstractNumId w:val="73"/>
  </w:num>
  <w:num w:numId="59">
    <w:abstractNumId w:val="63"/>
  </w:num>
  <w:num w:numId="60">
    <w:abstractNumId w:val="46"/>
  </w:num>
  <w:num w:numId="61">
    <w:abstractNumId w:val="41"/>
  </w:num>
  <w:num w:numId="62">
    <w:abstractNumId w:val="36"/>
  </w:num>
  <w:num w:numId="63">
    <w:abstractNumId w:val="18"/>
  </w:num>
  <w:num w:numId="64">
    <w:abstractNumId w:val="32"/>
  </w:num>
  <w:num w:numId="65">
    <w:abstractNumId w:val="20"/>
  </w:num>
  <w:num w:numId="66">
    <w:abstractNumId w:val="13"/>
  </w:num>
  <w:num w:numId="67">
    <w:abstractNumId w:val="17"/>
  </w:num>
  <w:num w:numId="68">
    <w:abstractNumId w:val="48"/>
  </w:num>
  <w:num w:numId="69">
    <w:abstractNumId w:val="44"/>
  </w:num>
  <w:num w:numId="70">
    <w:abstractNumId w:val="75"/>
  </w:num>
  <w:num w:numId="71">
    <w:abstractNumId w:val="53"/>
  </w:num>
  <w:num w:numId="72">
    <w:abstractNumId w:val="65"/>
  </w:num>
  <w:num w:numId="73">
    <w:abstractNumId w:val="25"/>
  </w:num>
  <w:num w:numId="74">
    <w:abstractNumId w:val="0"/>
  </w:num>
  <w:num w:numId="75">
    <w:abstractNumId w:val="66"/>
  </w:num>
  <w:num w:numId="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lNzliOTc2MTE2MWJhNTU3YjU5MjE4MDVkMGEwZDYifQ=="/>
  </w:docVars>
  <w:rsids>
    <w:rsidRoot w:val="685F2B0C"/>
    <w:rsid w:val="00001822"/>
    <w:rsid w:val="0000676C"/>
    <w:rsid w:val="000154B2"/>
    <w:rsid w:val="000220D4"/>
    <w:rsid w:val="000221EE"/>
    <w:rsid w:val="00030D77"/>
    <w:rsid w:val="00047C71"/>
    <w:rsid w:val="00063432"/>
    <w:rsid w:val="00067EBE"/>
    <w:rsid w:val="00071BA1"/>
    <w:rsid w:val="000740FA"/>
    <w:rsid w:val="00077950"/>
    <w:rsid w:val="0008211B"/>
    <w:rsid w:val="000839F2"/>
    <w:rsid w:val="00085621"/>
    <w:rsid w:val="00086AFA"/>
    <w:rsid w:val="00096A85"/>
    <w:rsid w:val="000A2B60"/>
    <w:rsid w:val="000B40AC"/>
    <w:rsid w:val="000B5655"/>
    <w:rsid w:val="000E4514"/>
    <w:rsid w:val="000F3BA6"/>
    <w:rsid w:val="001018F6"/>
    <w:rsid w:val="00102B98"/>
    <w:rsid w:val="001146EF"/>
    <w:rsid w:val="0011667D"/>
    <w:rsid w:val="00117F4A"/>
    <w:rsid w:val="001417A1"/>
    <w:rsid w:val="00145361"/>
    <w:rsid w:val="00147BA8"/>
    <w:rsid w:val="00153321"/>
    <w:rsid w:val="0015483F"/>
    <w:rsid w:val="00161CFF"/>
    <w:rsid w:val="00162814"/>
    <w:rsid w:val="00165EE9"/>
    <w:rsid w:val="0018393D"/>
    <w:rsid w:val="00186236"/>
    <w:rsid w:val="00194429"/>
    <w:rsid w:val="001951CA"/>
    <w:rsid w:val="001A746E"/>
    <w:rsid w:val="001B0177"/>
    <w:rsid w:val="001C6E10"/>
    <w:rsid w:val="001E3609"/>
    <w:rsid w:val="001F2BB7"/>
    <w:rsid w:val="00242E17"/>
    <w:rsid w:val="00255983"/>
    <w:rsid w:val="00291503"/>
    <w:rsid w:val="002A3D6E"/>
    <w:rsid w:val="002B1FBA"/>
    <w:rsid w:val="002F332C"/>
    <w:rsid w:val="00313AA9"/>
    <w:rsid w:val="00315916"/>
    <w:rsid w:val="0033459A"/>
    <w:rsid w:val="0033653F"/>
    <w:rsid w:val="00345785"/>
    <w:rsid w:val="00346D34"/>
    <w:rsid w:val="003617C1"/>
    <w:rsid w:val="00394AF1"/>
    <w:rsid w:val="003966CB"/>
    <w:rsid w:val="00397B4C"/>
    <w:rsid w:val="00397CA4"/>
    <w:rsid w:val="003C1122"/>
    <w:rsid w:val="003C4B41"/>
    <w:rsid w:val="003E7E4B"/>
    <w:rsid w:val="003F7037"/>
    <w:rsid w:val="003F7B6C"/>
    <w:rsid w:val="00401BB4"/>
    <w:rsid w:val="00402294"/>
    <w:rsid w:val="0040416F"/>
    <w:rsid w:val="00414893"/>
    <w:rsid w:val="00463728"/>
    <w:rsid w:val="00492D29"/>
    <w:rsid w:val="0049548B"/>
    <w:rsid w:val="004C1DEC"/>
    <w:rsid w:val="004C66BE"/>
    <w:rsid w:val="004D0F07"/>
    <w:rsid w:val="004D1BD8"/>
    <w:rsid w:val="004D436F"/>
    <w:rsid w:val="004F3491"/>
    <w:rsid w:val="00520055"/>
    <w:rsid w:val="005617DF"/>
    <w:rsid w:val="005727F6"/>
    <w:rsid w:val="0059431D"/>
    <w:rsid w:val="005B07E9"/>
    <w:rsid w:val="005C58B3"/>
    <w:rsid w:val="005D0DD1"/>
    <w:rsid w:val="005E7F5A"/>
    <w:rsid w:val="005F2A0C"/>
    <w:rsid w:val="00605C1B"/>
    <w:rsid w:val="00635DA5"/>
    <w:rsid w:val="0065048B"/>
    <w:rsid w:val="006620A8"/>
    <w:rsid w:val="00667357"/>
    <w:rsid w:val="0068223A"/>
    <w:rsid w:val="006825F8"/>
    <w:rsid w:val="00685525"/>
    <w:rsid w:val="006B119E"/>
    <w:rsid w:val="006D5C96"/>
    <w:rsid w:val="006D66AC"/>
    <w:rsid w:val="006F3843"/>
    <w:rsid w:val="00700776"/>
    <w:rsid w:val="00712BFA"/>
    <w:rsid w:val="00736F7D"/>
    <w:rsid w:val="0074420C"/>
    <w:rsid w:val="007477AD"/>
    <w:rsid w:val="00753AE0"/>
    <w:rsid w:val="00770A08"/>
    <w:rsid w:val="00794BBF"/>
    <w:rsid w:val="007B7BC7"/>
    <w:rsid w:val="007C3931"/>
    <w:rsid w:val="007C5DB8"/>
    <w:rsid w:val="007D2F69"/>
    <w:rsid w:val="007E144D"/>
    <w:rsid w:val="007E2BA8"/>
    <w:rsid w:val="007E4849"/>
    <w:rsid w:val="007F6447"/>
    <w:rsid w:val="00801D0B"/>
    <w:rsid w:val="00817A3B"/>
    <w:rsid w:val="008248FA"/>
    <w:rsid w:val="0084648D"/>
    <w:rsid w:val="00850346"/>
    <w:rsid w:val="00855F76"/>
    <w:rsid w:val="00873EC4"/>
    <w:rsid w:val="008856B6"/>
    <w:rsid w:val="0089019B"/>
    <w:rsid w:val="00897D8A"/>
    <w:rsid w:val="008A1232"/>
    <w:rsid w:val="008A3A13"/>
    <w:rsid w:val="008C4C8B"/>
    <w:rsid w:val="008C57E4"/>
    <w:rsid w:val="008E5B9C"/>
    <w:rsid w:val="008F059D"/>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3FF8"/>
    <w:rsid w:val="009E4E54"/>
    <w:rsid w:val="009F3832"/>
    <w:rsid w:val="00A200F5"/>
    <w:rsid w:val="00A24D72"/>
    <w:rsid w:val="00A34D80"/>
    <w:rsid w:val="00A362B9"/>
    <w:rsid w:val="00A40A0F"/>
    <w:rsid w:val="00A51E78"/>
    <w:rsid w:val="00A5256C"/>
    <w:rsid w:val="00A52936"/>
    <w:rsid w:val="00A66D14"/>
    <w:rsid w:val="00A77741"/>
    <w:rsid w:val="00A85AC9"/>
    <w:rsid w:val="00A921FD"/>
    <w:rsid w:val="00A95853"/>
    <w:rsid w:val="00AA503A"/>
    <w:rsid w:val="00AB072A"/>
    <w:rsid w:val="00AB1596"/>
    <w:rsid w:val="00AB49B7"/>
    <w:rsid w:val="00AC6C12"/>
    <w:rsid w:val="00AD5F42"/>
    <w:rsid w:val="00AD724D"/>
    <w:rsid w:val="00AE5521"/>
    <w:rsid w:val="00AE66EB"/>
    <w:rsid w:val="00AF3DE0"/>
    <w:rsid w:val="00B020CF"/>
    <w:rsid w:val="00B03224"/>
    <w:rsid w:val="00B043C5"/>
    <w:rsid w:val="00B10199"/>
    <w:rsid w:val="00B12DF7"/>
    <w:rsid w:val="00B16FA7"/>
    <w:rsid w:val="00B2639F"/>
    <w:rsid w:val="00B3161E"/>
    <w:rsid w:val="00B34B47"/>
    <w:rsid w:val="00B47E53"/>
    <w:rsid w:val="00B72890"/>
    <w:rsid w:val="00BD1A27"/>
    <w:rsid w:val="00BE26CA"/>
    <w:rsid w:val="00C010CD"/>
    <w:rsid w:val="00C02BBA"/>
    <w:rsid w:val="00C061A0"/>
    <w:rsid w:val="00C124A2"/>
    <w:rsid w:val="00C16B68"/>
    <w:rsid w:val="00C21118"/>
    <w:rsid w:val="00C25A79"/>
    <w:rsid w:val="00C3129E"/>
    <w:rsid w:val="00C40128"/>
    <w:rsid w:val="00C50B60"/>
    <w:rsid w:val="00C51716"/>
    <w:rsid w:val="00C52A0D"/>
    <w:rsid w:val="00C55713"/>
    <w:rsid w:val="00C81C9D"/>
    <w:rsid w:val="00C8723C"/>
    <w:rsid w:val="00CA0697"/>
    <w:rsid w:val="00CA12F3"/>
    <w:rsid w:val="00CA2C6C"/>
    <w:rsid w:val="00CA728C"/>
    <w:rsid w:val="00CC4021"/>
    <w:rsid w:val="00CD0A72"/>
    <w:rsid w:val="00D0009A"/>
    <w:rsid w:val="00D14AD5"/>
    <w:rsid w:val="00D246D4"/>
    <w:rsid w:val="00D325EC"/>
    <w:rsid w:val="00D40771"/>
    <w:rsid w:val="00D64FC1"/>
    <w:rsid w:val="00D655A0"/>
    <w:rsid w:val="00D66731"/>
    <w:rsid w:val="00D81728"/>
    <w:rsid w:val="00DB1553"/>
    <w:rsid w:val="00DB4DE5"/>
    <w:rsid w:val="00DF0325"/>
    <w:rsid w:val="00DF7A01"/>
    <w:rsid w:val="00E029D9"/>
    <w:rsid w:val="00E10F08"/>
    <w:rsid w:val="00E11356"/>
    <w:rsid w:val="00E42018"/>
    <w:rsid w:val="00E45207"/>
    <w:rsid w:val="00E51C18"/>
    <w:rsid w:val="00E51E92"/>
    <w:rsid w:val="00EA3C27"/>
    <w:rsid w:val="00EC7618"/>
    <w:rsid w:val="00ED3BD8"/>
    <w:rsid w:val="00EE16CE"/>
    <w:rsid w:val="00EE453C"/>
    <w:rsid w:val="00F1568D"/>
    <w:rsid w:val="00F21898"/>
    <w:rsid w:val="00F33C9E"/>
    <w:rsid w:val="00F447A7"/>
    <w:rsid w:val="00F543F9"/>
    <w:rsid w:val="00F548C4"/>
    <w:rsid w:val="00F7155E"/>
    <w:rsid w:val="00F8124B"/>
    <w:rsid w:val="00F8666D"/>
    <w:rsid w:val="00F86AB9"/>
    <w:rsid w:val="00F92A7E"/>
    <w:rsid w:val="00FA6B35"/>
    <w:rsid w:val="00FB14A1"/>
    <w:rsid w:val="00FC05F2"/>
    <w:rsid w:val="00FC1E7F"/>
    <w:rsid w:val="00FC5C25"/>
    <w:rsid w:val="00FE5F42"/>
    <w:rsid w:val="00FF0C0B"/>
    <w:rsid w:val="00FF7A94"/>
    <w:rsid w:val="010742D5"/>
    <w:rsid w:val="010F7B98"/>
    <w:rsid w:val="01270A4D"/>
    <w:rsid w:val="016D3648"/>
    <w:rsid w:val="017E2A82"/>
    <w:rsid w:val="01851778"/>
    <w:rsid w:val="01A729ED"/>
    <w:rsid w:val="01AE11E6"/>
    <w:rsid w:val="01B729F0"/>
    <w:rsid w:val="01E96BCD"/>
    <w:rsid w:val="01F53A09"/>
    <w:rsid w:val="01FC105B"/>
    <w:rsid w:val="020A3DE7"/>
    <w:rsid w:val="020B511D"/>
    <w:rsid w:val="02222883"/>
    <w:rsid w:val="02A01370"/>
    <w:rsid w:val="02C62BA9"/>
    <w:rsid w:val="030A7540"/>
    <w:rsid w:val="033E696D"/>
    <w:rsid w:val="034C79A8"/>
    <w:rsid w:val="035E327D"/>
    <w:rsid w:val="03624C71"/>
    <w:rsid w:val="037171B2"/>
    <w:rsid w:val="03723D7D"/>
    <w:rsid w:val="03A55E37"/>
    <w:rsid w:val="03D54D65"/>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022E6"/>
    <w:rsid w:val="0538232A"/>
    <w:rsid w:val="05445D91"/>
    <w:rsid w:val="0552233D"/>
    <w:rsid w:val="05782C43"/>
    <w:rsid w:val="057E335E"/>
    <w:rsid w:val="05903056"/>
    <w:rsid w:val="05B01B1D"/>
    <w:rsid w:val="05CC7598"/>
    <w:rsid w:val="05E17C80"/>
    <w:rsid w:val="05E55725"/>
    <w:rsid w:val="05E5760D"/>
    <w:rsid w:val="06066F04"/>
    <w:rsid w:val="06134407"/>
    <w:rsid w:val="06231BA7"/>
    <w:rsid w:val="0639353C"/>
    <w:rsid w:val="06474E34"/>
    <w:rsid w:val="06484055"/>
    <w:rsid w:val="065949DD"/>
    <w:rsid w:val="06653EC4"/>
    <w:rsid w:val="0699402C"/>
    <w:rsid w:val="069C64C8"/>
    <w:rsid w:val="06A0112C"/>
    <w:rsid w:val="06A81BEC"/>
    <w:rsid w:val="06D53145"/>
    <w:rsid w:val="06DC60DB"/>
    <w:rsid w:val="06F44F8B"/>
    <w:rsid w:val="06F84851"/>
    <w:rsid w:val="06FB0045"/>
    <w:rsid w:val="077360FE"/>
    <w:rsid w:val="077B362D"/>
    <w:rsid w:val="079A6E72"/>
    <w:rsid w:val="079F3EE7"/>
    <w:rsid w:val="07A63220"/>
    <w:rsid w:val="07AA1AB7"/>
    <w:rsid w:val="07B7075F"/>
    <w:rsid w:val="07C51164"/>
    <w:rsid w:val="07DF5164"/>
    <w:rsid w:val="07E50580"/>
    <w:rsid w:val="07EE133F"/>
    <w:rsid w:val="08065B86"/>
    <w:rsid w:val="08274ACF"/>
    <w:rsid w:val="08310251"/>
    <w:rsid w:val="084703F0"/>
    <w:rsid w:val="086230FE"/>
    <w:rsid w:val="08696EDC"/>
    <w:rsid w:val="08705B4A"/>
    <w:rsid w:val="087A7753"/>
    <w:rsid w:val="08814CE3"/>
    <w:rsid w:val="088811CB"/>
    <w:rsid w:val="08884C10"/>
    <w:rsid w:val="08986544"/>
    <w:rsid w:val="08BB6846"/>
    <w:rsid w:val="08D55A74"/>
    <w:rsid w:val="08DC3175"/>
    <w:rsid w:val="08E052CE"/>
    <w:rsid w:val="08FB2C0B"/>
    <w:rsid w:val="08FD3C48"/>
    <w:rsid w:val="08FF6B9F"/>
    <w:rsid w:val="09050131"/>
    <w:rsid w:val="09161D47"/>
    <w:rsid w:val="093D3ABC"/>
    <w:rsid w:val="096C07C0"/>
    <w:rsid w:val="09714B90"/>
    <w:rsid w:val="09976943"/>
    <w:rsid w:val="09CE19BC"/>
    <w:rsid w:val="09E70A54"/>
    <w:rsid w:val="09E84CCD"/>
    <w:rsid w:val="0A051115"/>
    <w:rsid w:val="0A3A5C5D"/>
    <w:rsid w:val="0A555245"/>
    <w:rsid w:val="0A8528D5"/>
    <w:rsid w:val="0A8A0A3A"/>
    <w:rsid w:val="0AB52BD8"/>
    <w:rsid w:val="0AD56F1F"/>
    <w:rsid w:val="0AEA3C8C"/>
    <w:rsid w:val="0B1E0CF0"/>
    <w:rsid w:val="0B1E2894"/>
    <w:rsid w:val="0B3A637F"/>
    <w:rsid w:val="0B420671"/>
    <w:rsid w:val="0B616B0F"/>
    <w:rsid w:val="0B651F10"/>
    <w:rsid w:val="0BCE1370"/>
    <w:rsid w:val="0BCF240A"/>
    <w:rsid w:val="0BD84E5C"/>
    <w:rsid w:val="0BE34CD8"/>
    <w:rsid w:val="0BE83010"/>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F7F2E"/>
    <w:rsid w:val="0D5E6253"/>
    <w:rsid w:val="0D6344EC"/>
    <w:rsid w:val="0D705EC6"/>
    <w:rsid w:val="0D7446FA"/>
    <w:rsid w:val="0D797B36"/>
    <w:rsid w:val="0D870C14"/>
    <w:rsid w:val="0D8D29CB"/>
    <w:rsid w:val="0DB14507"/>
    <w:rsid w:val="0DB757B9"/>
    <w:rsid w:val="0DE545F3"/>
    <w:rsid w:val="0DE7555E"/>
    <w:rsid w:val="0E0316BF"/>
    <w:rsid w:val="0E072513"/>
    <w:rsid w:val="0E7007ED"/>
    <w:rsid w:val="0E932086"/>
    <w:rsid w:val="0F0D0D2C"/>
    <w:rsid w:val="0F385060"/>
    <w:rsid w:val="0F4D0444"/>
    <w:rsid w:val="0F58781F"/>
    <w:rsid w:val="0F5D7625"/>
    <w:rsid w:val="0F6147A2"/>
    <w:rsid w:val="0F86061B"/>
    <w:rsid w:val="0F8E2A37"/>
    <w:rsid w:val="0FC27645"/>
    <w:rsid w:val="0FD4645C"/>
    <w:rsid w:val="1007199F"/>
    <w:rsid w:val="101A3630"/>
    <w:rsid w:val="102C199B"/>
    <w:rsid w:val="103927E7"/>
    <w:rsid w:val="104542C5"/>
    <w:rsid w:val="105576A8"/>
    <w:rsid w:val="10AA4274"/>
    <w:rsid w:val="10BE1B05"/>
    <w:rsid w:val="10C64B9C"/>
    <w:rsid w:val="10CB7C05"/>
    <w:rsid w:val="10CF3933"/>
    <w:rsid w:val="10DA3734"/>
    <w:rsid w:val="10FD1FE7"/>
    <w:rsid w:val="110D3124"/>
    <w:rsid w:val="11344EBE"/>
    <w:rsid w:val="115B5C4F"/>
    <w:rsid w:val="117C20D6"/>
    <w:rsid w:val="118A244C"/>
    <w:rsid w:val="11A2124C"/>
    <w:rsid w:val="11B42FB1"/>
    <w:rsid w:val="11C20C82"/>
    <w:rsid w:val="11C8536C"/>
    <w:rsid w:val="11D0460B"/>
    <w:rsid w:val="11DE5C79"/>
    <w:rsid w:val="11E810CF"/>
    <w:rsid w:val="120B2B1C"/>
    <w:rsid w:val="12101447"/>
    <w:rsid w:val="121E5D7B"/>
    <w:rsid w:val="12215961"/>
    <w:rsid w:val="125F1817"/>
    <w:rsid w:val="128D04EC"/>
    <w:rsid w:val="12AA2320"/>
    <w:rsid w:val="12C61AC1"/>
    <w:rsid w:val="12DB53B1"/>
    <w:rsid w:val="12E81B94"/>
    <w:rsid w:val="13257C63"/>
    <w:rsid w:val="133707C2"/>
    <w:rsid w:val="13441C72"/>
    <w:rsid w:val="134C77A5"/>
    <w:rsid w:val="13731B39"/>
    <w:rsid w:val="13732205"/>
    <w:rsid w:val="137F0CE3"/>
    <w:rsid w:val="13B66833"/>
    <w:rsid w:val="13C30E6E"/>
    <w:rsid w:val="13C5138B"/>
    <w:rsid w:val="13FD01F3"/>
    <w:rsid w:val="140A0889"/>
    <w:rsid w:val="140C3E1C"/>
    <w:rsid w:val="141B13D5"/>
    <w:rsid w:val="141C741E"/>
    <w:rsid w:val="14234B06"/>
    <w:rsid w:val="145558C5"/>
    <w:rsid w:val="149D3DC9"/>
    <w:rsid w:val="149E1778"/>
    <w:rsid w:val="14AD4839"/>
    <w:rsid w:val="14DF5342"/>
    <w:rsid w:val="14E92EF8"/>
    <w:rsid w:val="14EA3450"/>
    <w:rsid w:val="14F22EE3"/>
    <w:rsid w:val="14F767B6"/>
    <w:rsid w:val="14F905C9"/>
    <w:rsid w:val="151F76DA"/>
    <w:rsid w:val="15287486"/>
    <w:rsid w:val="15552317"/>
    <w:rsid w:val="15840A84"/>
    <w:rsid w:val="15AF033B"/>
    <w:rsid w:val="15C012BB"/>
    <w:rsid w:val="15EA61EF"/>
    <w:rsid w:val="16031113"/>
    <w:rsid w:val="160C1329"/>
    <w:rsid w:val="16332D75"/>
    <w:rsid w:val="16502A53"/>
    <w:rsid w:val="16725D01"/>
    <w:rsid w:val="16777B9F"/>
    <w:rsid w:val="168F227C"/>
    <w:rsid w:val="169A575C"/>
    <w:rsid w:val="16AD5C51"/>
    <w:rsid w:val="16C11894"/>
    <w:rsid w:val="16C377D3"/>
    <w:rsid w:val="16E6609C"/>
    <w:rsid w:val="16FF7324"/>
    <w:rsid w:val="171F0861"/>
    <w:rsid w:val="1731374B"/>
    <w:rsid w:val="173B1F0E"/>
    <w:rsid w:val="173D243C"/>
    <w:rsid w:val="17534ECF"/>
    <w:rsid w:val="17C02AEA"/>
    <w:rsid w:val="17DC7BF0"/>
    <w:rsid w:val="17EF7DDE"/>
    <w:rsid w:val="180053F0"/>
    <w:rsid w:val="18011D29"/>
    <w:rsid w:val="181011F1"/>
    <w:rsid w:val="185F5F75"/>
    <w:rsid w:val="186F483E"/>
    <w:rsid w:val="1870253F"/>
    <w:rsid w:val="188227EF"/>
    <w:rsid w:val="189220EE"/>
    <w:rsid w:val="189E4B47"/>
    <w:rsid w:val="18E36CFC"/>
    <w:rsid w:val="19000C71"/>
    <w:rsid w:val="1910070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6E5D82"/>
    <w:rsid w:val="1B8C6B7B"/>
    <w:rsid w:val="1B9E29B4"/>
    <w:rsid w:val="1BB43FB4"/>
    <w:rsid w:val="1BBF65FB"/>
    <w:rsid w:val="1BC2281C"/>
    <w:rsid w:val="1BF657FB"/>
    <w:rsid w:val="1C374515"/>
    <w:rsid w:val="1C4235A6"/>
    <w:rsid w:val="1C4F222F"/>
    <w:rsid w:val="1CA4277D"/>
    <w:rsid w:val="1CA86A15"/>
    <w:rsid w:val="1CBB4247"/>
    <w:rsid w:val="1CD76783"/>
    <w:rsid w:val="1CFA7EEF"/>
    <w:rsid w:val="1CFB1146"/>
    <w:rsid w:val="1D1338EC"/>
    <w:rsid w:val="1D37062D"/>
    <w:rsid w:val="1D3B199E"/>
    <w:rsid w:val="1D5B6D2E"/>
    <w:rsid w:val="1D7414B2"/>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C35424"/>
    <w:rsid w:val="1EC9573B"/>
    <w:rsid w:val="1ED462A6"/>
    <w:rsid w:val="1ED734FA"/>
    <w:rsid w:val="1EDB21B2"/>
    <w:rsid w:val="1EE21D29"/>
    <w:rsid w:val="1EE72005"/>
    <w:rsid w:val="1F2B54B6"/>
    <w:rsid w:val="1F2F246F"/>
    <w:rsid w:val="1F3E1D5D"/>
    <w:rsid w:val="1F6E3177"/>
    <w:rsid w:val="1F6F04BA"/>
    <w:rsid w:val="1F8129BD"/>
    <w:rsid w:val="1FF72257"/>
    <w:rsid w:val="20027E74"/>
    <w:rsid w:val="2024650C"/>
    <w:rsid w:val="204663FA"/>
    <w:rsid w:val="20624FA2"/>
    <w:rsid w:val="206A1137"/>
    <w:rsid w:val="20835E3C"/>
    <w:rsid w:val="2084196D"/>
    <w:rsid w:val="20AA1825"/>
    <w:rsid w:val="20BB1EB1"/>
    <w:rsid w:val="21144C23"/>
    <w:rsid w:val="212A75E7"/>
    <w:rsid w:val="214E67BA"/>
    <w:rsid w:val="21593740"/>
    <w:rsid w:val="215C6880"/>
    <w:rsid w:val="215E5736"/>
    <w:rsid w:val="2163612C"/>
    <w:rsid w:val="217039C6"/>
    <w:rsid w:val="21754AF5"/>
    <w:rsid w:val="217E7700"/>
    <w:rsid w:val="218158E0"/>
    <w:rsid w:val="218F0080"/>
    <w:rsid w:val="21BA53F5"/>
    <w:rsid w:val="21E169EA"/>
    <w:rsid w:val="220B781D"/>
    <w:rsid w:val="2211254C"/>
    <w:rsid w:val="2220525E"/>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33163C"/>
    <w:rsid w:val="235E2799"/>
    <w:rsid w:val="23666663"/>
    <w:rsid w:val="23693289"/>
    <w:rsid w:val="23795972"/>
    <w:rsid w:val="239147E1"/>
    <w:rsid w:val="23BB34F7"/>
    <w:rsid w:val="23CB333E"/>
    <w:rsid w:val="23F91B39"/>
    <w:rsid w:val="242E5E97"/>
    <w:rsid w:val="243A5F83"/>
    <w:rsid w:val="244702BD"/>
    <w:rsid w:val="247E0687"/>
    <w:rsid w:val="24A20628"/>
    <w:rsid w:val="24B45D14"/>
    <w:rsid w:val="24C90F76"/>
    <w:rsid w:val="24D557D5"/>
    <w:rsid w:val="24FE0E05"/>
    <w:rsid w:val="25025E1D"/>
    <w:rsid w:val="25171BA0"/>
    <w:rsid w:val="251B18C1"/>
    <w:rsid w:val="25222461"/>
    <w:rsid w:val="25501E67"/>
    <w:rsid w:val="25524FA6"/>
    <w:rsid w:val="25532EC3"/>
    <w:rsid w:val="25925077"/>
    <w:rsid w:val="25AF3989"/>
    <w:rsid w:val="25B24E51"/>
    <w:rsid w:val="25C73339"/>
    <w:rsid w:val="25C86149"/>
    <w:rsid w:val="25CD69F4"/>
    <w:rsid w:val="25D62822"/>
    <w:rsid w:val="25F16B68"/>
    <w:rsid w:val="260663DB"/>
    <w:rsid w:val="262F0558"/>
    <w:rsid w:val="26546373"/>
    <w:rsid w:val="26841C6E"/>
    <w:rsid w:val="26934343"/>
    <w:rsid w:val="26B424FB"/>
    <w:rsid w:val="26B73D93"/>
    <w:rsid w:val="26E62133"/>
    <w:rsid w:val="277F68D2"/>
    <w:rsid w:val="27870FB2"/>
    <w:rsid w:val="278D459E"/>
    <w:rsid w:val="278F0AAA"/>
    <w:rsid w:val="27B84345"/>
    <w:rsid w:val="27CB7A47"/>
    <w:rsid w:val="27CF31D6"/>
    <w:rsid w:val="27E53B63"/>
    <w:rsid w:val="27F52A10"/>
    <w:rsid w:val="280E4470"/>
    <w:rsid w:val="283A36C6"/>
    <w:rsid w:val="283E405F"/>
    <w:rsid w:val="28D9203E"/>
    <w:rsid w:val="293C5FC5"/>
    <w:rsid w:val="295B4620"/>
    <w:rsid w:val="295E1181"/>
    <w:rsid w:val="298330BD"/>
    <w:rsid w:val="29B00B02"/>
    <w:rsid w:val="29B661A7"/>
    <w:rsid w:val="29DB1483"/>
    <w:rsid w:val="29DC3277"/>
    <w:rsid w:val="29FA460F"/>
    <w:rsid w:val="2A057B9E"/>
    <w:rsid w:val="2A0B6D48"/>
    <w:rsid w:val="2A1F693C"/>
    <w:rsid w:val="2A397DF9"/>
    <w:rsid w:val="2A4411C6"/>
    <w:rsid w:val="2A7C5019"/>
    <w:rsid w:val="2A8E3410"/>
    <w:rsid w:val="2A95425F"/>
    <w:rsid w:val="2ABE55CE"/>
    <w:rsid w:val="2AC017A8"/>
    <w:rsid w:val="2B127E2F"/>
    <w:rsid w:val="2B3677A4"/>
    <w:rsid w:val="2B7F5D7B"/>
    <w:rsid w:val="2B830867"/>
    <w:rsid w:val="2B9073EB"/>
    <w:rsid w:val="2BAD682D"/>
    <w:rsid w:val="2BC41873"/>
    <w:rsid w:val="2BC45AC1"/>
    <w:rsid w:val="2BEE5A9C"/>
    <w:rsid w:val="2C275720"/>
    <w:rsid w:val="2C64232C"/>
    <w:rsid w:val="2C6B41B7"/>
    <w:rsid w:val="2CAF7AE9"/>
    <w:rsid w:val="2CB550EC"/>
    <w:rsid w:val="2CBB7012"/>
    <w:rsid w:val="2CDD6C94"/>
    <w:rsid w:val="2CF947D9"/>
    <w:rsid w:val="2CFA06CC"/>
    <w:rsid w:val="2D3F090C"/>
    <w:rsid w:val="2D473273"/>
    <w:rsid w:val="2D814A75"/>
    <w:rsid w:val="2D8167C0"/>
    <w:rsid w:val="2D9C1D44"/>
    <w:rsid w:val="2DAB174B"/>
    <w:rsid w:val="2DAC3053"/>
    <w:rsid w:val="2DB40F04"/>
    <w:rsid w:val="2DB55317"/>
    <w:rsid w:val="2DD04A2C"/>
    <w:rsid w:val="2E073EDF"/>
    <w:rsid w:val="2E1A2D69"/>
    <w:rsid w:val="2E1C2312"/>
    <w:rsid w:val="2E450C2F"/>
    <w:rsid w:val="2E617376"/>
    <w:rsid w:val="2E925B8D"/>
    <w:rsid w:val="2ED13170"/>
    <w:rsid w:val="2F011E82"/>
    <w:rsid w:val="2F415E64"/>
    <w:rsid w:val="2F60404A"/>
    <w:rsid w:val="2F6858EF"/>
    <w:rsid w:val="2F7674B4"/>
    <w:rsid w:val="2FAA48BF"/>
    <w:rsid w:val="2FC51659"/>
    <w:rsid w:val="2FCB2DE8"/>
    <w:rsid w:val="2FD13559"/>
    <w:rsid w:val="30082C17"/>
    <w:rsid w:val="301A6B35"/>
    <w:rsid w:val="30385048"/>
    <w:rsid w:val="30400DE6"/>
    <w:rsid w:val="3046030C"/>
    <w:rsid w:val="30577166"/>
    <w:rsid w:val="305A4537"/>
    <w:rsid w:val="307048B1"/>
    <w:rsid w:val="30A8450A"/>
    <w:rsid w:val="30B147B2"/>
    <w:rsid w:val="30FE64F4"/>
    <w:rsid w:val="310D00D7"/>
    <w:rsid w:val="314A5A0E"/>
    <w:rsid w:val="31673989"/>
    <w:rsid w:val="31682139"/>
    <w:rsid w:val="319957F6"/>
    <w:rsid w:val="31C036D0"/>
    <w:rsid w:val="31C81974"/>
    <w:rsid w:val="31C90302"/>
    <w:rsid w:val="31D953B1"/>
    <w:rsid w:val="31EC1741"/>
    <w:rsid w:val="31EF6CF0"/>
    <w:rsid w:val="31F7619B"/>
    <w:rsid w:val="321F0CAE"/>
    <w:rsid w:val="321F3505"/>
    <w:rsid w:val="322B0318"/>
    <w:rsid w:val="32494369"/>
    <w:rsid w:val="324C0B81"/>
    <w:rsid w:val="32507DBD"/>
    <w:rsid w:val="32517D1E"/>
    <w:rsid w:val="329B0438"/>
    <w:rsid w:val="32B261A3"/>
    <w:rsid w:val="32B63AAA"/>
    <w:rsid w:val="32DC6B74"/>
    <w:rsid w:val="33091096"/>
    <w:rsid w:val="331644D6"/>
    <w:rsid w:val="33232830"/>
    <w:rsid w:val="3341533E"/>
    <w:rsid w:val="335D5C6D"/>
    <w:rsid w:val="33843CA1"/>
    <w:rsid w:val="33881ABE"/>
    <w:rsid w:val="33FD2CF5"/>
    <w:rsid w:val="34105045"/>
    <w:rsid w:val="3443530F"/>
    <w:rsid w:val="344D764F"/>
    <w:rsid w:val="34690455"/>
    <w:rsid w:val="347248DD"/>
    <w:rsid w:val="347E631A"/>
    <w:rsid w:val="34886784"/>
    <w:rsid w:val="34A90E05"/>
    <w:rsid w:val="34AA1765"/>
    <w:rsid w:val="34AA6BD7"/>
    <w:rsid w:val="34D7618A"/>
    <w:rsid w:val="34FE589B"/>
    <w:rsid w:val="3529493E"/>
    <w:rsid w:val="35330B48"/>
    <w:rsid w:val="353B29E7"/>
    <w:rsid w:val="354E7EDA"/>
    <w:rsid w:val="355D4407"/>
    <w:rsid w:val="3562042D"/>
    <w:rsid w:val="35776DE5"/>
    <w:rsid w:val="35850AE6"/>
    <w:rsid w:val="35A74497"/>
    <w:rsid w:val="35A74E2B"/>
    <w:rsid w:val="35A94199"/>
    <w:rsid w:val="35B05630"/>
    <w:rsid w:val="35C33EC5"/>
    <w:rsid w:val="35C81BD5"/>
    <w:rsid w:val="35CF6801"/>
    <w:rsid w:val="35DE1818"/>
    <w:rsid w:val="35ED404E"/>
    <w:rsid w:val="36243C2B"/>
    <w:rsid w:val="363F2605"/>
    <w:rsid w:val="36475152"/>
    <w:rsid w:val="365674EF"/>
    <w:rsid w:val="366E5884"/>
    <w:rsid w:val="367134DE"/>
    <w:rsid w:val="367729D2"/>
    <w:rsid w:val="36787E34"/>
    <w:rsid w:val="3692435D"/>
    <w:rsid w:val="36D0238C"/>
    <w:rsid w:val="36D16DB7"/>
    <w:rsid w:val="36F35ECC"/>
    <w:rsid w:val="36FC06E4"/>
    <w:rsid w:val="370B0055"/>
    <w:rsid w:val="373B5B82"/>
    <w:rsid w:val="374976F8"/>
    <w:rsid w:val="37533A9C"/>
    <w:rsid w:val="375D2DED"/>
    <w:rsid w:val="377E15B0"/>
    <w:rsid w:val="37821544"/>
    <w:rsid w:val="3787676D"/>
    <w:rsid w:val="37953793"/>
    <w:rsid w:val="37977E1F"/>
    <w:rsid w:val="37A53093"/>
    <w:rsid w:val="37E702EC"/>
    <w:rsid w:val="38727414"/>
    <w:rsid w:val="38AF4648"/>
    <w:rsid w:val="38B3392D"/>
    <w:rsid w:val="38B37C06"/>
    <w:rsid w:val="38CF5396"/>
    <w:rsid w:val="38E50A97"/>
    <w:rsid w:val="391E370A"/>
    <w:rsid w:val="392F5095"/>
    <w:rsid w:val="393C7ED6"/>
    <w:rsid w:val="39465433"/>
    <w:rsid w:val="39581B4E"/>
    <w:rsid w:val="395B6912"/>
    <w:rsid w:val="396271DB"/>
    <w:rsid w:val="39A56F77"/>
    <w:rsid w:val="39BE4A11"/>
    <w:rsid w:val="39EB4452"/>
    <w:rsid w:val="3A27520A"/>
    <w:rsid w:val="3A3F6C87"/>
    <w:rsid w:val="3A40527C"/>
    <w:rsid w:val="3A465FD4"/>
    <w:rsid w:val="3A956A72"/>
    <w:rsid w:val="3AD70862"/>
    <w:rsid w:val="3AE76311"/>
    <w:rsid w:val="3AF4740A"/>
    <w:rsid w:val="3B1109C9"/>
    <w:rsid w:val="3B2552D7"/>
    <w:rsid w:val="3B3F7D03"/>
    <w:rsid w:val="3B714455"/>
    <w:rsid w:val="3B844B5E"/>
    <w:rsid w:val="3B970D6B"/>
    <w:rsid w:val="3BDD7DCA"/>
    <w:rsid w:val="3BE51125"/>
    <w:rsid w:val="3BE90506"/>
    <w:rsid w:val="3BEB6832"/>
    <w:rsid w:val="3BF178CC"/>
    <w:rsid w:val="3BF27269"/>
    <w:rsid w:val="3BFA2E9E"/>
    <w:rsid w:val="3C40766B"/>
    <w:rsid w:val="3C476B61"/>
    <w:rsid w:val="3C583A62"/>
    <w:rsid w:val="3C813EBD"/>
    <w:rsid w:val="3C92223A"/>
    <w:rsid w:val="3C925C0E"/>
    <w:rsid w:val="3CA24375"/>
    <w:rsid w:val="3CB702EA"/>
    <w:rsid w:val="3CBD35C8"/>
    <w:rsid w:val="3CC24029"/>
    <w:rsid w:val="3CCF0F73"/>
    <w:rsid w:val="3CE437F4"/>
    <w:rsid w:val="3D386985"/>
    <w:rsid w:val="3D3906B1"/>
    <w:rsid w:val="3D425FEC"/>
    <w:rsid w:val="3D584E9B"/>
    <w:rsid w:val="3D880E45"/>
    <w:rsid w:val="3D9C69C1"/>
    <w:rsid w:val="3DA0424A"/>
    <w:rsid w:val="3DA419D7"/>
    <w:rsid w:val="3DDA6370"/>
    <w:rsid w:val="3DDD2C1B"/>
    <w:rsid w:val="3DFF5060"/>
    <w:rsid w:val="3E136870"/>
    <w:rsid w:val="3E5D5F3B"/>
    <w:rsid w:val="3E615282"/>
    <w:rsid w:val="3E811CC0"/>
    <w:rsid w:val="3E8429B9"/>
    <w:rsid w:val="3E886F46"/>
    <w:rsid w:val="3EBE7D18"/>
    <w:rsid w:val="3ECC547A"/>
    <w:rsid w:val="3EE01AD6"/>
    <w:rsid w:val="3EE5303E"/>
    <w:rsid w:val="3F1A1718"/>
    <w:rsid w:val="3F2A2A20"/>
    <w:rsid w:val="3F4E5041"/>
    <w:rsid w:val="3F506818"/>
    <w:rsid w:val="3FE36C1C"/>
    <w:rsid w:val="3FEB19D5"/>
    <w:rsid w:val="3FF15ABF"/>
    <w:rsid w:val="40340044"/>
    <w:rsid w:val="404E6731"/>
    <w:rsid w:val="40661E5E"/>
    <w:rsid w:val="406E45AD"/>
    <w:rsid w:val="407C0CAD"/>
    <w:rsid w:val="40924D64"/>
    <w:rsid w:val="40963A57"/>
    <w:rsid w:val="40B652F6"/>
    <w:rsid w:val="40D16C5D"/>
    <w:rsid w:val="4105404B"/>
    <w:rsid w:val="410A3110"/>
    <w:rsid w:val="41310CA2"/>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32864"/>
    <w:rsid w:val="428917B7"/>
    <w:rsid w:val="42B93A3B"/>
    <w:rsid w:val="42D50618"/>
    <w:rsid w:val="42F1595A"/>
    <w:rsid w:val="42F45676"/>
    <w:rsid w:val="42FD5163"/>
    <w:rsid w:val="430B7DA4"/>
    <w:rsid w:val="430D4AC0"/>
    <w:rsid w:val="43121ED0"/>
    <w:rsid w:val="431E047F"/>
    <w:rsid w:val="431E65EF"/>
    <w:rsid w:val="43416FE9"/>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52905F3"/>
    <w:rsid w:val="4531085A"/>
    <w:rsid w:val="456A35B3"/>
    <w:rsid w:val="457A09BE"/>
    <w:rsid w:val="459E711B"/>
    <w:rsid w:val="45A45439"/>
    <w:rsid w:val="45B4675B"/>
    <w:rsid w:val="45CA7348"/>
    <w:rsid w:val="45CB72CE"/>
    <w:rsid w:val="461F4864"/>
    <w:rsid w:val="462B6DAB"/>
    <w:rsid w:val="4678487E"/>
    <w:rsid w:val="46977D08"/>
    <w:rsid w:val="469B5592"/>
    <w:rsid w:val="46A5400A"/>
    <w:rsid w:val="46BC33FE"/>
    <w:rsid w:val="46C67C71"/>
    <w:rsid w:val="46DB6342"/>
    <w:rsid w:val="46F207EA"/>
    <w:rsid w:val="46F40267"/>
    <w:rsid w:val="46F87058"/>
    <w:rsid w:val="47283388"/>
    <w:rsid w:val="473355C0"/>
    <w:rsid w:val="4750618B"/>
    <w:rsid w:val="4771556D"/>
    <w:rsid w:val="477A20CD"/>
    <w:rsid w:val="47C35102"/>
    <w:rsid w:val="47C90408"/>
    <w:rsid w:val="47CA3491"/>
    <w:rsid w:val="47DE0285"/>
    <w:rsid w:val="47EA0372"/>
    <w:rsid w:val="47F77566"/>
    <w:rsid w:val="48131737"/>
    <w:rsid w:val="481C1F20"/>
    <w:rsid w:val="482932B2"/>
    <w:rsid w:val="48353471"/>
    <w:rsid w:val="48452D6C"/>
    <w:rsid w:val="48490177"/>
    <w:rsid w:val="48547396"/>
    <w:rsid w:val="48734131"/>
    <w:rsid w:val="487B1A21"/>
    <w:rsid w:val="48801F0A"/>
    <w:rsid w:val="489C4879"/>
    <w:rsid w:val="489C7EA5"/>
    <w:rsid w:val="49276E58"/>
    <w:rsid w:val="494B4338"/>
    <w:rsid w:val="497C5511"/>
    <w:rsid w:val="49A779DD"/>
    <w:rsid w:val="49B65DC9"/>
    <w:rsid w:val="4A131AB1"/>
    <w:rsid w:val="4A191CD0"/>
    <w:rsid w:val="4A200F8B"/>
    <w:rsid w:val="4A34760C"/>
    <w:rsid w:val="4A64259A"/>
    <w:rsid w:val="4AA4128B"/>
    <w:rsid w:val="4AA658AC"/>
    <w:rsid w:val="4AAA7028"/>
    <w:rsid w:val="4AD50D4A"/>
    <w:rsid w:val="4ADC75C4"/>
    <w:rsid w:val="4B2977E3"/>
    <w:rsid w:val="4B3A3263"/>
    <w:rsid w:val="4B404F96"/>
    <w:rsid w:val="4B4D6D80"/>
    <w:rsid w:val="4B5F395F"/>
    <w:rsid w:val="4BB73A13"/>
    <w:rsid w:val="4BE22955"/>
    <w:rsid w:val="4C491FB6"/>
    <w:rsid w:val="4C60411D"/>
    <w:rsid w:val="4C8E383F"/>
    <w:rsid w:val="4C9743B6"/>
    <w:rsid w:val="4CA56DBD"/>
    <w:rsid w:val="4CCD70EB"/>
    <w:rsid w:val="4CD15334"/>
    <w:rsid w:val="4CD60F91"/>
    <w:rsid w:val="4CDC2AC2"/>
    <w:rsid w:val="4CDE204D"/>
    <w:rsid w:val="4CEF194A"/>
    <w:rsid w:val="4D123D13"/>
    <w:rsid w:val="4D4473CA"/>
    <w:rsid w:val="4D594184"/>
    <w:rsid w:val="4D670A85"/>
    <w:rsid w:val="4D80617B"/>
    <w:rsid w:val="4D806473"/>
    <w:rsid w:val="4DB87F6B"/>
    <w:rsid w:val="4DC608A6"/>
    <w:rsid w:val="4DEC516B"/>
    <w:rsid w:val="4DF85FC0"/>
    <w:rsid w:val="4E1074C8"/>
    <w:rsid w:val="4E2B1D2E"/>
    <w:rsid w:val="4E527CB0"/>
    <w:rsid w:val="4E6F1EF6"/>
    <w:rsid w:val="4E7B029B"/>
    <w:rsid w:val="4E9C2A45"/>
    <w:rsid w:val="4ECB07EA"/>
    <w:rsid w:val="4EDA18B9"/>
    <w:rsid w:val="4F216F20"/>
    <w:rsid w:val="4F486B2E"/>
    <w:rsid w:val="4F573543"/>
    <w:rsid w:val="4F6366D6"/>
    <w:rsid w:val="4F6D467A"/>
    <w:rsid w:val="4F6F04ED"/>
    <w:rsid w:val="4F8A573F"/>
    <w:rsid w:val="4FA710E2"/>
    <w:rsid w:val="4FC13833"/>
    <w:rsid w:val="4FCC63B9"/>
    <w:rsid w:val="4FED507D"/>
    <w:rsid w:val="4FFB62E9"/>
    <w:rsid w:val="501C4E89"/>
    <w:rsid w:val="502B325D"/>
    <w:rsid w:val="505D795E"/>
    <w:rsid w:val="50630959"/>
    <w:rsid w:val="50D37CC2"/>
    <w:rsid w:val="50DD3BA3"/>
    <w:rsid w:val="50E61CAB"/>
    <w:rsid w:val="50E8074E"/>
    <w:rsid w:val="5132754D"/>
    <w:rsid w:val="513564CC"/>
    <w:rsid w:val="514E3A09"/>
    <w:rsid w:val="517C3AF1"/>
    <w:rsid w:val="51915B3D"/>
    <w:rsid w:val="519F5121"/>
    <w:rsid w:val="51EC25C1"/>
    <w:rsid w:val="5229273F"/>
    <w:rsid w:val="52547228"/>
    <w:rsid w:val="5261700D"/>
    <w:rsid w:val="52794D53"/>
    <w:rsid w:val="529432E6"/>
    <w:rsid w:val="529C40E3"/>
    <w:rsid w:val="52A8026E"/>
    <w:rsid w:val="52C56B9D"/>
    <w:rsid w:val="52EC7710"/>
    <w:rsid w:val="52F24D5C"/>
    <w:rsid w:val="532C197B"/>
    <w:rsid w:val="534C6115"/>
    <w:rsid w:val="53526154"/>
    <w:rsid w:val="53561F88"/>
    <w:rsid w:val="536B5C40"/>
    <w:rsid w:val="53A41C0C"/>
    <w:rsid w:val="53BC34C4"/>
    <w:rsid w:val="53CE29B7"/>
    <w:rsid w:val="53E93F16"/>
    <w:rsid w:val="53F04BF7"/>
    <w:rsid w:val="53F0606D"/>
    <w:rsid w:val="540337E7"/>
    <w:rsid w:val="54142032"/>
    <w:rsid w:val="54143B82"/>
    <w:rsid w:val="54451376"/>
    <w:rsid w:val="5445275B"/>
    <w:rsid w:val="54680986"/>
    <w:rsid w:val="54776BE8"/>
    <w:rsid w:val="547B2C44"/>
    <w:rsid w:val="547F7066"/>
    <w:rsid w:val="548C0083"/>
    <w:rsid w:val="54AB5420"/>
    <w:rsid w:val="54AE7C72"/>
    <w:rsid w:val="54BC10AE"/>
    <w:rsid w:val="54DE257B"/>
    <w:rsid w:val="54F82DE2"/>
    <w:rsid w:val="55091415"/>
    <w:rsid w:val="55124B31"/>
    <w:rsid w:val="5533415E"/>
    <w:rsid w:val="553D5A1E"/>
    <w:rsid w:val="555B4C1C"/>
    <w:rsid w:val="55665E4B"/>
    <w:rsid w:val="557564F8"/>
    <w:rsid w:val="557C6AE7"/>
    <w:rsid w:val="55A0704C"/>
    <w:rsid w:val="55A923B9"/>
    <w:rsid w:val="55D37E92"/>
    <w:rsid w:val="55D70990"/>
    <w:rsid w:val="55DD38ED"/>
    <w:rsid w:val="55E72D6A"/>
    <w:rsid w:val="561A3EA2"/>
    <w:rsid w:val="56231E5E"/>
    <w:rsid w:val="56262642"/>
    <w:rsid w:val="56434C8D"/>
    <w:rsid w:val="568A68D9"/>
    <w:rsid w:val="56A438D4"/>
    <w:rsid w:val="56BA5C7F"/>
    <w:rsid w:val="56BD3534"/>
    <w:rsid w:val="56D50ABF"/>
    <w:rsid w:val="56EA1F97"/>
    <w:rsid w:val="570F0FFB"/>
    <w:rsid w:val="573139F1"/>
    <w:rsid w:val="574E065D"/>
    <w:rsid w:val="575B7C13"/>
    <w:rsid w:val="576E7E03"/>
    <w:rsid w:val="576F3950"/>
    <w:rsid w:val="578A5B09"/>
    <w:rsid w:val="579B0E0D"/>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895153"/>
    <w:rsid w:val="59997155"/>
    <w:rsid w:val="59A2414B"/>
    <w:rsid w:val="59BE586F"/>
    <w:rsid w:val="59F550B2"/>
    <w:rsid w:val="59FE08FA"/>
    <w:rsid w:val="5A060D86"/>
    <w:rsid w:val="5A886394"/>
    <w:rsid w:val="5A9F6060"/>
    <w:rsid w:val="5ACF7403"/>
    <w:rsid w:val="5B0F4E22"/>
    <w:rsid w:val="5B46719F"/>
    <w:rsid w:val="5B5437AD"/>
    <w:rsid w:val="5B737DCF"/>
    <w:rsid w:val="5BA42A14"/>
    <w:rsid w:val="5BB47CCC"/>
    <w:rsid w:val="5BD05B9D"/>
    <w:rsid w:val="5BD343E6"/>
    <w:rsid w:val="5BD77F69"/>
    <w:rsid w:val="5BE00F61"/>
    <w:rsid w:val="5BFB5206"/>
    <w:rsid w:val="5C0F4FFE"/>
    <w:rsid w:val="5CB61872"/>
    <w:rsid w:val="5CB65A64"/>
    <w:rsid w:val="5CD26BB3"/>
    <w:rsid w:val="5CEB063E"/>
    <w:rsid w:val="5D0B0214"/>
    <w:rsid w:val="5D1A0A42"/>
    <w:rsid w:val="5D4F1710"/>
    <w:rsid w:val="5D704C15"/>
    <w:rsid w:val="5D71045F"/>
    <w:rsid w:val="5D740167"/>
    <w:rsid w:val="5D7B7702"/>
    <w:rsid w:val="5DA55EAC"/>
    <w:rsid w:val="5DAC626B"/>
    <w:rsid w:val="5DB778E4"/>
    <w:rsid w:val="5DC133FE"/>
    <w:rsid w:val="5E146811"/>
    <w:rsid w:val="5E3F1622"/>
    <w:rsid w:val="5E3F1ED0"/>
    <w:rsid w:val="5E4A015A"/>
    <w:rsid w:val="5E4E1E2F"/>
    <w:rsid w:val="5E7E280E"/>
    <w:rsid w:val="5E7F4FEA"/>
    <w:rsid w:val="5EA343F9"/>
    <w:rsid w:val="5EE34D8A"/>
    <w:rsid w:val="5F164D5E"/>
    <w:rsid w:val="5F2D2E3D"/>
    <w:rsid w:val="5F511649"/>
    <w:rsid w:val="5F741C71"/>
    <w:rsid w:val="5F884475"/>
    <w:rsid w:val="5F940261"/>
    <w:rsid w:val="5FAC17B4"/>
    <w:rsid w:val="5FBE713C"/>
    <w:rsid w:val="5FDA399F"/>
    <w:rsid w:val="5FFA79ED"/>
    <w:rsid w:val="60350249"/>
    <w:rsid w:val="603D79F1"/>
    <w:rsid w:val="606D0EF6"/>
    <w:rsid w:val="60806A99"/>
    <w:rsid w:val="60B442A8"/>
    <w:rsid w:val="60FD7810"/>
    <w:rsid w:val="61013040"/>
    <w:rsid w:val="61075284"/>
    <w:rsid w:val="610E310A"/>
    <w:rsid w:val="611C35B8"/>
    <w:rsid w:val="611D1C0E"/>
    <w:rsid w:val="614D09BF"/>
    <w:rsid w:val="61A25580"/>
    <w:rsid w:val="61AE7556"/>
    <w:rsid w:val="61C55F7F"/>
    <w:rsid w:val="61CA3612"/>
    <w:rsid w:val="61D41854"/>
    <w:rsid w:val="61F46458"/>
    <w:rsid w:val="62282B27"/>
    <w:rsid w:val="623E360E"/>
    <w:rsid w:val="625A6442"/>
    <w:rsid w:val="626D39E9"/>
    <w:rsid w:val="62C31135"/>
    <w:rsid w:val="62C76106"/>
    <w:rsid w:val="62CC474C"/>
    <w:rsid w:val="62FF72FE"/>
    <w:rsid w:val="630C2BBF"/>
    <w:rsid w:val="632C3261"/>
    <w:rsid w:val="63491372"/>
    <w:rsid w:val="637B0B27"/>
    <w:rsid w:val="63874046"/>
    <w:rsid w:val="638B4892"/>
    <w:rsid w:val="639A766B"/>
    <w:rsid w:val="63A61BF3"/>
    <w:rsid w:val="63BB45AD"/>
    <w:rsid w:val="63C73E6D"/>
    <w:rsid w:val="63DD4529"/>
    <w:rsid w:val="63FC0611"/>
    <w:rsid w:val="64010633"/>
    <w:rsid w:val="641222ED"/>
    <w:rsid w:val="642B5582"/>
    <w:rsid w:val="644878A5"/>
    <w:rsid w:val="64516BFF"/>
    <w:rsid w:val="64643953"/>
    <w:rsid w:val="64963CFA"/>
    <w:rsid w:val="649A62D1"/>
    <w:rsid w:val="64B31A3E"/>
    <w:rsid w:val="64BB7086"/>
    <w:rsid w:val="64C036C0"/>
    <w:rsid w:val="64DF720B"/>
    <w:rsid w:val="64FB2F8F"/>
    <w:rsid w:val="6502750F"/>
    <w:rsid w:val="655769D7"/>
    <w:rsid w:val="658C66C4"/>
    <w:rsid w:val="65B76CC0"/>
    <w:rsid w:val="65C256AD"/>
    <w:rsid w:val="65C86337"/>
    <w:rsid w:val="65DC6542"/>
    <w:rsid w:val="65FE3124"/>
    <w:rsid w:val="66407375"/>
    <w:rsid w:val="66475BEE"/>
    <w:rsid w:val="66921396"/>
    <w:rsid w:val="669A00A1"/>
    <w:rsid w:val="669A0A1D"/>
    <w:rsid w:val="66C77EC3"/>
    <w:rsid w:val="66CD32EE"/>
    <w:rsid w:val="66EF31C1"/>
    <w:rsid w:val="67286643"/>
    <w:rsid w:val="67340A1D"/>
    <w:rsid w:val="67415D12"/>
    <w:rsid w:val="674F0663"/>
    <w:rsid w:val="67645CC5"/>
    <w:rsid w:val="679D0438"/>
    <w:rsid w:val="679F14A6"/>
    <w:rsid w:val="67A7594A"/>
    <w:rsid w:val="67A76795"/>
    <w:rsid w:val="67DA14DE"/>
    <w:rsid w:val="67F71CAA"/>
    <w:rsid w:val="6833136E"/>
    <w:rsid w:val="68374646"/>
    <w:rsid w:val="6851003F"/>
    <w:rsid w:val="68532F31"/>
    <w:rsid w:val="685D1197"/>
    <w:rsid w:val="685F2B0C"/>
    <w:rsid w:val="686A5890"/>
    <w:rsid w:val="686E4CA0"/>
    <w:rsid w:val="6870598D"/>
    <w:rsid w:val="68882FAE"/>
    <w:rsid w:val="68B25FB7"/>
    <w:rsid w:val="68CD56D6"/>
    <w:rsid w:val="68CE0878"/>
    <w:rsid w:val="68DF3F07"/>
    <w:rsid w:val="68E14DD2"/>
    <w:rsid w:val="68FF17F8"/>
    <w:rsid w:val="691F6273"/>
    <w:rsid w:val="69316D4E"/>
    <w:rsid w:val="6938799E"/>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317FEC"/>
    <w:rsid w:val="6A395739"/>
    <w:rsid w:val="6A5D1615"/>
    <w:rsid w:val="6A667351"/>
    <w:rsid w:val="6A690452"/>
    <w:rsid w:val="6AA01E24"/>
    <w:rsid w:val="6AC86B5F"/>
    <w:rsid w:val="6AD5470C"/>
    <w:rsid w:val="6AF1512E"/>
    <w:rsid w:val="6B047BC0"/>
    <w:rsid w:val="6B372870"/>
    <w:rsid w:val="6B401962"/>
    <w:rsid w:val="6B4C78DC"/>
    <w:rsid w:val="6B6D4BD4"/>
    <w:rsid w:val="6B736C65"/>
    <w:rsid w:val="6B884223"/>
    <w:rsid w:val="6BAB5034"/>
    <w:rsid w:val="6BCC6A33"/>
    <w:rsid w:val="6BE94680"/>
    <w:rsid w:val="6C1648A2"/>
    <w:rsid w:val="6C180827"/>
    <w:rsid w:val="6C2B5B56"/>
    <w:rsid w:val="6C405A24"/>
    <w:rsid w:val="6C4C1DDE"/>
    <w:rsid w:val="6C57134F"/>
    <w:rsid w:val="6C733663"/>
    <w:rsid w:val="6C7360A2"/>
    <w:rsid w:val="6C98271E"/>
    <w:rsid w:val="6CB357D4"/>
    <w:rsid w:val="6CD6095A"/>
    <w:rsid w:val="6CED0DFC"/>
    <w:rsid w:val="6D09664F"/>
    <w:rsid w:val="6D192771"/>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647424"/>
    <w:rsid w:val="6E9D5BDB"/>
    <w:rsid w:val="6EBF2095"/>
    <w:rsid w:val="6ED668E5"/>
    <w:rsid w:val="6EDA5C94"/>
    <w:rsid w:val="6F436F8F"/>
    <w:rsid w:val="6F4D5562"/>
    <w:rsid w:val="6F663712"/>
    <w:rsid w:val="6F69285A"/>
    <w:rsid w:val="6F6D69E8"/>
    <w:rsid w:val="6F7874E2"/>
    <w:rsid w:val="6F8B29B5"/>
    <w:rsid w:val="6F9B0752"/>
    <w:rsid w:val="6FD156E3"/>
    <w:rsid w:val="6FED75FB"/>
    <w:rsid w:val="6FFA27F6"/>
    <w:rsid w:val="70041560"/>
    <w:rsid w:val="700B47EE"/>
    <w:rsid w:val="703467FC"/>
    <w:rsid w:val="7040732E"/>
    <w:rsid w:val="707123D3"/>
    <w:rsid w:val="7086364B"/>
    <w:rsid w:val="70A42103"/>
    <w:rsid w:val="70D6110F"/>
    <w:rsid w:val="70FA2DBF"/>
    <w:rsid w:val="71096990"/>
    <w:rsid w:val="710B27AB"/>
    <w:rsid w:val="712C6F85"/>
    <w:rsid w:val="712F2C7A"/>
    <w:rsid w:val="71320E55"/>
    <w:rsid w:val="71321C7C"/>
    <w:rsid w:val="71340B64"/>
    <w:rsid w:val="713C30E4"/>
    <w:rsid w:val="714D7437"/>
    <w:rsid w:val="71546F0E"/>
    <w:rsid w:val="7170146E"/>
    <w:rsid w:val="717268C8"/>
    <w:rsid w:val="71802D0E"/>
    <w:rsid w:val="71895CF5"/>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8174B"/>
    <w:rsid w:val="733A4EF6"/>
    <w:rsid w:val="733D0234"/>
    <w:rsid w:val="733E33D3"/>
    <w:rsid w:val="733F0360"/>
    <w:rsid w:val="734E2A22"/>
    <w:rsid w:val="73773239"/>
    <w:rsid w:val="73835DC4"/>
    <w:rsid w:val="73C761B5"/>
    <w:rsid w:val="73C97C37"/>
    <w:rsid w:val="73D872D7"/>
    <w:rsid w:val="73F956D4"/>
    <w:rsid w:val="73F97190"/>
    <w:rsid w:val="73FA14E3"/>
    <w:rsid w:val="740A7F35"/>
    <w:rsid w:val="742D4CA1"/>
    <w:rsid w:val="74336AF3"/>
    <w:rsid w:val="74613585"/>
    <w:rsid w:val="747D3462"/>
    <w:rsid w:val="74812030"/>
    <w:rsid w:val="74886161"/>
    <w:rsid w:val="74923E43"/>
    <w:rsid w:val="74A039B1"/>
    <w:rsid w:val="74E66F49"/>
    <w:rsid w:val="74EB245C"/>
    <w:rsid w:val="750D41EB"/>
    <w:rsid w:val="753C15BB"/>
    <w:rsid w:val="75585493"/>
    <w:rsid w:val="755E6626"/>
    <w:rsid w:val="75841DF5"/>
    <w:rsid w:val="758A071C"/>
    <w:rsid w:val="758C4CA2"/>
    <w:rsid w:val="75A03D67"/>
    <w:rsid w:val="75C45800"/>
    <w:rsid w:val="75D40046"/>
    <w:rsid w:val="75D96E3B"/>
    <w:rsid w:val="75EE53E9"/>
    <w:rsid w:val="762F29E5"/>
    <w:rsid w:val="764374F1"/>
    <w:rsid w:val="76944E76"/>
    <w:rsid w:val="769A26CA"/>
    <w:rsid w:val="769E07AD"/>
    <w:rsid w:val="76AB3C70"/>
    <w:rsid w:val="76C34928"/>
    <w:rsid w:val="76C54EFF"/>
    <w:rsid w:val="76D17FE1"/>
    <w:rsid w:val="76DF15B8"/>
    <w:rsid w:val="76FB601C"/>
    <w:rsid w:val="7708778F"/>
    <w:rsid w:val="770B7BD2"/>
    <w:rsid w:val="778364BE"/>
    <w:rsid w:val="7799548D"/>
    <w:rsid w:val="779E65C5"/>
    <w:rsid w:val="77B77D93"/>
    <w:rsid w:val="77C81353"/>
    <w:rsid w:val="77ED1FBE"/>
    <w:rsid w:val="77F60DCB"/>
    <w:rsid w:val="78023A5D"/>
    <w:rsid w:val="782A3DBC"/>
    <w:rsid w:val="787764A6"/>
    <w:rsid w:val="78867CFB"/>
    <w:rsid w:val="78AE1EE3"/>
    <w:rsid w:val="78CE32F1"/>
    <w:rsid w:val="78CE3C30"/>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9E603E"/>
    <w:rsid w:val="7AA163B3"/>
    <w:rsid w:val="7AB01F3D"/>
    <w:rsid w:val="7ABB7712"/>
    <w:rsid w:val="7ACE4950"/>
    <w:rsid w:val="7ADB04CF"/>
    <w:rsid w:val="7ADD1DF2"/>
    <w:rsid w:val="7AFE0D18"/>
    <w:rsid w:val="7B2A08CC"/>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B4389"/>
    <w:rsid w:val="7CCA1F6A"/>
    <w:rsid w:val="7CD349F7"/>
    <w:rsid w:val="7D1948FD"/>
    <w:rsid w:val="7D2C6F9F"/>
    <w:rsid w:val="7D543264"/>
    <w:rsid w:val="7D5B2CA1"/>
    <w:rsid w:val="7D6D7156"/>
    <w:rsid w:val="7D7115AD"/>
    <w:rsid w:val="7DAE4568"/>
    <w:rsid w:val="7DC85A4E"/>
    <w:rsid w:val="7DF11E99"/>
    <w:rsid w:val="7DF550BA"/>
    <w:rsid w:val="7E531FFF"/>
    <w:rsid w:val="7E5E764B"/>
    <w:rsid w:val="7E7029A2"/>
    <w:rsid w:val="7EA44BEF"/>
    <w:rsid w:val="7ECB55B8"/>
    <w:rsid w:val="7EE626A2"/>
    <w:rsid w:val="7EEC63E7"/>
    <w:rsid w:val="7EF54C4F"/>
    <w:rsid w:val="7EFB3937"/>
    <w:rsid w:val="7F020EC4"/>
    <w:rsid w:val="7F1E0F62"/>
    <w:rsid w:val="7F1F3426"/>
    <w:rsid w:val="7F381A2F"/>
    <w:rsid w:val="7F5957B0"/>
    <w:rsid w:val="7F6D786A"/>
    <w:rsid w:val="7F6F2116"/>
    <w:rsid w:val="7F9846AE"/>
    <w:rsid w:val="7F9A7F46"/>
    <w:rsid w:val="7FAA2CDD"/>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7"/>
    <w:autoRedefine/>
    <w:semiHidden/>
    <w:unhideWhenUsed/>
    <w:qFormat/>
    <w:uiPriority w:val="0"/>
    <w:pPr>
      <w:keepNext/>
      <w:keepLines/>
      <w:tabs>
        <w:tab w:val="left" w:pos="8280"/>
      </w:tabs>
      <w:spacing w:before="260" w:after="260" w:line="416" w:lineRule="auto"/>
      <w:outlineLvl w:val="2"/>
    </w:pPr>
    <w:rPr>
      <w:bCs/>
      <w:szCs w:val="3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style>
  <w:style w:type="paragraph" w:styleId="3">
    <w:name w:val="Body Text Indent"/>
    <w:basedOn w:val="1"/>
    <w:next w:val="1"/>
    <w:autoRedefine/>
    <w:qFormat/>
    <w:uiPriority w:val="0"/>
    <w:pPr>
      <w:spacing w:after="120"/>
      <w:ind w:left="420" w:leftChars="200"/>
    </w:pPr>
  </w:style>
  <w:style w:type="paragraph" w:styleId="7">
    <w:name w:val="Normal Indent"/>
    <w:basedOn w:val="1"/>
    <w:autoRedefine/>
    <w:qFormat/>
    <w:uiPriority w:val="0"/>
    <w:pPr>
      <w:ind w:firstLine="420"/>
    </w:pPr>
    <w:rPr>
      <w:szCs w:val="20"/>
    </w:rPr>
  </w:style>
  <w:style w:type="paragraph" w:styleId="8">
    <w:name w:val="List Number"/>
    <w:basedOn w:val="1"/>
    <w:autoRedefine/>
    <w:qFormat/>
    <w:uiPriority w:val="0"/>
    <w:pPr>
      <w:numPr>
        <w:ilvl w:val="0"/>
        <w:numId w:val="2"/>
      </w:numPr>
    </w:pPr>
  </w:style>
  <w:style w:type="paragraph" w:styleId="9">
    <w:name w:val="List Bullet"/>
    <w:basedOn w:val="1"/>
    <w:next w:val="1"/>
    <w:autoRedefine/>
    <w:qFormat/>
    <w:uiPriority w:val="0"/>
    <w:pPr>
      <w:numPr>
        <w:ilvl w:val="0"/>
        <w:numId w:val="3"/>
      </w:numPr>
    </w:pPr>
  </w:style>
  <w:style w:type="paragraph" w:styleId="10">
    <w:name w:val="annotation text"/>
    <w:basedOn w:val="1"/>
    <w:link w:val="77"/>
    <w:autoRedefine/>
    <w:qFormat/>
    <w:uiPriority w:val="0"/>
    <w:pPr>
      <w:jc w:val="left"/>
    </w:pPr>
  </w:style>
  <w:style w:type="paragraph" w:styleId="11">
    <w:name w:val="Body Text"/>
    <w:basedOn w:val="1"/>
    <w:autoRedefine/>
    <w:qFormat/>
    <w:uiPriority w:val="0"/>
    <w:pPr>
      <w:spacing w:line="360" w:lineRule="exact"/>
    </w:pPr>
    <w:rPr>
      <w:sz w:val="24"/>
    </w:rPr>
  </w:style>
  <w:style w:type="paragraph" w:styleId="12">
    <w:name w:val="List Bullet 2"/>
    <w:basedOn w:val="1"/>
    <w:next w:val="9"/>
    <w:autoRedefine/>
    <w:qFormat/>
    <w:uiPriority w:val="0"/>
    <w:pPr>
      <w:numPr>
        <w:ilvl w:val="0"/>
        <w:numId w:val="4"/>
      </w:numPr>
    </w:pPr>
  </w:style>
  <w:style w:type="paragraph" w:styleId="13">
    <w:name w:val="Plain Text"/>
    <w:basedOn w:val="1"/>
    <w:link w:val="69"/>
    <w:autoRedefine/>
    <w:qFormat/>
    <w:uiPriority w:val="0"/>
    <w:rPr>
      <w:rFonts w:ascii="宋体" w:hAnsi="Courier New" w:cstheme="minorBidi"/>
    </w:rPr>
  </w:style>
  <w:style w:type="paragraph" w:styleId="14">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9"/>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19">
    <w:name w:val="toc 4"/>
    <w:basedOn w:val="1"/>
    <w:next w:val="1"/>
    <w:autoRedefine/>
    <w:qFormat/>
    <w:uiPriority w:val="0"/>
    <w:pPr>
      <w:ind w:left="630"/>
      <w:jc w:val="left"/>
    </w:pPr>
    <w:rPr>
      <w:sz w:val="18"/>
      <w:szCs w:val="18"/>
    </w:rPr>
  </w:style>
  <w:style w:type="paragraph" w:styleId="20">
    <w:name w:val="toc 6"/>
    <w:basedOn w:val="1"/>
    <w:next w:val="1"/>
    <w:autoRedefine/>
    <w:unhideWhenUsed/>
    <w:qFormat/>
    <w:uiPriority w:val="39"/>
    <w:pPr>
      <w:ind w:left="2100" w:leftChars="1000"/>
    </w:pPr>
    <w:rPr>
      <w:rFonts w:ascii="Calibri" w:hAnsi="Calibri"/>
    </w:rPr>
  </w:style>
  <w:style w:type="paragraph" w:styleId="21">
    <w:name w:val="toc 2"/>
    <w:basedOn w:val="1"/>
    <w:next w:val="1"/>
    <w:autoRedefine/>
    <w:qFormat/>
    <w:uiPriority w:val="39"/>
    <w:pPr>
      <w:ind w:left="420" w:leftChars="200"/>
    </w:pPr>
  </w:style>
  <w:style w:type="paragraph" w:styleId="22">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3">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4">
    <w:name w:val="annotation subject"/>
    <w:basedOn w:val="10"/>
    <w:next w:val="10"/>
    <w:link w:val="78"/>
    <w:autoRedefine/>
    <w:qFormat/>
    <w:uiPriority w:val="0"/>
    <w:rPr>
      <w:b/>
      <w:bCs/>
    </w:rPr>
  </w:style>
  <w:style w:type="paragraph" w:styleId="25">
    <w:name w:val="Body Text First Indent"/>
    <w:basedOn w:val="11"/>
    <w:next w:val="1"/>
    <w:link w:val="79"/>
    <w:autoRedefine/>
    <w:qFormat/>
    <w:uiPriority w:val="0"/>
    <w:pPr>
      <w:ind w:firstLine="200" w:firstLineChars="200"/>
    </w:pPr>
  </w:style>
  <w:style w:type="table" w:styleId="27">
    <w:name w:val="Table Grid"/>
    <w:basedOn w:val="26"/>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9">
    <w:name w:val="Hyperlink"/>
    <w:autoRedefine/>
    <w:qFormat/>
    <w:uiPriority w:val="0"/>
    <w:rPr>
      <w:color w:val="0000FF"/>
      <w:u w:val="single"/>
    </w:rPr>
  </w:style>
  <w:style w:type="character" w:styleId="30">
    <w:name w:val="annotation reference"/>
    <w:basedOn w:val="28"/>
    <w:autoRedefine/>
    <w:qFormat/>
    <w:uiPriority w:val="0"/>
    <w:rPr>
      <w:sz w:val="21"/>
      <w:szCs w:val="21"/>
    </w:rPr>
  </w:style>
  <w:style w:type="paragraph" w:customStyle="1" w:styleId="31">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
    <w:name w:val="[Normal]"/>
    <w:autoRedefine/>
    <w:qFormat/>
    <w:uiPriority w:val="0"/>
    <w:rPr>
      <w:rFonts w:ascii="宋体" w:hAnsi="宋体" w:eastAsia="宋体" w:cs="Times New Roman"/>
      <w:sz w:val="24"/>
      <w:szCs w:val="22"/>
      <w:lang w:val="zh-CN" w:eastAsia="zh-CN" w:bidi="ar-SA"/>
    </w:rPr>
  </w:style>
  <w:style w:type="paragraph" w:customStyle="1" w:styleId="33">
    <w:name w:val="样式 10 磅3111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
    <w:name w:val="4、正文"/>
    <w:basedOn w:val="1"/>
    <w:autoRedefine/>
    <w:qFormat/>
    <w:uiPriority w:val="0"/>
    <w:pPr>
      <w:ind w:firstLine="200" w:firstLineChars="200"/>
    </w:pPr>
    <w:rPr>
      <w:rFonts w:ascii="宋体"/>
      <w:sz w:val="24"/>
      <w:szCs w:val="28"/>
    </w:rPr>
  </w:style>
  <w:style w:type="paragraph" w:customStyle="1" w:styleId="35">
    <w:name w:val="表格文字"/>
    <w:basedOn w:val="1"/>
    <w:next w:val="11"/>
    <w:autoRedefine/>
    <w:qFormat/>
    <w:uiPriority w:val="0"/>
    <w:pPr>
      <w:jc w:val="left"/>
      <w:textAlignment w:val="top"/>
    </w:pPr>
    <w:rPr>
      <w:sz w:val="18"/>
    </w:rPr>
  </w:style>
  <w:style w:type="paragraph" w:customStyle="1" w:styleId="36">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37">
    <w:name w:val="List Paragraph"/>
    <w:basedOn w:val="1"/>
    <w:autoRedefine/>
    <w:qFormat/>
    <w:uiPriority w:val="0"/>
    <w:pPr>
      <w:ind w:firstLine="420" w:firstLineChars="200"/>
    </w:pPr>
    <w:rPr>
      <w:rFonts w:ascii="Calibri" w:hAnsi="Calibri"/>
      <w:szCs w:val="22"/>
    </w:rPr>
  </w:style>
  <w:style w:type="paragraph" w:customStyle="1" w:styleId="38">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39">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4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4"/>
    <w:autoRedefine/>
    <w:qFormat/>
    <w:uiPriority w:val="0"/>
    <w:rPr>
      <w:rFonts w:ascii="Times New Roman" w:hAnsi="Times New Roman" w:eastAsia="宋体" w:cs="Times New Roman"/>
      <w:sz w:val="21"/>
      <w:szCs w:val="22"/>
      <w:lang w:val="en-US" w:eastAsia="zh-CN" w:bidi="ar-SA"/>
    </w:rPr>
  </w:style>
  <w:style w:type="paragraph" w:customStyle="1" w:styleId="43">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_3"/>
    <w:basedOn w:val="45"/>
    <w:autoRedefine/>
    <w:qFormat/>
    <w:uiPriority w:val="0"/>
    <w:pPr>
      <w:widowControl/>
      <w:jc w:val="left"/>
    </w:pPr>
    <w:rPr>
      <w:rFonts w:ascii="宋体" w:hAnsi="Courier New" w:eastAsiaTheme="minorEastAsia" w:cstheme="minorBidi"/>
      <w:szCs w:val="21"/>
    </w:rPr>
  </w:style>
  <w:style w:type="paragraph" w:customStyle="1" w:styleId="47">
    <w:name w:val="纯文本_0_1"/>
    <w:basedOn w:val="1"/>
    <w:autoRedefine/>
    <w:qFormat/>
    <w:uiPriority w:val="0"/>
    <w:pPr>
      <w:widowControl/>
      <w:jc w:val="left"/>
    </w:pPr>
    <w:rPr>
      <w:rFonts w:ascii="宋体" w:hAnsi="Courier New" w:eastAsiaTheme="minorEastAsia" w:cstheme="minorBidi"/>
      <w:szCs w:val="21"/>
    </w:rPr>
  </w:style>
  <w:style w:type="paragraph" w:customStyle="1" w:styleId="48">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2">
    <w:name w:val="font21"/>
    <w:basedOn w:val="28"/>
    <w:autoRedefine/>
    <w:qFormat/>
    <w:uiPriority w:val="0"/>
    <w:rPr>
      <w:rFonts w:hint="default" w:ascii="Arial" w:hAnsi="Arial" w:cs="Arial"/>
      <w:color w:val="000000"/>
      <w:sz w:val="20"/>
      <w:szCs w:val="20"/>
      <w:u w:val="none"/>
    </w:rPr>
  </w:style>
  <w:style w:type="character" w:customStyle="1" w:styleId="53">
    <w:name w:val="font01"/>
    <w:basedOn w:val="28"/>
    <w:autoRedefine/>
    <w:qFormat/>
    <w:uiPriority w:val="0"/>
    <w:rPr>
      <w:rFonts w:hint="eastAsia" w:ascii="宋体" w:hAnsi="宋体" w:eastAsia="宋体" w:cs="宋体"/>
      <w:color w:val="000000"/>
      <w:sz w:val="20"/>
      <w:szCs w:val="20"/>
      <w:u w:val="none"/>
    </w:rPr>
  </w:style>
  <w:style w:type="paragraph" w:customStyle="1" w:styleId="54">
    <w:name w:val="纯文本1"/>
    <w:basedOn w:val="55"/>
    <w:autoRedefine/>
    <w:qFormat/>
    <w:uiPriority w:val="0"/>
    <w:pPr>
      <w:widowControl/>
      <w:jc w:val="left"/>
    </w:pPr>
    <w:rPr>
      <w:rFonts w:ascii="宋体" w:hAnsi="Courier New"/>
    </w:rPr>
  </w:style>
  <w:style w:type="paragraph" w:customStyle="1" w:styleId="55">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6">
    <w:name w:val="Table Paragraph"/>
    <w:basedOn w:val="1"/>
    <w:autoRedefine/>
    <w:qFormat/>
    <w:uiPriority w:val="1"/>
    <w:rPr>
      <w:rFonts w:ascii="宋体" w:hAnsi="宋体" w:cs="宋体"/>
    </w:rPr>
  </w:style>
  <w:style w:type="paragraph" w:customStyle="1" w:styleId="57">
    <w:name w:val="WPSOffice手动目录 1"/>
    <w:autoRedefine/>
    <w:qFormat/>
    <w:uiPriority w:val="0"/>
    <w:rPr>
      <w:rFonts w:ascii="Times New Roman" w:hAnsi="Times New Roman" w:eastAsia="宋体" w:cs="Times New Roman"/>
      <w:lang w:val="en-US" w:eastAsia="zh-CN" w:bidi="ar-SA"/>
    </w:rPr>
  </w:style>
  <w:style w:type="paragraph" w:customStyle="1" w:styleId="58">
    <w:name w:val="默认段落字体 Para Char Char Char Char Char Char Char Char Char1 Char Char Char Char"/>
    <w:basedOn w:val="1"/>
    <w:autoRedefine/>
    <w:qFormat/>
    <w:uiPriority w:val="0"/>
    <w:rPr>
      <w:rFonts w:ascii="Tahoma" w:hAnsi="Tahoma"/>
      <w:sz w:val="24"/>
      <w:szCs w:val="20"/>
    </w:rPr>
  </w:style>
  <w:style w:type="character" w:customStyle="1" w:styleId="59">
    <w:name w:val="批注框文本 字符"/>
    <w:basedOn w:val="28"/>
    <w:link w:val="15"/>
    <w:autoRedefine/>
    <w:qFormat/>
    <w:uiPriority w:val="0"/>
    <w:rPr>
      <w:kern w:val="2"/>
      <w:sz w:val="18"/>
      <w:szCs w:val="18"/>
    </w:rPr>
  </w:style>
  <w:style w:type="paragraph" w:customStyle="1" w:styleId="60">
    <w:name w:val="英文"/>
    <w:basedOn w:val="1"/>
    <w:link w:val="62"/>
    <w:autoRedefine/>
    <w:qFormat/>
    <w:uiPriority w:val="0"/>
    <w:pPr>
      <w:adjustRightInd w:val="0"/>
      <w:snapToGrid w:val="0"/>
      <w:spacing w:line="360" w:lineRule="auto"/>
      <w:ind w:firstLine="480" w:firstLineChars="200"/>
    </w:pPr>
    <w:rPr>
      <w:rFonts w:ascii="Arial" w:hAnsi="Arial" w:cs="Arial"/>
      <w:sz w:val="24"/>
    </w:rPr>
  </w:style>
  <w:style w:type="paragraph" w:customStyle="1" w:styleId="61">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62">
    <w:name w:val="英文 Char"/>
    <w:link w:val="60"/>
    <w:autoRedefine/>
    <w:qFormat/>
    <w:uiPriority w:val="0"/>
    <w:rPr>
      <w:rFonts w:ascii="Arial" w:hAnsi="Arial" w:cs="Arial"/>
      <w:sz w:val="24"/>
    </w:rPr>
  </w:style>
  <w:style w:type="paragraph" w:customStyle="1" w:styleId="63">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4">
    <w:name w:val="正文段落"/>
    <w:basedOn w:val="1"/>
    <w:autoRedefine/>
    <w:qFormat/>
    <w:uiPriority w:val="0"/>
    <w:pPr>
      <w:spacing w:line="360" w:lineRule="auto"/>
      <w:ind w:firstLine="200" w:firstLineChars="200"/>
    </w:pPr>
    <w:rPr>
      <w:rFonts w:eastAsia="仿宋"/>
      <w:sz w:val="28"/>
    </w:rPr>
  </w:style>
  <w:style w:type="paragraph" w:customStyle="1" w:styleId="65">
    <w:name w:val="Normal Indent1"/>
    <w:basedOn w:val="1"/>
    <w:autoRedefine/>
    <w:qFormat/>
    <w:uiPriority w:val="0"/>
    <w:pPr>
      <w:ind w:firstLine="420" w:firstLineChars="200"/>
    </w:pPr>
  </w:style>
  <w:style w:type="paragraph" w:customStyle="1" w:styleId="66">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7">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8">
    <w:name w:val="列表段落1"/>
    <w:basedOn w:val="1"/>
    <w:autoRedefine/>
    <w:qFormat/>
    <w:uiPriority w:val="0"/>
    <w:pPr>
      <w:ind w:firstLine="420" w:firstLineChars="200"/>
    </w:pPr>
  </w:style>
  <w:style w:type="character" w:customStyle="1" w:styleId="69">
    <w:name w:val="纯文本 字符"/>
    <w:link w:val="13"/>
    <w:autoRedefine/>
    <w:qFormat/>
    <w:uiPriority w:val="0"/>
    <w:rPr>
      <w:rFonts w:ascii="宋体" w:hAnsi="Courier New" w:cstheme="minorBidi"/>
      <w:kern w:val="2"/>
      <w:sz w:val="21"/>
      <w:szCs w:val="24"/>
    </w:rPr>
  </w:style>
  <w:style w:type="character" w:customStyle="1" w:styleId="70">
    <w:name w:val="NormalCharacter"/>
    <w:autoRedefine/>
    <w:qFormat/>
    <w:uiPriority w:val="0"/>
  </w:style>
  <w:style w:type="paragraph" w:customStyle="1" w:styleId="71">
    <w:name w:val="UserStyle_4"/>
    <w:basedOn w:val="1"/>
    <w:autoRedefine/>
    <w:qFormat/>
    <w:uiPriority w:val="0"/>
    <w:pPr>
      <w:ind w:firstLine="420" w:firstLineChars="200"/>
    </w:pPr>
    <w:rPr>
      <w:sz w:val="24"/>
    </w:rPr>
  </w:style>
  <w:style w:type="paragraph" w:customStyle="1" w:styleId="72">
    <w:name w:val="HtmlNormal"/>
    <w:basedOn w:val="1"/>
    <w:autoRedefine/>
    <w:qFormat/>
    <w:uiPriority w:val="0"/>
    <w:pPr>
      <w:spacing w:before="100" w:beforeAutospacing="1" w:after="100" w:afterAutospacing="1"/>
      <w:jc w:val="left"/>
    </w:pPr>
    <w:rPr>
      <w:rFonts w:ascii="宋体" w:hAnsi="宋体"/>
      <w:color w:val="000000"/>
      <w:kern w:val="0"/>
      <w:sz w:val="24"/>
      <w:szCs w:val="21"/>
    </w:rPr>
  </w:style>
  <w:style w:type="paragraph" w:customStyle="1" w:styleId="73">
    <w:name w:val="UserStyle_48"/>
    <w:basedOn w:val="1"/>
    <w:autoRedefine/>
    <w:qFormat/>
    <w:uiPriority w:val="0"/>
    <w:pPr>
      <w:ind w:firstLine="420" w:firstLineChars="200"/>
    </w:pPr>
    <w:rPr>
      <w:szCs w:val="21"/>
    </w:rPr>
  </w:style>
  <w:style w:type="paragraph" w:customStyle="1" w:styleId="74">
    <w:name w:val="PlainText"/>
    <w:basedOn w:val="1"/>
    <w:autoRedefine/>
    <w:qFormat/>
    <w:uiPriority w:val="0"/>
    <w:pPr>
      <w:spacing w:before="156" w:after="156" w:line="400" w:lineRule="atLeast"/>
    </w:pPr>
    <w:rPr>
      <w:rFonts w:ascii="宋体" w:hAnsi="Courier New"/>
      <w:sz w:val="24"/>
    </w:rPr>
  </w:style>
  <w:style w:type="paragraph" w:customStyle="1" w:styleId="75">
    <w:name w:val="UserStyle_29"/>
    <w:basedOn w:val="1"/>
    <w:autoRedefine/>
    <w:qFormat/>
    <w:uiPriority w:val="0"/>
    <w:pPr>
      <w:ind w:firstLine="420" w:firstLineChars="200"/>
    </w:pPr>
    <w:rPr>
      <w:szCs w:val="22"/>
    </w:rPr>
  </w:style>
  <w:style w:type="table" w:customStyle="1" w:styleId="76">
    <w:name w:val="Table Normal"/>
    <w:autoRedefine/>
    <w:unhideWhenUsed/>
    <w:qFormat/>
    <w:uiPriority w:val="0"/>
    <w:tblPr>
      <w:tblCellMar>
        <w:top w:w="0" w:type="dxa"/>
        <w:left w:w="0" w:type="dxa"/>
        <w:bottom w:w="0" w:type="dxa"/>
        <w:right w:w="0" w:type="dxa"/>
      </w:tblCellMar>
    </w:tblPr>
  </w:style>
  <w:style w:type="character" w:customStyle="1" w:styleId="77">
    <w:name w:val="批注文字 字符"/>
    <w:basedOn w:val="28"/>
    <w:link w:val="10"/>
    <w:autoRedefine/>
    <w:qFormat/>
    <w:uiPriority w:val="0"/>
    <w:rPr>
      <w:kern w:val="2"/>
      <w:sz w:val="21"/>
      <w:szCs w:val="24"/>
    </w:rPr>
  </w:style>
  <w:style w:type="character" w:customStyle="1" w:styleId="78">
    <w:name w:val="批注主题 字符"/>
    <w:basedOn w:val="77"/>
    <w:link w:val="24"/>
    <w:autoRedefine/>
    <w:qFormat/>
    <w:uiPriority w:val="0"/>
    <w:rPr>
      <w:b/>
      <w:bCs/>
      <w:kern w:val="2"/>
      <w:sz w:val="21"/>
      <w:szCs w:val="24"/>
    </w:rPr>
  </w:style>
  <w:style w:type="character" w:customStyle="1" w:styleId="79">
    <w:name w:val="正文文本首行缩进 字符"/>
    <w:basedOn w:val="28"/>
    <w:link w:val="25"/>
    <w:autoRedefine/>
    <w:qFormat/>
    <w:uiPriority w:val="0"/>
    <w:rPr>
      <w:kern w:val="2"/>
      <w:sz w:val="24"/>
      <w:szCs w:val="24"/>
    </w:rPr>
  </w:style>
  <w:style w:type="character" w:customStyle="1" w:styleId="80">
    <w:name w:val="Unresolved Mention"/>
    <w:basedOn w:val="28"/>
    <w:autoRedefine/>
    <w:semiHidden/>
    <w:unhideWhenUsed/>
    <w:qFormat/>
    <w:uiPriority w:val="99"/>
    <w:rPr>
      <w:color w:val="605E5C"/>
      <w:shd w:val="clear" w:color="auto" w:fill="E1DFDD"/>
    </w:rPr>
  </w:style>
  <w:style w:type="paragraph" w:customStyle="1" w:styleId="81">
    <w:name w:val="Default"/>
    <w:next w:val="1"/>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23364</Words>
  <Characters>24314</Characters>
  <Lines>169</Lines>
  <Paragraphs>47</Paragraphs>
  <TotalTime>6</TotalTime>
  <ScaleCrop>false</ScaleCrop>
  <LinksUpToDate>false</LinksUpToDate>
  <CharactersWithSpaces>25203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周</cp:lastModifiedBy>
  <cp:lastPrinted>2023-07-18T00:34:00Z</cp:lastPrinted>
  <dcterms:modified xsi:type="dcterms:W3CDTF">2025-08-05T06:43:53Z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F0B9C61BFEA4401497A2AF811DDB9E93_13</vt:lpwstr>
  </property>
  <property fmtid="{D5CDD505-2E9C-101B-9397-08002B2CF9AE}" pid="4" name="commondata">
    <vt:lpwstr>eyJoZGlkIjoiZWM5NTczMTg4N2ExZWZmMDU0MmIxMDc2NTJiZjIxOTMifQ==</vt:lpwstr>
  </property>
  <property fmtid="{D5CDD505-2E9C-101B-9397-08002B2CF9AE}" pid="5" name="KSOTemplateDocerSaveRecord">
    <vt:lpwstr>eyJoZGlkIjoiMzEwNTM5NzYwMDRjMzkwZTVkZjY2ODkwMGIxNGU0OTUiLCJ1c2VySWQiOiI0ODUxNTczMzAifQ==</vt:lpwstr>
  </property>
</Properties>
</file>